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553FE8" w14:textId="0DF7A71D" w:rsidR="006B06C1" w:rsidRPr="001041D7" w:rsidRDefault="006B06C1" w:rsidP="006B06C1">
      <w:pPr>
        <w:pStyle w:val="Manuscriptbodytitle"/>
        <w:spacing w:after="160" w:line="360" w:lineRule="auto"/>
        <w:rPr>
          <w:rFonts w:ascii="Arial" w:hAnsi="Arial" w:cs="Arial"/>
          <w:sz w:val="24"/>
          <w:szCs w:val="24"/>
        </w:rPr>
      </w:pPr>
      <w:r w:rsidRPr="001041D7">
        <w:rPr>
          <w:rFonts w:ascii="Arial" w:hAnsi="Arial" w:cs="Arial"/>
          <w:sz w:val="24"/>
          <w:szCs w:val="24"/>
        </w:rPr>
        <w:t>Supplement</w:t>
      </w:r>
      <w:r w:rsidR="00904FBA">
        <w:rPr>
          <w:rFonts w:ascii="Arial" w:hAnsi="Arial" w:cs="Arial"/>
          <w:sz w:val="24"/>
          <w:szCs w:val="24"/>
        </w:rPr>
        <w:t>ary Material</w:t>
      </w:r>
    </w:p>
    <w:p w14:paraId="48E6F9B1" w14:textId="23C5D387" w:rsidR="001041D7" w:rsidRDefault="001041D7">
      <w:pPr>
        <w:rPr>
          <w:rFonts w:ascii="Arial" w:hAnsi="Arial" w:cs="Arial"/>
          <w:sz w:val="24"/>
          <w:szCs w:val="24"/>
        </w:rPr>
      </w:pPr>
      <w:r w:rsidRPr="001041D7">
        <w:rPr>
          <w:rFonts w:ascii="Arial" w:hAnsi="Arial" w:cs="Arial"/>
          <w:sz w:val="24"/>
          <w:szCs w:val="24"/>
        </w:rPr>
        <w:t xml:space="preserve">Table </w:t>
      </w:r>
      <w:r w:rsidR="00C221B0">
        <w:rPr>
          <w:rFonts w:ascii="Arial" w:hAnsi="Arial" w:cs="Arial"/>
          <w:sz w:val="24"/>
          <w:szCs w:val="24"/>
        </w:rPr>
        <w:t>S</w:t>
      </w:r>
      <w:r w:rsidRPr="001041D7">
        <w:rPr>
          <w:rFonts w:ascii="Arial" w:hAnsi="Arial" w:cs="Arial"/>
          <w:sz w:val="24"/>
          <w:szCs w:val="24"/>
        </w:rPr>
        <w:t>1. Estimated Difference in MADRS Change From Baseline Between ESK and Quetiapine XR at Each Visit</w:t>
      </w:r>
    </w:p>
    <w:p w14:paraId="25833AC4" w14:textId="6C92BDCF"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1. Study Design</w:t>
      </w:r>
    </w:p>
    <w:p w14:paraId="5961C7FA" w14:textId="2FD9E39F"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2. CONSORT Diagram</w:t>
      </w:r>
    </w:p>
    <w:p w14:paraId="53DA0161" w14:textId="46EDE794"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3. LS Mean Change in MADRS Total Score Over Time</w:t>
      </w:r>
    </w:p>
    <w:p w14:paraId="432AF304" w14:textId="2172A9EF"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4. Proportion of Patients Achieving the Primary Endpoint per Sensitivity Analysis</w:t>
      </w:r>
    </w:p>
    <w:p w14:paraId="6D8B65C0" w14:textId="2D61F14C"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5. Proportion of Patients Achieving the Key Secondary Endpoint per Sensitivity Analysis</w:t>
      </w:r>
    </w:p>
    <w:p w14:paraId="144FFC9A" w14:textId="69459494" w:rsidR="001041D7" w:rsidRDefault="001041D7">
      <w:pPr>
        <w:rPr>
          <w:rFonts w:ascii="Arial" w:hAnsi="Arial" w:cs="Arial"/>
          <w:sz w:val="24"/>
          <w:szCs w:val="24"/>
        </w:rPr>
      </w:pPr>
      <w:r w:rsidRPr="001041D7">
        <w:rPr>
          <w:rFonts w:ascii="Arial" w:hAnsi="Arial" w:cs="Arial"/>
          <w:sz w:val="24"/>
          <w:szCs w:val="24"/>
        </w:rPr>
        <w:t xml:space="preserve">Figure </w:t>
      </w:r>
      <w:r w:rsidR="00C221B0">
        <w:rPr>
          <w:rFonts w:ascii="Arial" w:hAnsi="Arial" w:cs="Arial"/>
          <w:sz w:val="24"/>
          <w:szCs w:val="24"/>
        </w:rPr>
        <w:t>S</w:t>
      </w:r>
      <w:r w:rsidRPr="001041D7">
        <w:rPr>
          <w:rFonts w:ascii="Arial" w:hAnsi="Arial" w:cs="Arial"/>
          <w:sz w:val="24"/>
          <w:szCs w:val="24"/>
        </w:rPr>
        <w:t>6. Patients in Remission Based on MADRS Total Scores ≤8, ≤10, and ≤12 Over Time (LOCF)</w:t>
      </w:r>
    </w:p>
    <w:p w14:paraId="71A8B0F0" w14:textId="6C63BA17" w:rsidR="001041D7" w:rsidRDefault="001041D7">
      <w:pPr>
        <w:rPr>
          <w:rFonts w:ascii="Arial" w:eastAsia="MS ??" w:hAnsi="Arial" w:cs="Arial"/>
          <w:b/>
          <w:sz w:val="24"/>
          <w:szCs w:val="24"/>
        </w:rPr>
      </w:pPr>
      <w:r>
        <w:rPr>
          <w:rFonts w:ascii="Arial" w:hAnsi="Arial" w:cs="Arial"/>
          <w:sz w:val="24"/>
          <w:szCs w:val="24"/>
        </w:rPr>
        <w:br w:type="page"/>
      </w:r>
    </w:p>
    <w:p w14:paraId="50816B17" w14:textId="31B2BD71" w:rsidR="006B06C1" w:rsidRPr="003B7E3E" w:rsidRDefault="006B06C1" w:rsidP="006B06C1">
      <w:pPr>
        <w:pStyle w:val="Manuscriptbodytitle"/>
        <w:spacing w:after="160" w:line="360" w:lineRule="auto"/>
        <w:rPr>
          <w:rFonts w:ascii="Arial" w:hAnsi="Arial" w:cs="Arial"/>
          <w:sz w:val="24"/>
          <w:szCs w:val="24"/>
        </w:rPr>
      </w:pPr>
      <w:r w:rsidRPr="003B7E3E">
        <w:rPr>
          <w:rFonts w:ascii="Arial" w:hAnsi="Arial" w:cs="Arial"/>
          <w:sz w:val="24"/>
          <w:szCs w:val="24"/>
        </w:rPr>
        <w:lastRenderedPageBreak/>
        <w:t xml:space="preserve">Table </w:t>
      </w:r>
      <w:r w:rsidR="00C221B0">
        <w:rPr>
          <w:rFonts w:ascii="Arial" w:hAnsi="Arial" w:cs="Arial"/>
          <w:sz w:val="24"/>
          <w:szCs w:val="24"/>
        </w:rPr>
        <w:t>S</w:t>
      </w:r>
      <w:r w:rsidRPr="003B7E3E">
        <w:rPr>
          <w:rFonts w:ascii="Arial" w:hAnsi="Arial" w:cs="Arial"/>
          <w:sz w:val="24"/>
          <w:szCs w:val="24"/>
        </w:rPr>
        <w:t>1. Estimated Difference in MADRS Change From Baseline Between ESK and Quetiapine XR at Each Visit</w:t>
      </w:r>
    </w:p>
    <w:tbl>
      <w:tblPr>
        <w:tblStyle w:val="TableGrid"/>
        <w:tblW w:w="0" w:type="auto"/>
        <w:tblLook w:val="04A0" w:firstRow="1" w:lastRow="0" w:firstColumn="1" w:lastColumn="0" w:noHBand="0" w:noVBand="1"/>
      </w:tblPr>
      <w:tblGrid>
        <w:gridCol w:w="2268"/>
        <w:gridCol w:w="3402"/>
      </w:tblGrid>
      <w:tr w:rsidR="006B06C1" w:rsidRPr="003B7E3E" w14:paraId="7CBA2BF3" w14:textId="77777777" w:rsidTr="00C61408">
        <w:trPr>
          <w:trHeight w:val="567"/>
        </w:trPr>
        <w:tc>
          <w:tcPr>
            <w:tcW w:w="2268" w:type="dxa"/>
            <w:vAlign w:val="center"/>
          </w:tcPr>
          <w:p w14:paraId="0FF639F5" w14:textId="77777777" w:rsidR="006B06C1" w:rsidRPr="003B7E3E" w:rsidRDefault="006B06C1" w:rsidP="00C61408">
            <w:pPr>
              <w:pStyle w:val="Manuscriptbody"/>
              <w:spacing w:after="0" w:afterAutospacing="0" w:line="240" w:lineRule="auto"/>
              <w:rPr>
                <w:rFonts w:ascii="Arial" w:hAnsi="Arial" w:cs="Arial"/>
                <w:b/>
                <w:bCs/>
                <w:sz w:val="20"/>
                <w:szCs w:val="20"/>
                <w:lang w:val="en-US"/>
              </w:rPr>
            </w:pPr>
          </w:p>
        </w:tc>
        <w:tc>
          <w:tcPr>
            <w:tcW w:w="3402" w:type="dxa"/>
            <w:noWrap/>
            <w:vAlign w:val="center"/>
          </w:tcPr>
          <w:p w14:paraId="741A355B" w14:textId="77777777" w:rsidR="006B06C1" w:rsidRPr="003B7E3E" w:rsidRDefault="006B06C1" w:rsidP="00C61408">
            <w:pPr>
              <w:pStyle w:val="Manuscriptbody"/>
              <w:spacing w:after="0" w:afterAutospacing="0" w:line="240" w:lineRule="auto"/>
              <w:jc w:val="center"/>
              <w:rPr>
                <w:rFonts w:ascii="Arial" w:hAnsi="Arial" w:cs="Arial"/>
                <w:b/>
                <w:bCs/>
                <w:sz w:val="20"/>
                <w:szCs w:val="20"/>
                <w:lang w:val="en-US"/>
              </w:rPr>
            </w:pPr>
            <w:r w:rsidRPr="003B7E3E">
              <w:rPr>
                <w:rFonts w:ascii="Arial" w:hAnsi="Arial" w:cs="Arial"/>
                <w:b/>
                <w:bCs/>
                <w:sz w:val="20"/>
                <w:szCs w:val="20"/>
                <w:lang w:val="en-US"/>
              </w:rPr>
              <w:t>ESK – Quetiapine XR</w:t>
            </w:r>
          </w:p>
          <w:p w14:paraId="2C7DDD98" w14:textId="77777777" w:rsidR="006B06C1" w:rsidRPr="003B7E3E" w:rsidRDefault="006B06C1" w:rsidP="00C61408">
            <w:pPr>
              <w:pStyle w:val="Manuscriptbody"/>
              <w:spacing w:after="0" w:afterAutospacing="0" w:line="240" w:lineRule="auto"/>
              <w:jc w:val="center"/>
              <w:rPr>
                <w:rFonts w:ascii="Arial" w:hAnsi="Arial" w:cs="Arial"/>
                <w:b/>
                <w:bCs/>
                <w:sz w:val="20"/>
                <w:szCs w:val="20"/>
                <w:lang w:val="en-US"/>
              </w:rPr>
            </w:pPr>
            <w:r w:rsidRPr="003B7E3E">
              <w:rPr>
                <w:rFonts w:ascii="Arial" w:hAnsi="Arial" w:cs="Arial"/>
                <w:b/>
                <w:bCs/>
                <w:sz w:val="20"/>
                <w:szCs w:val="20"/>
                <w:lang w:val="en-US"/>
              </w:rPr>
              <w:t>MADRS CFB (95% CI)</w:t>
            </w:r>
          </w:p>
          <w:p w14:paraId="73AADBAB" w14:textId="77777777" w:rsidR="006B06C1" w:rsidRPr="003B7E3E" w:rsidRDefault="006B06C1" w:rsidP="00C61408">
            <w:pPr>
              <w:pStyle w:val="Manuscriptbody"/>
              <w:spacing w:after="0" w:afterAutospacing="0" w:line="240" w:lineRule="auto"/>
              <w:jc w:val="center"/>
              <w:rPr>
                <w:rFonts w:ascii="Arial" w:hAnsi="Arial" w:cs="Arial"/>
                <w:b/>
                <w:bCs/>
                <w:sz w:val="20"/>
                <w:szCs w:val="20"/>
                <w:lang w:val="en-US"/>
              </w:rPr>
            </w:pPr>
            <w:r w:rsidRPr="003B7E3E">
              <w:rPr>
                <w:rFonts w:ascii="Arial" w:hAnsi="Arial" w:cs="Arial"/>
                <w:b/>
                <w:bCs/>
                <w:i/>
                <w:iCs/>
                <w:sz w:val="20"/>
                <w:szCs w:val="20"/>
                <w:lang w:val="en-US"/>
              </w:rPr>
              <w:t>P</w:t>
            </w:r>
            <w:r w:rsidRPr="003B7E3E">
              <w:rPr>
                <w:rFonts w:ascii="Arial" w:hAnsi="Arial" w:cs="Arial"/>
                <w:b/>
                <w:bCs/>
                <w:sz w:val="20"/>
                <w:szCs w:val="20"/>
                <w:lang w:val="en-US"/>
              </w:rPr>
              <w:t xml:space="preserve"> value</w:t>
            </w:r>
          </w:p>
        </w:tc>
      </w:tr>
      <w:tr w:rsidR="006B06C1" w:rsidRPr="003B7E3E" w14:paraId="03D88528" w14:textId="77777777" w:rsidTr="00C61408">
        <w:trPr>
          <w:trHeight w:val="288"/>
        </w:trPr>
        <w:tc>
          <w:tcPr>
            <w:tcW w:w="2268" w:type="dxa"/>
            <w:hideMark/>
          </w:tcPr>
          <w:p w14:paraId="0D34FACC"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Day 8</w:t>
            </w:r>
          </w:p>
        </w:tc>
        <w:tc>
          <w:tcPr>
            <w:tcW w:w="3402" w:type="dxa"/>
            <w:noWrap/>
            <w:hideMark/>
          </w:tcPr>
          <w:p w14:paraId="44861EC7"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−1.5 (−2.4 to −0.7)</w:t>
            </w:r>
          </w:p>
          <w:p w14:paraId="68579AB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40CB44B9" w14:textId="77777777" w:rsidTr="00C61408">
        <w:trPr>
          <w:trHeight w:val="288"/>
        </w:trPr>
        <w:tc>
          <w:tcPr>
            <w:tcW w:w="2268" w:type="dxa"/>
            <w:hideMark/>
          </w:tcPr>
          <w:p w14:paraId="2478F4FF"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Day 15</w:t>
            </w:r>
          </w:p>
        </w:tc>
        <w:tc>
          <w:tcPr>
            <w:tcW w:w="3402" w:type="dxa"/>
            <w:noWrap/>
            <w:hideMark/>
          </w:tcPr>
          <w:p w14:paraId="4F5BAD95"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−2.9 (−3.9 to −1.8)</w:t>
            </w:r>
          </w:p>
          <w:p w14:paraId="0B1F09E5"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2E57B9F3" w14:textId="77777777" w:rsidTr="00C61408">
        <w:trPr>
          <w:trHeight w:val="288"/>
        </w:trPr>
        <w:tc>
          <w:tcPr>
            <w:tcW w:w="2268" w:type="dxa"/>
            <w:hideMark/>
          </w:tcPr>
          <w:p w14:paraId="51183F54"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Day 29</w:t>
            </w:r>
          </w:p>
        </w:tc>
        <w:tc>
          <w:tcPr>
            <w:tcW w:w="3402" w:type="dxa"/>
            <w:noWrap/>
            <w:hideMark/>
          </w:tcPr>
          <w:p w14:paraId="2A42565A"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−3.2 (−4.4 to −2.0)</w:t>
            </w:r>
          </w:p>
          <w:p w14:paraId="4DF7968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3D8F0242" w14:textId="77777777" w:rsidTr="00C61408">
        <w:trPr>
          <w:trHeight w:val="288"/>
        </w:trPr>
        <w:tc>
          <w:tcPr>
            <w:tcW w:w="2268" w:type="dxa"/>
            <w:hideMark/>
          </w:tcPr>
          <w:p w14:paraId="76857C7C"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6</w:t>
            </w:r>
          </w:p>
        </w:tc>
        <w:tc>
          <w:tcPr>
            <w:tcW w:w="3402" w:type="dxa"/>
            <w:noWrap/>
            <w:hideMark/>
          </w:tcPr>
          <w:p w14:paraId="7A059FB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−3 (−4.3 to −1.7)</w:t>
            </w:r>
          </w:p>
          <w:p w14:paraId="44CE6895"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210BDEAF" w14:textId="77777777" w:rsidTr="00C61408">
        <w:trPr>
          <w:trHeight w:val="288"/>
        </w:trPr>
        <w:tc>
          <w:tcPr>
            <w:tcW w:w="2268" w:type="dxa"/>
            <w:hideMark/>
          </w:tcPr>
          <w:p w14:paraId="3256678F"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8</w:t>
            </w:r>
          </w:p>
        </w:tc>
        <w:tc>
          <w:tcPr>
            <w:tcW w:w="3402" w:type="dxa"/>
            <w:noWrap/>
            <w:hideMark/>
          </w:tcPr>
          <w:p w14:paraId="37CF9AAA"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−2.8 (−4.2 to −1.4)</w:t>
            </w:r>
          </w:p>
          <w:p w14:paraId="326D2AB3"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6B37EC3C" w14:textId="77777777" w:rsidTr="00C61408">
        <w:trPr>
          <w:trHeight w:val="288"/>
        </w:trPr>
        <w:tc>
          <w:tcPr>
            <w:tcW w:w="2268" w:type="dxa"/>
            <w:hideMark/>
          </w:tcPr>
          <w:p w14:paraId="5F6AA841"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10</w:t>
            </w:r>
          </w:p>
        </w:tc>
        <w:tc>
          <w:tcPr>
            <w:tcW w:w="3402" w:type="dxa"/>
            <w:noWrap/>
            <w:hideMark/>
          </w:tcPr>
          <w:p w14:paraId="19C5A6CC"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−3 (−4.3 to −1.7)</w:t>
            </w:r>
          </w:p>
          <w:p w14:paraId="4E9CAA23"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03703D7F" w14:textId="77777777" w:rsidTr="00C61408">
        <w:trPr>
          <w:trHeight w:val="288"/>
        </w:trPr>
        <w:tc>
          <w:tcPr>
            <w:tcW w:w="2268" w:type="dxa"/>
            <w:hideMark/>
          </w:tcPr>
          <w:p w14:paraId="5B6EACBC"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12</w:t>
            </w:r>
          </w:p>
        </w:tc>
        <w:tc>
          <w:tcPr>
            <w:tcW w:w="3402" w:type="dxa"/>
            <w:noWrap/>
            <w:hideMark/>
          </w:tcPr>
          <w:p w14:paraId="3FE59AB6"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−2.9 (−4.2 to −1.5)</w:t>
            </w:r>
          </w:p>
          <w:p w14:paraId="666D1FF7"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15BE6054" w14:textId="77777777" w:rsidTr="00C61408">
        <w:trPr>
          <w:trHeight w:val="288"/>
        </w:trPr>
        <w:tc>
          <w:tcPr>
            <w:tcW w:w="2268" w:type="dxa"/>
            <w:hideMark/>
          </w:tcPr>
          <w:p w14:paraId="03F3E0CC"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14</w:t>
            </w:r>
          </w:p>
        </w:tc>
        <w:tc>
          <w:tcPr>
            <w:tcW w:w="3402" w:type="dxa"/>
            <w:noWrap/>
            <w:hideMark/>
          </w:tcPr>
          <w:p w14:paraId="3E03934E"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−2.9 (−4.3 to −1.6)</w:t>
            </w:r>
          </w:p>
          <w:p w14:paraId="2A36DCB9"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6FDEEE5B" w14:textId="77777777" w:rsidTr="00C61408">
        <w:trPr>
          <w:trHeight w:val="288"/>
        </w:trPr>
        <w:tc>
          <w:tcPr>
            <w:tcW w:w="2268" w:type="dxa"/>
            <w:hideMark/>
          </w:tcPr>
          <w:p w14:paraId="4382360E"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16</w:t>
            </w:r>
          </w:p>
        </w:tc>
        <w:tc>
          <w:tcPr>
            <w:tcW w:w="3402" w:type="dxa"/>
            <w:noWrap/>
            <w:hideMark/>
          </w:tcPr>
          <w:p w14:paraId="7560921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−2.9 (−4.3 to −1.6)</w:t>
            </w:r>
          </w:p>
          <w:p w14:paraId="14D2A3B4"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5A3D4461" w14:textId="77777777" w:rsidTr="00C61408">
        <w:trPr>
          <w:trHeight w:val="288"/>
        </w:trPr>
        <w:tc>
          <w:tcPr>
            <w:tcW w:w="2268" w:type="dxa"/>
            <w:hideMark/>
          </w:tcPr>
          <w:p w14:paraId="566AFB37"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18</w:t>
            </w:r>
          </w:p>
        </w:tc>
        <w:tc>
          <w:tcPr>
            <w:tcW w:w="3402" w:type="dxa"/>
            <w:noWrap/>
            <w:hideMark/>
          </w:tcPr>
          <w:p w14:paraId="61344505"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−2.6 (−4.1 to −1.2)</w:t>
            </w:r>
          </w:p>
          <w:p w14:paraId="2D48BB11"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3CA36EEB" w14:textId="77777777" w:rsidTr="00C61408">
        <w:trPr>
          <w:trHeight w:val="288"/>
        </w:trPr>
        <w:tc>
          <w:tcPr>
            <w:tcW w:w="2268" w:type="dxa"/>
            <w:hideMark/>
          </w:tcPr>
          <w:p w14:paraId="7B7528D5"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20</w:t>
            </w:r>
          </w:p>
        </w:tc>
        <w:tc>
          <w:tcPr>
            <w:tcW w:w="3402" w:type="dxa"/>
            <w:noWrap/>
            <w:hideMark/>
          </w:tcPr>
          <w:p w14:paraId="58AC6D49"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 (−3.5 to −0.6)</w:t>
            </w:r>
          </w:p>
          <w:p w14:paraId="69E977BD"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.006</w:t>
            </w:r>
          </w:p>
        </w:tc>
      </w:tr>
      <w:tr w:rsidR="006B06C1" w:rsidRPr="003B7E3E" w14:paraId="209397CE" w14:textId="77777777" w:rsidTr="00C61408">
        <w:trPr>
          <w:trHeight w:val="288"/>
        </w:trPr>
        <w:tc>
          <w:tcPr>
            <w:tcW w:w="2268" w:type="dxa"/>
            <w:hideMark/>
          </w:tcPr>
          <w:p w14:paraId="64E2FE5E"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22</w:t>
            </w:r>
          </w:p>
        </w:tc>
        <w:tc>
          <w:tcPr>
            <w:tcW w:w="3402" w:type="dxa"/>
            <w:noWrap/>
            <w:hideMark/>
          </w:tcPr>
          <w:p w14:paraId="7345438C"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−2.1 (−3.5 to −0.7)</w:t>
            </w:r>
          </w:p>
          <w:p w14:paraId="433D452D"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.003</w:t>
            </w:r>
          </w:p>
        </w:tc>
      </w:tr>
      <w:tr w:rsidR="006B06C1" w:rsidRPr="003B7E3E" w14:paraId="5E309147" w14:textId="77777777" w:rsidTr="00C61408">
        <w:trPr>
          <w:trHeight w:val="288"/>
        </w:trPr>
        <w:tc>
          <w:tcPr>
            <w:tcW w:w="2268" w:type="dxa"/>
            <w:hideMark/>
          </w:tcPr>
          <w:p w14:paraId="5933861D"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24</w:t>
            </w:r>
          </w:p>
        </w:tc>
        <w:tc>
          <w:tcPr>
            <w:tcW w:w="3402" w:type="dxa"/>
            <w:noWrap/>
            <w:hideMark/>
          </w:tcPr>
          <w:p w14:paraId="28ACDCEE"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 (−3.5 to −0.6)</w:t>
            </w:r>
          </w:p>
          <w:p w14:paraId="0AA45A80"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.006</w:t>
            </w:r>
          </w:p>
        </w:tc>
      </w:tr>
      <w:tr w:rsidR="006B06C1" w:rsidRPr="003B7E3E" w14:paraId="0F286A85" w14:textId="77777777" w:rsidTr="00C61408">
        <w:trPr>
          <w:trHeight w:val="288"/>
        </w:trPr>
        <w:tc>
          <w:tcPr>
            <w:tcW w:w="2268" w:type="dxa"/>
            <w:hideMark/>
          </w:tcPr>
          <w:p w14:paraId="08423427"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26</w:t>
            </w:r>
          </w:p>
        </w:tc>
        <w:tc>
          <w:tcPr>
            <w:tcW w:w="3402" w:type="dxa"/>
            <w:noWrap/>
            <w:hideMark/>
          </w:tcPr>
          <w:p w14:paraId="6ED76A19"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 (−3.4 to −0.6)</w:t>
            </w:r>
          </w:p>
          <w:p w14:paraId="590E282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.006</w:t>
            </w:r>
          </w:p>
        </w:tc>
      </w:tr>
      <w:tr w:rsidR="006B06C1" w:rsidRPr="003B7E3E" w14:paraId="724C73ED" w14:textId="77777777" w:rsidTr="00C61408">
        <w:trPr>
          <w:trHeight w:val="288"/>
        </w:trPr>
        <w:tc>
          <w:tcPr>
            <w:tcW w:w="2268" w:type="dxa"/>
            <w:hideMark/>
          </w:tcPr>
          <w:p w14:paraId="1C8B22D2"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28</w:t>
            </w:r>
          </w:p>
        </w:tc>
        <w:tc>
          <w:tcPr>
            <w:tcW w:w="3402" w:type="dxa"/>
            <w:noWrap/>
            <w:hideMark/>
          </w:tcPr>
          <w:p w14:paraId="20C3961A"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−1.5 (−3.0 to −0.1)</w:t>
            </w:r>
          </w:p>
          <w:p w14:paraId="0A6225A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.036</w:t>
            </w:r>
          </w:p>
        </w:tc>
      </w:tr>
      <w:tr w:rsidR="006B06C1" w:rsidRPr="003B7E3E" w14:paraId="16A9ADB6" w14:textId="77777777" w:rsidTr="00C61408">
        <w:trPr>
          <w:trHeight w:val="288"/>
        </w:trPr>
        <w:tc>
          <w:tcPr>
            <w:tcW w:w="2268" w:type="dxa"/>
            <w:hideMark/>
          </w:tcPr>
          <w:p w14:paraId="7A0844A1"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30</w:t>
            </w:r>
          </w:p>
        </w:tc>
        <w:tc>
          <w:tcPr>
            <w:tcW w:w="3402" w:type="dxa"/>
            <w:noWrap/>
            <w:hideMark/>
          </w:tcPr>
          <w:p w14:paraId="2A3DC64E"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−1.8 (−3.3 to −0.3)</w:t>
            </w:r>
          </w:p>
          <w:p w14:paraId="1EED74E1"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.018</w:t>
            </w:r>
          </w:p>
        </w:tc>
      </w:tr>
      <w:tr w:rsidR="006B06C1" w:rsidRPr="003B7E3E" w14:paraId="0D77C2C9" w14:textId="77777777" w:rsidTr="00C61408">
        <w:trPr>
          <w:trHeight w:val="288"/>
        </w:trPr>
        <w:tc>
          <w:tcPr>
            <w:tcW w:w="2268" w:type="dxa"/>
            <w:hideMark/>
          </w:tcPr>
          <w:p w14:paraId="0679EE05"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Week 32</w:t>
            </w:r>
          </w:p>
        </w:tc>
        <w:tc>
          <w:tcPr>
            <w:tcW w:w="3402" w:type="dxa"/>
            <w:noWrap/>
            <w:hideMark/>
          </w:tcPr>
          <w:p w14:paraId="0EACF390"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−2.4 (−3.8 to −1.0)</w:t>
            </w:r>
          </w:p>
          <w:p w14:paraId="1C088234"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r w:rsidR="006B06C1" w:rsidRPr="003B7E3E" w14:paraId="6E5495BA" w14:textId="77777777" w:rsidTr="00C61408">
        <w:trPr>
          <w:trHeight w:val="288"/>
        </w:trPr>
        <w:tc>
          <w:tcPr>
            <w:tcW w:w="2268" w:type="dxa"/>
            <w:hideMark/>
          </w:tcPr>
          <w:p w14:paraId="46784DD8" w14:textId="77777777" w:rsidR="006B06C1" w:rsidRPr="003B7E3E" w:rsidRDefault="006B06C1" w:rsidP="00C61408">
            <w:pPr>
              <w:pStyle w:val="Manuscriptbody"/>
              <w:spacing w:after="0" w:afterAutospacing="0" w:line="240" w:lineRule="auto"/>
              <w:rPr>
                <w:rFonts w:ascii="Arial" w:hAnsi="Arial" w:cs="Arial"/>
                <w:sz w:val="20"/>
                <w:szCs w:val="20"/>
                <w:lang w:val="en-US"/>
              </w:rPr>
            </w:pPr>
            <w:r w:rsidRPr="003B7E3E">
              <w:rPr>
                <w:rFonts w:ascii="Arial" w:hAnsi="Arial" w:cs="Arial"/>
                <w:sz w:val="20"/>
                <w:szCs w:val="20"/>
                <w:lang w:val="en-US"/>
              </w:rPr>
              <w:t>Overall</w:t>
            </w:r>
          </w:p>
        </w:tc>
        <w:tc>
          <w:tcPr>
            <w:tcW w:w="3402" w:type="dxa"/>
            <w:noWrap/>
            <w:hideMark/>
          </w:tcPr>
          <w:p w14:paraId="104F337C"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−2.5 (−3.5 to −1.4)</w:t>
            </w:r>
          </w:p>
          <w:p w14:paraId="4976D19F" w14:textId="77777777" w:rsidR="006B06C1" w:rsidRPr="003B7E3E" w:rsidRDefault="006B06C1" w:rsidP="00C61408">
            <w:pPr>
              <w:pStyle w:val="Manuscriptbody"/>
              <w:spacing w:after="0" w:afterAutospacing="0" w:line="240" w:lineRule="auto"/>
              <w:jc w:val="center"/>
              <w:rPr>
                <w:rFonts w:ascii="Arial" w:hAnsi="Arial" w:cs="Arial"/>
                <w:sz w:val="20"/>
                <w:szCs w:val="20"/>
                <w:lang w:val="en-US"/>
              </w:rPr>
            </w:pPr>
            <w:r w:rsidRPr="003B7E3E">
              <w:rPr>
                <w:rFonts w:ascii="Arial" w:hAnsi="Arial" w:cs="Arial"/>
                <w:sz w:val="20"/>
                <w:szCs w:val="20"/>
                <w:lang w:val="en-US"/>
              </w:rPr>
              <w:t>&lt; .001</w:t>
            </w:r>
          </w:p>
        </w:tc>
      </w:tr>
    </w:tbl>
    <w:p w14:paraId="3E010006" w14:textId="77777777" w:rsidR="006B06C1" w:rsidRPr="003B7E3E" w:rsidRDefault="006B06C1" w:rsidP="006B06C1">
      <w:pPr>
        <w:pStyle w:val="Manuscriptbody"/>
        <w:spacing w:line="240" w:lineRule="auto"/>
        <w:rPr>
          <w:rFonts w:ascii="Arial" w:hAnsi="Arial" w:cs="Arial"/>
          <w:sz w:val="16"/>
          <w:szCs w:val="16"/>
          <w:lang w:val="en-US"/>
        </w:rPr>
      </w:pPr>
      <w:r w:rsidRPr="003B7E3E">
        <w:rPr>
          <w:rFonts w:ascii="Arial" w:hAnsi="Arial" w:cs="Arial"/>
          <w:sz w:val="16"/>
          <w:szCs w:val="16"/>
          <w:lang w:val="en-US"/>
        </w:rPr>
        <w:t>Abbreviations: ANCOVA, analysis of covariance; CFB, change from baseline; CI, confidence interval; ESK, esketamine nasal spray; MADRS, Montgomery</w:t>
      </w:r>
      <w:r w:rsidRPr="003B7E3E">
        <w:rPr>
          <w:rFonts w:ascii="Cambria Math" w:hAnsi="Cambria Math" w:cs="Cambria Math"/>
          <w:sz w:val="16"/>
          <w:szCs w:val="16"/>
          <w:lang w:val="en-US"/>
        </w:rPr>
        <w:t>‑</w:t>
      </w:r>
      <w:r w:rsidRPr="003B7E3E">
        <w:rPr>
          <w:rFonts w:ascii="Arial" w:hAnsi="Arial" w:cs="Arial"/>
          <w:sz w:val="16"/>
          <w:szCs w:val="16"/>
          <w:lang w:val="en-US"/>
        </w:rPr>
        <w:t>Åsberg Depression Rating Scale; XR, extended</w:t>
      </w:r>
      <w:r>
        <w:rPr>
          <w:rFonts w:ascii="Arial" w:hAnsi="Arial" w:cs="Arial"/>
          <w:sz w:val="16"/>
          <w:szCs w:val="16"/>
          <w:lang w:val="en-US"/>
        </w:rPr>
        <w:t>-</w:t>
      </w:r>
      <w:r w:rsidRPr="003B7E3E">
        <w:rPr>
          <w:rFonts w:ascii="Arial" w:hAnsi="Arial" w:cs="Arial"/>
          <w:sz w:val="16"/>
          <w:szCs w:val="16"/>
          <w:lang w:val="en-US"/>
        </w:rPr>
        <w:t>release.</w:t>
      </w:r>
      <w:r>
        <w:rPr>
          <w:rFonts w:ascii="Arial" w:hAnsi="Arial" w:cs="Arial"/>
          <w:sz w:val="16"/>
          <w:szCs w:val="16"/>
          <w:lang w:val="en-US"/>
        </w:rPr>
        <w:br/>
      </w:r>
      <w:r w:rsidRPr="003B7E3E">
        <w:rPr>
          <w:rFonts w:ascii="Arial" w:hAnsi="Arial" w:cs="Arial"/>
          <w:sz w:val="16"/>
          <w:szCs w:val="16"/>
          <w:lang w:val="en-US" w:eastAsia="en-US"/>
        </w:rPr>
        <w:t xml:space="preserve">Least-squares mean, standard error, 95% CI, and 2-sided </w:t>
      </w:r>
      <w:r w:rsidRPr="003B7E3E">
        <w:rPr>
          <w:rFonts w:ascii="Arial" w:hAnsi="Arial" w:cs="Arial"/>
          <w:i/>
          <w:iCs/>
          <w:sz w:val="16"/>
          <w:szCs w:val="16"/>
          <w:lang w:val="en-US" w:eastAsia="en-US"/>
        </w:rPr>
        <w:t>P</w:t>
      </w:r>
      <w:r w:rsidRPr="003B7E3E">
        <w:rPr>
          <w:rFonts w:ascii="Arial" w:hAnsi="Arial" w:cs="Arial"/>
          <w:sz w:val="16"/>
          <w:szCs w:val="16"/>
          <w:lang w:val="en-US" w:eastAsia="en-US"/>
        </w:rPr>
        <w:t xml:space="preserve"> value are based on a repeated-measures mixed-effects ANCOVA model with treatment, number of treatment failure, time, time by treatment, and baseline value as covariates. </w:t>
      </w:r>
      <w:r>
        <w:rPr>
          <w:rFonts w:ascii="Arial" w:hAnsi="Arial" w:cs="Arial"/>
          <w:sz w:val="16"/>
          <w:szCs w:val="16"/>
          <w:lang w:val="en-US" w:eastAsia="en-US"/>
        </w:rPr>
        <w:t>They</w:t>
      </w:r>
      <w:r w:rsidRPr="003B7E3E">
        <w:rPr>
          <w:rFonts w:ascii="Arial" w:hAnsi="Arial" w:cs="Arial"/>
          <w:sz w:val="16"/>
          <w:szCs w:val="16"/>
          <w:lang w:val="en-US" w:eastAsia="en-US"/>
        </w:rPr>
        <w:t xml:space="preserve"> </w:t>
      </w:r>
      <w:r>
        <w:rPr>
          <w:rFonts w:ascii="Arial" w:hAnsi="Arial" w:cs="Arial"/>
          <w:sz w:val="16"/>
          <w:szCs w:val="16"/>
          <w:lang w:val="en-US" w:eastAsia="en-US"/>
        </w:rPr>
        <w:t>are</w:t>
      </w:r>
      <w:r w:rsidRPr="003B7E3E">
        <w:rPr>
          <w:rFonts w:ascii="Arial" w:hAnsi="Arial" w:cs="Arial"/>
          <w:sz w:val="16"/>
          <w:szCs w:val="16"/>
          <w:lang w:val="en-US" w:eastAsia="en-US"/>
        </w:rPr>
        <w:t xml:space="preserve"> modeled with an unstructured covariance structure.</w:t>
      </w:r>
    </w:p>
    <w:p w14:paraId="476ABEF8" w14:textId="77777777" w:rsidR="006B06C1" w:rsidRPr="003B7E3E" w:rsidRDefault="006B06C1" w:rsidP="006B06C1">
      <w:pPr>
        <w:rPr>
          <w:rFonts w:ascii="Arial" w:eastAsia="Times New Roman" w:hAnsi="Arial" w:cs="Arial"/>
          <w:lang w:eastAsia="ja-JP"/>
        </w:rPr>
      </w:pPr>
      <w:r w:rsidRPr="003B7E3E">
        <w:rPr>
          <w:rFonts w:ascii="Arial" w:eastAsia="Times New Roman" w:hAnsi="Arial" w:cs="Arial"/>
          <w:lang w:eastAsia="ja-JP"/>
        </w:rPr>
        <w:br w:type="page"/>
      </w:r>
    </w:p>
    <w:p w14:paraId="652D134C" w14:textId="77777777" w:rsidR="006B06C1" w:rsidRPr="003B7E3E" w:rsidRDefault="006B06C1" w:rsidP="006B06C1">
      <w:pPr>
        <w:rPr>
          <w:rFonts w:ascii="Arial" w:eastAsia="Times New Roman" w:hAnsi="Arial" w:cs="Arial"/>
          <w:lang w:eastAsia="ja-JP"/>
        </w:rPr>
      </w:pPr>
    </w:p>
    <w:p w14:paraId="0D4A3755" w14:textId="5D177A71" w:rsidR="006B06C1" w:rsidRPr="003B7E3E" w:rsidRDefault="006B06C1" w:rsidP="006B06C1">
      <w:pPr>
        <w:pStyle w:val="Manuscriptbodytitle"/>
        <w:rPr>
          <w:rFonts w:ascii="Arial" w:hAnsi="Arial" w:cs="Arial"/>
          <w:sz w:val="24"/>
          <w:szCs w:val="24"/>
        </w:rPr>
      </w:pPr>
      <w:bookmarkStart w:id="0" w:name="_Hlk159581242"/>
      <w:r w:rsidRPr="003B7E3E">
        <w:rPr>
          <w:rFonts w:ascii="Arial" w:hAnsi="Arial" w:cs="Arial"/>
          <w:sz w:val="24"/>
          <w:szCs w:val="24"/>
        </w:rPr>
        <w:t xml:space="preserve">Figure </w:t>
      </w:r>
      <w:r w:rsidR="00C221B0">
        <w:rPr>
          <w:rFonts w:ascii="Arial" w:hAnsi="Arial" w:cs="Arial"/>
          <w:sz w:val="24"/>
          <w:szCs w:val="24"/>
        </w:rPr>
        <w:t>S</w:t>
      </w:r>
      <w:r w:rsidRPr="003B7E3E">
        <w:rPr>
          <w:rFonts w:ascii="Arial" w:hAnsi="Arial" w:cs="Arial"/>
          <w:sz w:val="24"/>
          <w:szCs w:val="24"/>
        </w:rPr>
        <w:t>1. Study Design</w:t>
      </w:r>
    </w:p>
    <w:bookmarkEnd w:id="0"/>
    <w:p w14:paraId="733980DB" w14:textId="1450B80D" w:rsidR="006B06C1" w:rsidRPr="003B7E3E" w:rsidRDefault="00417BCF" w:rsidP="006B06C1">
      <w:pPr>
        <w:spacing w:line="360" w:lineRule="auto"/>
        <w:rPr>
          <w:rFonts w:ascii="Arial" w:hAnsi="Arial" w:cs="Arial"/>
          <w:b/>
          <w:bCs/>
        </w:rPr>
      </w:pPr>
      <w:r>
        <w:rPr>
          <w:rFonts w:ascii="Arial" w:hAnsi="Arial" w:cs="Arial"/>
          <w:b/>
          <w:bCs/>
          <w:noProof/>
        </w:rPr>
        <w:drawing>
          <wp:inline distT="0" distB="0" distL="0" distR="0" wp14:anchorId="73BFC48D" wp14:editId="103BD7A7">
            <wp:extent cx="5724525" cy="2247900"/>
            <wp:effectExtent l="0" t="0" r="9525" b="0"/>
            <wp:docPr id="182492793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24525" cy="2247900"/>
                    </a:xfrm>
                    <a:prstGeom prst="rect">
                      <a:avLst/>
                    </a:prstGeom>
                    <a:noFill/>
                    <a:ln>
                      <a:noFill/>
                    </a:ln>
                  </pic:spPr>
                </pic:pic>
              </a:graphicData>
            </a:graphic>
          </wp:inline>
        </w:drawing>
      </w:r>
    </w:p>
    <w:p w14:paraId="00114E9E" w14:textId="77777777" w:rsidR="006B06C1" w:rsidRPr="003B7E3E" w:rsidRDefault="006B06C1" w:rsidP="006B06C1">
      <w:pPr>
        <w:spacing w:line="240" w:lineRule="auto"/>
        <w:rPr>
          <w:rFonts w:ascii="Arial" w:hAnsi="Arial" w:cs="Arial"/>
          <w:sz w:val="16"/>
          <w:szCs w:val="16"/>
        </w:rPr>
      </w:pPr>
      <w:r>
        <w:rPr>
          <w:rFonts w:ascii="Arial" w:hAnsi="Arial" w:cs="Arial"/>
          <w:sz w:val="16"/>
          <w:szCs w:val="16"/>
        </w:rPr>
        <w:t xml:space="preserve">Abbreviations: </w:t>
      </w:r>
      <w:r w:rsidRPr="003B7E3E">
        <w:rPr>
          <w:rFonts w:ascii="Arial" w:hAnsi="Arial" w:cs="Arial"/>
          <w:sz w:val="16"/>
          <w:szCs w:val="16"/>
        </w:rPr>
        <w:t>ESK</w:t>
      </w:r>
      <w:r>
        <w:rPr>
          <w:rFonts w:ascii="Arial" w:hAnsi="Arial" w:cs="Arial"/>
          <w:sz w:val="16"/>
          <w:szCs w:val="16"/>
        </w:rPr>
        <w:t>,</w:t>
      </w:r>
      <w:r w:rsidRPr="003B7E3E">
        <w:rPr>
          <w:rFonts w:ascii="Arial" w:hAnsi="Arial" w:cs="Arial"/>
          <w:sz w:val="16"/>
          <w:szCs w:val="16"/>
        </w:rPr>
        <w:t xml:space="preserve"> esketamine nasal spray; MDD, major depressive disorder; OAD, oral antidepressant; Q2W, every 2 weeks; SNRI, serotonin norepinephrine reuptake inhibitors; SSRI, selective serotonin reuptake inhibitors; XR, extended</w:t>
      </w:r>
      <w:r>
        <w:rPr>
          <w:rFonts w:ascii="Arial" w:hAnsi="Arial" w:cs="Arial"/>
          <w:sz w:val="16"/>
          <w:szCs w:val="16"/>
        </w:rPr>
        <w:t>-</w:t>
      </w:r>
      <w:r w:rsidRPr="003B7E3E">
        <w:rPr>
          <w:rFonts w:ascii="Arial" w:hAnsi="Arial" w:cs="Arial"/>
          <w:sz w:val="16"/>
          <w:szCs w:val="16"/>
        </w:rPr>
        <w:t xml:space="preserve">release. </w:t>
      </w:r>
    </w:p>
    <w:p w14:paraId="3301BD05" w14:textId="77777777" w:rsidR="006B06C1" w:rsidRPr="003B7E3E" w:rsidRDefault="006B06C1" w:rsidP="006B06C1">
      <w:pPr>
        <w:spacing w:line="240" w:lineRule="auto"/>
        <w:rPr>
          <w:rFonts w:ascii="Arial" w:hAnsi="Arial" w:cs="Arial"/>
          <w:sz w:val="16"/>
          <w:szCs w:val="16"/>
        </w:rPr>
      </w:pPr>
      <w:r w:rsidRPr="003B7E3E">
        <w:rPr>
          <w:rFonts w:ascii="Arial" w:hAnsi="Arial" w:cs="Arial"/>
          <w:sz w:val="16"/>
          <w:szCs w:val="16"/>
        </w:rPr>
        <w:t xml:space="preserve">OADs were SSRIs or SNRIs. </w:t>
      </w:r>
    </w:p>
    <w:p w14:paraId="64BD3671" w14:textId="77777777" w:rsidR="006B06C1" w:rsidRPr="003B7E3E" w:rsidRDefault="006B06C1" w:rsidP="006B06C1">
      <w:pPr>
        <w:spacing w:line="240" w:lineRule="auto"/>
        <w:rPr>
          <w:rFonts w:ascii="Arial" w:hAnsi="Arial" w:cs="Arial"/>
          <w:sz w:val="16"/>
          <w:szCs w:val="16"/>
        </w:rPr>
      </w:pPr>
      <w:proofErr w:type="spellStart"/>
      <w:r w:rsidRPr="003B7E3E">
        <w:rPr>
          <w:rFonts w:ascii="Arial" w:hAnsi="Arial" w:cs="Arial"/>
          <w:sz w:val="16"/>
          <w:szCs w:val="16"/>
          <w:vertAlign w:val="superscript"/>
        </w:rPr>
        <w:t>a</w:t>
      </w:r>
      <w:r w:rsidRPr="003B7E3E">
        <w:rPr>
          <w:rFonts w:ascii="Arial" w:hAnsi="Arial" w:cs="Arial"/>
          <w:sz w:val="16"/>
          <w:szCs w:val="16"/>
        </w:rPr>
        <w:t>ESK</w:t>
      </w:r>
      <w:proofErr w:type="spellEnd"/>
      <w:r w:rsidRPr="003B7E3E">
        <w:rPr>
          <w:rFonts w:ascii="Arial" w:hAnsi="Arial" w:cs="Arial"/>
          <w:sz w:val="16"/>
          <w:szCs w:val="16"/>
        </w:rPr>
        <w:t xml:space="preserve"> was dosed twice weekly (56 mg on day 1 and may be increased to 84 mg from day 4) through weeks 1 to 4, weekly (56 or 84 mg) through weeks 5 to 8, and weekly or Q2W (56 or 84 mg) through weeks 9 to 32, all in addition to an ongoing OAD. </w:t>
      </w:r>
    </w:p>
    <w:p w14:paraId="49DE7B6B" w14:textId="77777777" w:rsidR="006B06C1" w:rsidRPr="003B7E3E" w:rsidRDefault="006B06C1" w:rsidP="006B06C1">
      <w:pPr>
        <w:spacing w:line="240" w:lineRule="auto"/>
        <w:rPr>
          <w:rFonts w:ascii="Arial" w:hAnsi="Arial" w:cs="Arial"/>
          <w:sz w:val="16"/>
          <w:szCs w:val="16"/>
        </w:rPr>
      </w:pPr>
      <w:proofErr w:type="spellStart"/>
      <w:r w:rsidRPr="003B7E3E">
        <w:rPr>
          <w:rFonts w:ascii="Arial" w:hAnsi="Arial" w:cs="Arial"/>
          <w:sz w:val="16"/>
          <w:szCs w:val="16"/>
          <w:vertAlign w:val="superscript"/>
        </w:rPr>
        <w:t>b</w:t>
      </w:r>
      <w:r w:rsidRPr="003B7E3E">
        <w:rPr>
          <w:rFonts w:ascii="Arial" w:hAnsi="Arial" w:cs="Arial"/>
          <w:sz w:val="16"/>
          <w:szCs w:val="16"/>
        </w:rPr>
        <w:t>Quetiapine</w:t>
      </w:r>
      <w:proofErr w:type="spellEnd"/>
      <w:r w:rsidRPr="003B7E3E">
        <w:rPr>
          <w:rFonts w:ascii="Arial" w:hAnsi="Arial" w:cs="Arial"/>
          <w:sz w:val="16"/>
          <w:szCs w:val="16"/>
        </w:rPr>
        <w:t xml:space="preserve"> XR was dosed once daily, starting at 50 mg and titrated up to ≥150 mg/day by the end of week 2 and then flexibly dosed (150 to 300 mg/day) from weeks 3 to 32, all in addition to ongoing treatment with an OAD.</w:t>
      </w:r>
    </w:p>
    <w:p w14:paraId="7731A710" w14:textId="77777777" w:rsidR="006B06C1" w:rsidRPr="003B7E3E" w:rsidRDefault="006B06C1" w:rsidP="006B06C1">
      <w:pPr>
        <w:spacing w:line="360" w:lineRule="auto"/>
        <w:rPr>
          <w:rFonts w:ascii="Arial" w:hAnsi="Arial" w:cs="Arial"/>
        </w:rPr>
      </w:pPr>
    </w:p>
    <w:p w14:paraId="46E2FFEE" w14:textId="77777777" w:rsidR="006B06C1" w:rsidRPr="003B7E3E" w:rsidRDefault="006B06C1" w:rsidP="006B06C1">
      <w:pPr>
        <w:rPr>
          <w:rFonts w:ascii="Arial" w:hAnsi="Arial" w:cs="Arial"/>
          <w:b/>
          <w:bCs/>
        </w:rPr>
      </w:pPr>
      <w:r w:rsidRPr="003B7E3E">
        <w:rPr>
          <w:rFonts w:ascii="Arial" w:hAnsi="Arial" w:cs="Arial"/>
          <w:b/>
          <w:bCs/>
        </w:rPr>
        <w:br w:type="page"/>
      </w:r>
    </w:p>
    <w:p w14:paraId="0D8135B1" w14:textId="538A8A7D" w:rsidR="006B06C1" w:rsidRPr="003B7E3E" w:rsidRDefault="006B06C1" w:rsidP="006B06C1">
      <w:pPr>
        <w:spacing w:line="360" w:lineRule="auto"/>
        <w:rPr>
          <w:rFonts w:ascii="Arial" w:hAnsi="Arial" w:cs="Arial"/>
          <w:b/>
          <w:bCs/>
          <w:sz w:val="24"/>
          <w:szCs w:val="24"/>
        </w:rPr>
      </w:pPr>
      <w:r w:rsidRPr="003B7E3E">
        <w:rPr>
          <w:rFonts w:ascii="Arial" w:hAnsi="Arial" w:cs="Arial"/>
          <w:b/>
          <w:bCs/>
          <w:sz w:val="24"/>
          <w:szCs w:val="24"/>
        </w:rPr>
        <w:lastRenderedPageBreak/>
        <w:t xml:space="preserve">Figure </w:t>
      </w:r>
      <w:r w:rsidR="00C221B0">
        <w:rPr>
          <w:rFonts w:ascii="Arial" w:hAnsi="Arial" w:cs="Arial"/>
          <w:b/>
          <w:bCs/>
          <w:sz w:val="24"/>
          <w:szCs w:val="24"/>
        </w:rPr>
        <w:t>S</w:t>
      </w:r>
      <w:r w:rsidRPr="003B7E3E">
        <w:rPr>
          <w:rFonts w:ascii="Arial" w:hAnsi="Arial" w:cs="Arial"/>
          <w:b/>
          <w:bCs/>
          <w:sz w:val="24"/>
          <w:szCs w:val="24"/>
        </w:rPr>
        <w:t>2. CONSORT Diagram</w:t>
      </w:r>
    </w:p>
    <w:p w14:paraId="30F56DD1" w14:textId="4CF09919" w:rsidR="006B06C1" w:rsidRPr="003B7E3E" w:rsidRDefault="00417BCF" w:rsidP="006B06C1">
      <w:pPr>
        <w:spacing w:line="360" w:lineRule="auto"/>
        <w:rPr>
          <w:rFonts w:ascii="Arial" w:hAnsi="Arial" w:cs="Arial"/>
          <w:b/>
          <w:bCs/>
          <w:sz w:val="24"/>
          <w:szCs w:val="24"/>
        </w:rPr>
      </w:pPr>
      <w:r>
        <w:rPr>
          <w:rFonts w:ascii="Arial" w:hAnsi="Arial" w:cs="Arial"/>
          <w:b/>
          <w:bCs/>
          <w:noProof/>
          <w:sz w:val="24"/>
          <w:szCs w:val="24"/>
        </w:rPr>
        <w:drawing>
          <wp:inline distT="0" distB="0" distL="0" distR="0" wp14:anchorId="52350DEB" wp14:editId="7A43A5C8">
            <wp:extent cx="5724525" cy="5562600"/>
            <wp:effectExtent l="0" t="0" r="9525" b="0"/>
            <wp:docPr id="83874997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24525" cy="5562600"/>
                    </a:xfrm>
                    <a:prstGeom prst="rect">
                      <a:avLst/>
                    </a:prstGeom>
                    <a:noFill/>
                    <a:ln>
                      <a:noFill/>
                    </a:ln>
                  </pic:spPr>
                </pic:pic>
              </a:graphicData>
            </a:graphic>
          </wp:inline>
        </w:drawing>
      </w:r>
    </w:p>
    <w:p w14:paraId="5282AC56" w14:textId="77777777" w:rsidR="006B06C1" w:rsidRPr="003B7E3E" w:rsidRDefault="006B06C1" w:rsidP="006B06C1">
      <w:pPr>
        <w:spacing w:line="240" w:lineRule="auto"/>
        <w:rPr>
          <w:rFonts w:ascii="Arial" w:hAnsi="Arial" w:cs="Arial"/>
          <w:sz w:val="16"/>
          <w:szCs w:val="16"/>
        </w:rPr>
      </w:pPr>
      <w:r>
        <w:rPr>
          <w:rFonts w:ascii="Arial" w:hAnsi="Arial" w:cs="Arial"/>
          <w:sz w:val="16"/>
          <w:szCs w:val="16"/>
        </w:rPr>
        <w:t xml:space="preserve">Abbreviations: </w:t>
      </w:r>
      <w:r w:rsidRPr="003B7E3E">
        <w:rPr>
          <w:rFonts w:ascii="Arial" w:hAnsi="Arial" w:cs="Arial"/>
          <w:sz w:val="16"/>
          <w:szCs w:val="16"/>
        </w:rPr>
        <w:t>ESK</w:t>
      </w:r>
      <w:r>
        <w:rPr>
          <w:rFonts w:ascii="Arial" w:hAnsi="Arial" w:cs="Arial"/>
          <w:sz w:val="16"/>
          <w:szCs w:val="16"/>
        </w:rPr>
        <w:t>,</w:t>
      </w:r>
      <w:r w:rsidRPr="003B7E3E">
        <w:rPr>
          <w:rFonts w:ascii="Arial" w:hAnsi="Arial" w:cs="Arial"/>
          <w:sz w:val="16"/>
          <w:szCs w:val="16"/>
        </w:rPr>
        <w:t xml:space="preserve"> esketamine nasal spray; OAD, oral antidepressant; XR, extended</w:t>
      </w:r>
      <w:r>
        <w:rPr>
          <w:rFonts w:ascii="Arial" w:hAnsi="Arial" w:cs="Arial"/>
          <w:sz w:val="16"/>
          <w:szCs w:val="16"/>
        </w:rPr>
        <w:t>-</w:t>
      </w:r>
      <w:r w:rsidRPr="003B7E3E">
        <w:rPr>
          <w:rFonts w:ascii="Arial" w:hAnsi="Arial" w:cs="Arial"/>
          <w:sz w:val="16"/>
          <w:szCs w:val="16"/>
        </w:rPr>
        <w:t xml:space="preserve">release. </w:t>
      </w:r>
    </w:p>
    <w:p w14:paraId="7A1A4F08" w14:textId="77777777" w:rsidR="006B06C1" w:rsidRPr="003B7E3E" w:rsidRDefault="006B06C1" w:rsidP="006B06C1">
      <w:pPr>
        <w:spacing w:line="360" w:lineRule="auto"/>
        <w:rPr>
          <w:rFonts w:ascii="Arial" w:hAnsi="Arial" w:cs="Arial"/>
          <w:b/>
          <w:bCs/>
        </w:rPr>
      </w:pPr>
    </w:p>
    <w:p w14:paraId="5E56E668" w14:textId="77777777" w:rsidR="006B06C1" w:rsidRPr="003B7E3E" w:rsidRDefault="006B06C1" w:rsidP="006B06C1">
      <w:pPr>
        <w:rPr>
          <w:rFonts w:ascii="Calibri" w:eastAsia="Times New Roman" w:hAnsi="Calibri" w:cs="Calibri"/>
          <w:lang w:eastAsia="ja-JP"/>
        </w:rPr>
      </w:pPr>
      <w:r w:rsidRPr="003B7E3E">
        <w:rPr>
          <w:rFonts w:ascii="Calibri" w:eastAsia="Times New Roman" w:hAnsi="Calibri" w:cs="Calibri"/>
          <w:lang w:eastAsia="ja-JP"/>
        </w:rPr>
        <w:br w:type="page"/>
      </w:r>
    </w:p>
    <w:p w14:paraId="46D21167" w14:textId="7F1E9856" w:rsidR="006B06C1" w:rsidRPr="003B7E3E" w:rsidRDefault="006B06C1" w:rsidP="006B06C1">
      <w:pPr>
        <w:spacing w:line="360" w:lineRule="auto"/>
        <w:rPr>
          <w:rFonts w:ascii="Arial" w:hAnsi="Arial" w:cs="Arial"/>
          <w:bCs/>
          <w:sz w:val="24"/>
          <w:szCs w:val="24"/>
        </w:rPr>
      </w:pPr>
      <w:r w:rsidRPr="00A27FA8">
        <w:rPr>
          <w:rFonts w:ascii="Arial" w:hAnsi="Arial" w:cs="Arial"/>
          <w:b/>
          <w:sz w:val="24"/>
          <w:szCs w:val="24"/>
        </w:rPr>
        <w:lastRenderedPageBreak/>
        <w:t xml:space="preserve">Figure </w:t>
      </w:r>
      <w:r w:rsidR="00C221B0">
        <w:rPr>
          <w:rFonts w:ascii="Arial" w:hAnsi="Arial" w:cs="Arial"/>
          <w:b/>
          <w:sz w:val="24"/>
          <w:szCs w:val="24"/>
        </w:rPr>
        <w:t>S</w:t>
      </w:r>
      <w:r w:rsidRPr="00A27FA8">
        <w:rPr>
          <w:rFonts w:ascii="Arial" w:hAnsi="Arial" w:cs="Arial"/>
          <w:b/>
          <w:sz w:val="24"/>
          <w:szCs w:val="24"/>
        </w:rPr>
        <w:t>3.</w:t>
      </w:r>
      <w:r w:rsidRPr="003B7E3E">
        <w:rPr>
          <w:rFonts w:ascii="Arial" w:hAnsi="Arial" w:cs="Arial"/>
          <w:b/>
          <w:bCs/>
          <w:sz w:val="24"/>
          <w:szCs w:val="24"/>
        </w:rPr>
        <w:t xml:space="preserve"> LS Mean Change in MADRS Total Score Over Time</w:t>
      </w:r>
    </w:p>
    <w:p w14:paraId="03F26C4C" w14:textId="5585FB33" w:rsidR="006B06C1" w:rsidRPr="003B7E3E" w:rsidRDefault="00417BCF" w:rsidP="006B06C1">
      <w:pPr>
        <w:pStyle w:val="Manuscriptbody"/>
        <w:rPr>
          <w:rFonts w:ascii="Calibri" w:hAnsi="Calibri" w:cs="Calibri"/>
          <w:lang w:val="en-US" w:eastAsia="en-US"/>
        </w:rPr>
      </w:pPr>
      <w:r>
        <w:rPr>
          <w:rFonts w:ascii="Calibri" w:hAnsi="Calibri" w:cs="Calibri"/>
          <w:noProof/>
          <w:lang w:val="en-US" w:eastAsia="en-US"/>
        </w:rPr>
        <w:drawing>
          <wp:inline distT="0" distB="0" distL="0" distR="0" wp14:anchorId="3A06D2E0" wp14:editId="3B3EFB83">
            <wp:extent cx="5724525" cy="3676650"/>
            <wp:effectExtent l="0" t="0" r="9525" b="0"/>
            <wp:docPr id="204386710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24525" cy="3676650"/>
                    </a:xfrm>
                    <a:prstGeom prst="rect">
                      <a:avLst/>
                    </a:prstGeom>
                    <a:noFill/>
                    <a:ln>
                      <a:noFill/>
                    </a:ln>
                  </pic:spPr>
                </pic:pic>
              </a:graphicData>
            </a:graphic>
          </wp:inline>
        </w:drawing>
      </w:r>
    </w:p>
    <w:p w14:paraId="063144DA" w14:textId="77777777" w:rsidR="006B06C1" w:rsidRPr="00DA3FCF" w:rsidRDefault="006B06C1" w:rsidP="006B06C1">
      <w:pPr>
        <w:spacing w:line="240" w:lineRule="auto"/>
        <w:rPr>
          <w:rFonts w:ascii="Arial" w:hAnsi="Arial" w:cs="Arial"/>
          <w:sz w:val="16"/>
          <w:szCs w:val="16"/>
        </w:rPr>
      </w:pPr>
      <w:r>
        <w:rPr>
          <w:rFonts w:ascii="Arial" w:hAnsi="Arial" w:cs="Arial"/>
          <w:sz w:val="16"/>
          <w:szCs w:val="16"/>
        </w:rPr>
        <w:t xml:space="preserve">Abbreviations: </w:t>
      </w:r>
      <w:r w:rsidRPr="003B7E3E">
        <w:rPr>
          <w:rFonts w:ascii="Arial" w:hAnsi="Arial" w:cs="Arial"/>
          <w:sz w:val="16"/>
          <w:szCs w:val="16"/>
        </w:rPr>
        <w:t>ESK</w:t>
      </w:r>
      <w:r>
        <w:rPr>
          <w:rFonts w:ascii="Arial" w:hAnsi="Arial" w:cs="Arial"/>
          <w:sz w:val="16"/>
          <w:szCs w:val="16"/>
        </w:rPr>
        <w:t>,</w:t>
      </w:r>
      <w:r w:rsidRPr="003B7E3E">
        <w:rPr>
          <w:rFonts w:ascii="Arial" w:hAnsi="Arial" w:cs="Arial"/>
          <w:sz w:val="16"/>
          <w:szCs w:val="16"/>
        </w:rPr>
        <w:t xml:space="preserve"> esketamine nasal spray; LS, least squares; MADRS, Montgomery-Åsberg Depression Rating Scale; MMRM, mixed models for repeated measures; OAD, oral antidepressant; OC, observed cases; SE, standard error; XR, extended</w:t>
      </w:r>
      <w:r>
        <w:rPr>
          <w:rFonts w:ascii="Arial" w:hAnsi="Arial" w:cs="Arial"/>
          <w:sz w:val="16"/>
          <w:szCs w:val="16"/>
        </w:rPr>
        <w:t>-</w:t>
      </w:r>
      <w:r w:rsidRPr="00DA3FCF">
        <w:rPr>
          <w:rFonts w:ascii="Arial" w:hAnsi="Arial" w:cs="Arial"/>
          <w:sz w:val="16"/>
          <w:szCs w:val="16"/>
        </w:rPr>
        <w:t>release.</w:t>
      </w:r>
      <w:r>
        <w:rPr>
          <w:rFonts w:ascii="Arial" w:hAnsi="Arial" w:cs="Arial"/>
          <w:sz w:val="16"/>
          <w:szCs w:val="16"/>
        </w:rPr>
        <w:br/>
      </w:r>
      <w:r w:rsidRPr="003B7E3E">
        <w:rPr>
          <w:rFonts w:ascii="Arial" w:hAnsi="Arial" w:cs="Arial"/>
          <w:sz w:val="16"/>
          <w:szCs w:val="16"/>
        </w:rPr>
        <w:t>The full analysis set includes all randomly assigned patients. Error bars depict SEs. LS means and SE were based on MMRM (based on OC), with treatment, number of treatment failures, time, time by treatment, and baseline value as covariates. Correlations within patients were modeled with an unstructured covariance structure.</w:t>
      </w:r>
      <w:r>
        <w:rPr>
          <w:rFonts w:ascii="Arial" w:hAnsi="Arial" w:cs="Arial"/>
          <w:sz w:val="16"/>
          <w:szCs w:val="16"/>
        </w:rPr>
        <w:br/>
      </w:r>
      <w:r w:rsidRPr="00DA3FCF">
        <w:rPr>
          <w:rFonts w:ascii="Arial" w:hAnsi="Arial" w:cs="Arial"/>
          <w:sz w:val="16"/>
          <w:szCs w:val="16"/>
        </w:rPr>
        <w:t>**</w:t>
      </w:r>
      <w:r w:rsidRPr="00DA3FCF">
        <w:rPr>
          <w:rFonts w:ascii="Arial" w:hAnsi="Arial" w:cs="Arial"/>
          <w:i/>
          <w:iCs/>
          <w:sz w:val="16"/>
          <w:szCs w:val="16"/>
        </w:rPr>
        <w:t>P</w:t>
      </w:r>
      <w:r w:rsidRPr="00DA3FCF">
        <w:rPr>
          <w:rFonts w:ascii="Arial" w:hAnsi="Arial" w:cs="Arial"/>
          <w:sz w:val="16"/>
          <w:szCs w:val="16"/>
        </w:rPr>
        <w:t xml:space="preserve"> &lt; .01; ***</w:t>
      </w:r>
      <w:r w:rsidRPr="00DA3FCF">
        <w:rPr>
          <w:rFonts w:ascii="Arial" w:hAnsi="Arial" w:cs="Arial"/>
          <w:i/>
          <w:iCs/>
          <w:sz w:val="16"/>
          <w:szCs w:val="16"/>
        </w:rPr>
        <w:t>P</w:t>
      </w:r>
      <w:r w:rsidRPr="00DA3FCF">
        <w:rPr>
          <w:rFonts w:ascii="Arial" w:hAnsi="Arial" w:cs="Arial"/>
          <w:sz w:val="16"/>
          <w:szCs w:val="16"/>
        </w:rPr>
        <w:t xml:space="preserve"> &lt; .001.</w:t>
      </w:r>
    </w:p>
    <w:p w14:paraId="2B2B1D3D" w14:textId="77777777" w:rsidR="006B06C1" w:rsidRPr="003B7E3E" w:rsidRDefault="006B06C1" w:rsidP="006B06C1">
      <w:pPr>
        <w:spacing w:line="360" w:lineRule="auto"/>
        <w:rPr>
          <w:rFonts w:ascii="Calibri" w:hAnsi="Calibri" w:cs="Calibri"/>
        </w:rPr>
      </w:pPr>
    </w:p>
    <w:p w14:paraId="300D6FEC" w14:textId="77777777" w:rsidR="006B06C1" w:rsidRPr="003B7E3E" w:rsidRDefault="006B06C1" w:rsidP="006B06C1">
      <w:pPr>
        <w:spacing w:line="360" w:lineRule="auto"/>
        <w:rPr>
          <w:rFonts w:ascii="Calibri" w:hAnsi="Calibri" w:cs="Calibri"/>
        </w:rPr>
        <w:sectPr w:rsidR="006B06C1" w:rsidRPr="003B7E3E" w:rsidSect="00C15F91">
          <w:footerReference w:type="default" r:id="rId10"/>
          <w:pgSz w:w="11900" w:h="16840"/>
          <w:pgMar w:top="1440" w:right="1440" w:bottom="1440" w:left="1440" w:header="709" w:footer="709" w:gutter="0"/>
          <w:cols w:space="708"/>
          <w:docGrid w:linePitch="326"/>
        </w:sectPr>
      </w:pPr>
    </w:p>
    <w:p w14:paraId="0E8B8482" w14:textId="01E233CC" w:rsidR="006B06C1" w:rsidRPr="003B7E3E" w:rsidRDefault="006B06C1" w:rsidP="006B06C1">
      <w:pPr>
        <w:spacing w:line="360" w:lineRule="auto"/>
        <w:rPr>
          <w:rFonts w:ascii="Arial" w:hAnsi="Arial" w:cs="Arial"/>
          <w:sz w:val="24"/>
          <w:szCs w:val="24"/>
        </w:rPr>
      </w:pPr>
      <w:r w:rsidRPr="003B7E3E">
        <w:rPr>
          <w:rFonts w:ascii="Arial" w:hAnsi="Arial" w:cs="Arial"/>
          <w:b/>
          <w:sz w:val="24"/>
          <w:szCs w:val="24"/>
        </w:rPr>
        <w:lastRenderedPageBreak/>
        <w:t xml:space="preserve">Figure </w:t>
      </w:r>
      <w:r w:rsidR="00C221B0">
        <w:rPr>
          <w:rFonts w:ascii="Arial" w:hAnsi="Arial" w:cs="Arial"/>
          <w:b/>
          <w:sz w:val="24"/>
          <w:szCs w:val="24"/>
        </w:rPr>
        <w:t>S</w:t>
      </w:r>
      <w:r w:rsidRPr="003B7E3E">
        <w:rPr>
          <w:rFonts w:ascii="Arial" w:hAnsi="Arial" w:cs="Arial"/>
          <w:b/>
          <w:sz w:val="24"/>
          <w:szCs w:val="24"/>
        </w:rPr>
        <w:t>4. Proportion of Patients Achieving the Primary Endpoint per Sensitivity Analysis</w:t>
      </w:r>
    </w:p>
    <w:p w14:paraId="1967258D" w14:textId="08663019" w:rsidR="006B06C1" w:rsidRPr="003B7E3E" w:rsidRDefault="00417BCF" w:rsidP="006B06C1">
      <w:pPr>
        <w:pStyle w:val="Manuscriptbody"/>
        <w:rPr>
          <w:lang w:val="en-US" w:eastAsia="en-US"/>
        </w:rPr>
      </w:pPr>
      <w:r>
        <w:rPr>
          <w:noProof/>
          <w:lang w:val="en-US" w:eastAsia="en-US"/>
        </w:rPr>
        <w:drawing>
          <wp:inline distT="0" distB="0" distL="0" distR="0" wp14:anchorId="0CB52BE2" wp14:editId="67EAF17B">
            <wp:extent cx="8848725" cy="3952875"/>
            <wp:effectExtent l="0" t="0" r="9525" b="9525"/>
            <wp:docPr id="53519627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8848725" cy="3952875"/>
                    </a:xfrm>
                    <a:prstGeom prst="rect">
                      <a:avLst/>
                    </a:prstGeom>
                    <a:noFill/>
                    <a:ln>
                      <a:noFill/>
                    </a:ln>
                  </pic:spPr>
                </pic:pic>
              </a:graphicData>
            </a:graphic>
          </wp:inline>
        </w:drawing>
      </w:r>
    </w:p>
    <w:p w14:paraId="25186026" w14:textId="77777777" w:rsidR="006B06C1" w:rsidRPr="003B7E3E" w:rsidRDefault="006B06C1" w:rsidP="006B06C1">
      <w:pPr>
        <w:spacing w:line="240" w:lineRule="auto"/>
        <w:rPr>
          <w:rFonts w:ascii="Arial" w:hAnsi="Arial" w:cs="Arial"/>
          <w:sz w:val="16"/>
          <w:szCs w:val="16"/>
        </w:rPr>
      </w:pPr>
      <w:r>
        <w:rPr>
          <w:rFonts w:ascii="Arial" w:hAnsi="Arial" w:cs="Arial"/>
          <w:sz w:val="16"/>
          <w:szCs w:val="16"/>
        </w:rPr>
        <w:t xml:space="preserve">Abbreviations: </w:t>
      </w:r>
      <w:r w:rsidRPr="003B7E3E">
        <w:rPr>
          <w:rFonts w:ascii="Arial" w:hAnsi="Arial" w:cs="Arial"/>
          <w:sz w:val="16"/>
          <w:szCs w:val="16"/>
        </w:rPr>
        <w:t>CI</w:t>
      </w:r>
      <w:r>
        <w:rPr>
          <w:rFonts w:ascii="Arial" w:hAnsi="Arial" w:cs="Arial"/>
          <w:sz w:val="16"/>
          <w:szCs w:val="16"/>
        </w:rPr>
        <w:t>,</w:t>
      </w:r>
      <w:r w:rsidRPr="003B7E3E">
        <w:rPr>
          <w:rFonts w:ascii="Arial" w:hAnsi="Arial" w:cs="Arial"/>
          <w:sz w:val="16"/>
          <w:szCs w:val="16"/>
        </w:rPr>
        <w:t xml:space="preserve"> confidence interval; ESK, esketamine nasal spray; MADRS, Montgomery</w:t>
      </w:r>
      <w:r w:rsidRPr="003B7E3E">
        <w:rPr>
          <w:rFonts w:ascii="Cambria Math" w:hAnsi="Cambria Math" w:cs="Cambria Math"/>
          <w:sz w:val="16"/>
          <w:szCs w:val="16"/>
        </w:rPr>
        <w:t>‑</w:t>
      </w:r>
      <w:r w:rsidRPr="003B7E3E">
        <w:rPr>
          <w:rFonts w:ascii="Arial" w:hAnsi="Arial" w:cs="Arial"/>
          <w:sz w:val="16"/>
          <w:szCs w:val="16"/>
        </w:rPr>
        <w:t>Åsberg Depression Rating Scale; OAD, oral antidepressant; XR, extended</w:t>
      </w:r>
      <w:r>
        <w:rPr>
          <w:rFonts w:ascii="Arial" w:hAnsi="Arial" w:cs="Arial"/>
          <w:sz w:val="16"/>
          <w:szCs w:val="16"/>
        </w:rPr>
        <w:t>-</w:t>
      </w:r>
      <w:r w:rsidRPr="003B7E3E">
        <w:rPr>
          <w:rFonts w:ascii="Arial" w:hAnsi="Arial" w:cs="Arial"/>
          <w:sz w:val="16"/>
          <w:szCs w:val="16"/>
        </w:rPr>
        <w:t>release.</w:t>
      </w:r>
      <w:r>
        <w:rPr>
          <w:rFonts w:ascii="Arial" w:hAnsi="Arial" w:cs="Arial"/>
          <w:sz w:val="16"/>
          <w:szCs w:val="16"/>
        </w:rPr>
        <w:br/>
      </w:r>
      <w:r w:rsidRPr="003B7E3E">
        <w:rPr>
          <w:rFonts w:ascii="Arial" w:hAnsi="Arial" w:cs="Arial"/>
          <w:sz w:val="16"/>
          <w:szCs w:val="16"/>
        </w:rPr>
        <w:t>Percentages are based on the number of subjects in the full analysis set.</w:t>
      </w:r>
      <w:r>
        <w:rPr>
          <w:rFonts w:ascii="Arial" w:hAnsi="Arial" w:cs="Arial"/>
          <w:sz w:val="16"/>
          <w:szCs w:val="16"/>
        </w:rPr>
        <w:br/>
      </w:r>
      <w:r w:rsidRPr="003B7E3E">
        <w:rPr>
          <w:rFonts w:ascii="Arial" w:hAnsi="Arial" w:cs="Arial"/>
          <w:sz w:val="16"/>
          <w:szCs w:val="16"/>
        </w:rPr>
        <w:t xml:space="preserve">The primary endpoint was achieving remission (MADRS total score ≤10) at week 8. </w:t>
      </w:r>
      <w:r>
        <w:rPr>
          <w:rFonts w:ascii="Arial" w:hAnsi="Arial" w:cs="Arial"/>
          <w:sz w:val="16"/>
          <w:szCs w:val="16"/>
          <w:vertAlign w:val="superscript"/>
        </w:rPr>
        <w:br/>
      </w:r>
      <w:proofErr w:type="spellStart"/>
      <w:r w:rsidRPr="003B7E3E">
        <w:rPr>
          <w:rFonts w:ascii="Arial" w:hAnsi="Arial" w:cs="Arial"/>
          <w:sz w:val="16"/>
          <w:szCs w:val="16"/>
          <w:vertAlign w:val="superscript"/>
        </w:rPr>
        <w:t>a</w:t>
      </w:r>
      <w:r w:rsidRPr="003B7E3E">
        <w:rPr>
          <w:rFonts w:ascii="Arial" w:hAnsi="Arial" w:cs="Arial"/>
          <w:i/>
          <w:iCs/>
          <w:sz w:val="16"/>
          <w:szCs w:val="16"/>
        </w:rPr>
        <w:t>P</w:t>
      </w:r>
      <w:proofErr w:type="spellEnd"/>
      <w:r w:rsidRPr="003B7E3E">
        <w:rPr>
          <w:rFonts w:ascii="Arial" w:hAnsi="Arial" w:cs="Arial"/>
          <w:sz w:val="16"/>
          <w:szCs w:val="16"/>
        </w:rPr>
        <w:t xml:space="preserve"> value for Cochran-Mantel-Haenszel test adjusting for total number of treatment failures (2; ≥3).</w:t>
      </w:r>
    </w:p>
    <w:p w14:paraId="332D680C" w14:textId="77777777" w:rsidR="006B06C1" w:rsidRPr="003B7E3E" w:rsidRDefault="006B06C1" w:rsidP="006B06C1">
      <w:pPr>
        <w:spacing w:line="360" w:lineRule="auto"/>
        <w:rPr>
          <w:rFonts w:ascii="Calibri" w:eastAsia="MS ??" w:hAnsi="Calibri" w:cs="Calibri"/>
        </w:rPr>
      </w:pPr>
      <w:r w:rsidRPr="003B7E3E">
        <w:rPr>
          <w:rFonts w:ascii="Calibri" w:hAnsi="Calibri" w:cs="Calibri"/>
        </w:rPr>
        <w:br w:type="page"/>
      </w:r>
    </w:p>
    <w:p w14:paraId="6FFD70D1" w14:textId="6AB126D0" w:rsidR="006B06C1" w:rsidRPr="003B7E3E" w:rsidRDefault="006B06C1" w:rsidP="006B06C1">
      <w:pPr>
        <w:spacing w:line="360" w:lineRule="auto"/>
        <w:rPr>
          <w:rFonts w:ascii="Arial" w:hAnsi="Arial" w:cs="Arial"/>
          <w:sz w:val="24"/>
          <w:szCs w:val="24"/>
        </w:rPr>
      </w:pPr>
      <w:r w:rsidRPr="003B7E3E">
        <w:rPr>
          <w:rFonts w:ascii="Arial" w:hAnsi="Arial" w:cs="Arial"/>
          <w:b/>
          <w:sz w:val="24"/>
          <w:szCs w:val="24"/>
        </w:rPr>
        <w:lastRenderedPageBreak/>
        <w:t xml:space="preserve">Figure </w:t>
      </w:r>
      <w:r w:rsidR="00C221B0">
        <w:rPr>
          <w:rFonts w:ascii="Arial" w:hAnsi="Arial" w:cs="Arial"/>
          <w:b/>
          <w:sz w:val="24"/>
          <w:szCs w:val="24"/>
        </w:rPr>
        <w:t>S</w:t>
      </w:r>
      <w:r w:rsidRPr="003B7E3E">
        <w:rPr>
          <w:rFonts w:ascii="Arial" w:hAnsi="Arial" w:cs="Arial"/>
          <w:b/>
          <w:sz w:val="24"/>
          <w:szCs w:val="24"/>
        </w:rPr>
        <w:t>5. Proportion of Patients Achieving the Key Secondary Endpoint per Sensitivity Analysis</w:t>
      </w:r>
    </w:p>
    <w:p w14:paraId="68DE07AC" w14:textId="2105E904" w:rsidR="006B06C1" w:rsidRPr="003B7E3E" w:rsidRDefault="00417BCF" w:rsidP="006B06C1">
      <w:r>
        <w:rPr>
          <w:noProof/>
        </w:rPr>
        <w:drawing>
          <wp:inline distT="0" distB="0" distL="0" distR="0" wp14:anchorId="3EEE1D69" wp14:editId="5B04F2FE">
            <wp:extent cx="8848725" cy="3952875"/>
            <wp:effectExtent l="0" t="0" r="9525" b="9525"/>
            <wp:docPr id="157738646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848725" cy="3952875"/>
                    </a:xfrm>
                    <a:prstGeom prst="rect">
                      <a:avLst/>
                    </a:prstGeom>
                    <a:noFill/>
                    <a:ln>
                      <a:noFill/>
                    </a:ln>
                  </pic:spPr>
                </pic:pic>
              </a:graphicData>
            </a:graphic>
          </wp:inline>
        </w:drawing>
      </w:r>
    </w:p>
    <w:p w14:paraId="28D9342B" w14:textId="77777777" w:rsidR="006B06C1" w:rsidRDefault="006B06C1" w:rsidP="006B06C1">
      <w:pPr>
        <w:spacing w:line="240" w:lineRule="auto"/>
        <w:rPr>
          <w:rFonts w:ascii="Arial" w:hAnsi="Arial" w:cs="Arial"/>
          <w:sz w:val="16"/>
          <w:szCs w:val="16"/>
        </w:rPr>
      </w:pPr>
      <w:r>
        <w:rPr>
          <w:rFonts w:ascii="Arial" w:hAnsi="Arial" w:cs="Arial"/>
          <w:sz w:val="16"/>
          <w:szCs w:val="16"/>
        </w:rPr>
        <w:t xml:space="preserve">Abbreviations: </w:t>
      </w:r>
      <w:r w:rsidRPr="003B7E3E">
        <w:rPr>
          <w:rFonts w:ascii="Arial" w:hAnsi="Arial" w:cs="Arial"/>
          <w:sz w:val="16"/>
          <w:szCs w:val="16"/>
        </w:rPr>
        <w:t>CGI</w:t>
      </w:r>
      <w:r w:rsidRPr="003B7E3E">
        <w:rPr>
          <w:rFonts w:ascii="Cambria Math" w:hAnsi="Cambria Math" w:cs="Cambria Math"/>
          <w:sz w:val="16"/>
          <w:szCs w:val="16"/>
        </w:rPr>
        <w:t>‑</w:t>
      </w:r>
      <w:r w:rsidRPr="003B7E3E">
        <w:rPr>
          <w:rFonts w:ascii="Arial" w:hAnsi="Arial" w:cs="Arial"/>
          <w:sz w:val="16"/>
          <w:szCs w:val="16"/>
        </w:rPr>
        <w:t>S</w:t>
      </w:r>
      <w:r>
        <w:rPr>
          <w:rFonts w:ascii="Arial" w:hAnsi="Arial" w:cs="Arial"/>
          <w:sz w:val="16"/>
          <w:szCs w:val="16"/>
        </w:rPr>
        <w:t>,</w:t>
      </w:r>
      <w:r w:rsidRPr="003B7E3E">
        <w:rPr>
          <w:rFonts w:ascii="Arial" w:hAnsi="Arial" w:cs="Arial"/>
          <w:sz w:val="16"/>
          <w:szCs w:val="16"/>
        </w:rPr>
        <w:t xml:space="preserve"> Clinical Global Impression</w:t>
      </w:r>
      <w:r w:rsidRPr="003B7E3E">
        <w:rPr>
          <w:rFonts w:ascii="Cambria Math" w:hAnsi="Cambria Math" w:cs="Cambria Math"/>
          <w:sz w:val="16"/>
          <w:szCs w:val="16"/>
        </w:rPr>
        <w:t>‑</w:t>
      </w:r>
      <w:r w:rsidRPr="003B7E3E">
        <w:rPr>
          <w:rFonts w:ascii="Arial" w:hAnsi="Arial" w:cs="Arial"/>
          <w:sz w:val="16"/>
          <w:szCs w:val="16"/>
        </w:rPr>
        <w:t>Severity scale; CI, confidence interval; ESK, esketamine nasal spray; MADRS, Montgomery</w:t>
      </w:r>
      <w:r w:rsidRPr="003B7E3E">
        <w:rPr>
          <w:rFonts w:ascii="Cambria Math" w:hAnsi="Cambria Math" w:cs="Cambria Math"/>
          <w:sz w:val="16"/>
          <w:szCs w:val="16"/>
        </w:rPr>
        <w:t>‑</w:t>
      </w:r>
      <w:r w:rsidRPr="003B7E3E">
        <w:rPr>
          <w:rFonts w:ascii="Arial" w:hAnsi="Arial" w:cs="Arial"/>
          <w:sz w:val="16"/>
          <w:szCs w:val="16"/>
        </w:rPr>
        <w:t>Åsberg Depression Rating Scale; OAD, oral antidepressant; XR, extended release</w:t>
      </w:r>
      <w:r>
        <w:rPr>
          <w:rFonts w:ascii="Arial" w:hAnsi="Arial" w:cs="Arial"/>
          <w:sz w:val="16"/>
          <w:szCs w:val="16"/>
        </w:rPr>
        <w:br/>
      </w:r>
      <w:r w:rsidRPr="003B7E3E">
        <w:rPr>
          <w:rFonts w:ascii="Arial" w:hAnsi="Arial" w:cs="Arial"/>
          <w:sz w:val="16"/>
          <w:szCs w:val="16"/>
        </w:rPr>
        <w:t>Percentages are based on the number of subjects in the full analysis set.</w:t>
      </w:r>
      <w:r>
        <w:rPr>
          <w:rFonts w:ascii="Arial" w:hAnsi="Arial" w:cs="Arial"/>
          <w:sz w:val="16"/>
          <w:szCs w:val="16"/>
        </w:rPr>
        <w:br/>
      </w:r>
      <w:r w:rsidRPr="003B7E3E">
        <w:rPr>
          <w:rFonts w:ascii="Arial" w:hAnsi="Arial" w:cs="Arial"/>
          <w:sz w:val="16"/>
          <w:szCs w:val="16"/>
        </w:rPr>
        <w:t>The key secondary endpoint was remaining relapse</w:t>
      </w:r>
      <w:r w:rsidRPr="003B7E3E">
        <w:rPr>
          <w:rFonts w:ascii="Cambria Math" w:hAnsi="Cambria Math" w:cs="Cambria Math"/>
          <w:sz w:val="16"/>
          <w:szCs w:val="16"/>
        </w:rPr>
        <w:t>‑</w:t>
      </w:r>
      <w:r w:rsidRPr="003B7E3E">
        <w:rPr>
          <w:rFonts w:ascii="Arial" w:hAnsi="Arial" w:cs="Arial"/>
          <w:sz w:val="16"/>
          <w:szCs w:val="16"/>
        </w:rPr>
        <w:t xml:space="preserve">free though week 32 after achieving remission at week 8. </w:t>
      </w:r>
      <w:r>
        <w:rPr>
          <w:rFonts w:ascii="Arial" w:hAnsi="Arial" w:cs="Arial"/>
          <w:sz w:val="16"/>
          <w:szCs w:val="16"/>
        </w:rPr>
        <w:br/>
      </w:r>
      <w:r w:rsidRPr="003B7E3E">
        <w:rPr>
          <w:rFonts w:ascii="Arial" w:hAnsi="Arial" w:cs="Arial"/>
          <w:sz w:val="16"/>
          <w:szCs w:val="16"/>
        </w:rPr>
        <w:t xml:space="preserve">For relapse based on CGI-S, relapse was defined as any of (a) CGI-S total score of ≥5, (b) hospitalization for worsening of depression, or (c) suicide attempt, completed suicide, or other clinically relevant event not associated with hospitalization. </w:t>
      </w:r>
      <w:r>
        <w:rPr>
          <w:rFonts w:ascii="Arial" w:hAnsi="Arial" w:cs="Arial"/>
          <w:sz w:val="16"/>
          <w:szCs w:val="16"/>
          <w:vertAlign w:val="superscript"/>
        </w:rPr>
        <w:br/>
      </w:r>
      <w:proofErr w:type="spellStart"/>
      <w:r w:rsidRPr="003B7E3E">
        <w:rPr>
          <w:rFonts w:ascii="Arial" w:hAnsi="Arial" w:cs="Arial"/>
          <w:sz w:val="16"/>
          <w:szCs w:val="16"/>
          <w:vertAlign w:val="superscript"/>
        </w:rPr>
        <w:t>a</w:t>
      </w:r>
      <w:r w:rsidRPr="003B7E3E">
        <w:rPr>
          <w:rFonts w:ascii="Arial" w:hAnsi="Arial" w:cs="Arial"/>
          <w:i/>
          <w:iCs/>
          <w:sz w:val="16"/>
          <w:szCs w:val="16"/>
        </w:rPr>
        <w:t>P</w:t>
      </w:r>
      <w:proofErr w:type="spellEnd"/>
      <w:r w:rsidRPr="003B7E3E">
        <w:rPr>
          <w:rFonts w:ascii="Arial" w:hAnsi="Arial" w:cs="Arial"/>
          <w:sz w:val="16"/>
          <w:szCs w:val="16"/>
        </w:rPr>
        <w:t xml:space="preserve"> value for Cochran-Mantel-Haenszel test adjusting for total number of treatment failures (2; ≥3).</w:t>
      </w:r>
    </w:p>
    <w:p w14:paraId="2FB31191" w14:textId="77777777" w:rsidR="006B06C1" w:rsidRDefault="006B06C1" w:rsidP="006B06C1">
      <w:pPr>
        <w:rPr>
          <w:rFonts w:ascii="Arial" w:hAnsi="Arial" w:cs="Arial"/>
          <w:sz w:val="16"/>
          <w:szCs w:val="16"/>
        </w:rPr>
      </w:pPr>
      <w:r>
        <w:rPr>
          <w:rFonts w:ascii="Arial" w:hAnsi="Arial" w:cs="Arial"/>
          <w:sz w:val="16"/>
          <w:szCs w:val="16"/>
        </w:rPr>
        <w:br w:type="page"/>
      </w:r>
    </w:p>
    <w:p w14:paraId="03B5A725" w14:textId="7101A2C5" w:rsidR="006B06C1" w:rsidRPr="003B7E3E" w:rsidRDefault="006B06C1" w:rsidP="006B06C1">
      <w:pPr>
        <w:spacing w:line="360" w:lineRule="auto"/>
        <w:rPr>
          <w:rFonts w:ascii="Arial" w:hAnsi="Arial" w:cs="Arial"/>
          <w:sz w:val="24"/>
          <w:szCs w:val="24"/>
        </w:rPr>
      </w:pPr>
      <w:r w:rsidRPr="003B7E3E">
        <w:rPr>
          <w:rFonts w:ascii="Arial" w:hAnsi="Arial" w:cs="Arial"/>
          <w:b/>
          <w:sz w:val="24"/>
          <w:szCs w:val="24"/>
        </w:rPr>
        <w:lastRenderedPageBreak/>
        <w:t xml:space="preserve">Figure </w:t>
      </w:r>
      <w:r w:rsidR="00C221B0">
        <w:rPr>
          <w:rFonts w:ascii="Arial" w:hAnsi="Arial" w:cs="Arial"/>
          <w:b/>
          <w:sz w:val="24"/>
          <w:szCs w:val="24"/>
        </w:rPr>
        <w:t>S</w:t>
      </w:r>
      <w:r w:rsidRPr="003B7E3E">
        <w:rPr>
          <w:rFonts w:ascii="Arial" w:hAnsi="Arial" w:cs="Arial"/>
          <w:b/>
          <w:sz w:val="24"/>
          <w:szCs w:val="24"/>
        </w:rPr>
        <w:t>6. Patients in Remission Based on MADRS Total Scores ≤8, ≤10, and ≤12 Over Time</w:t>
      </w:r>
      <w:r>
        <w:rPr>
          <w:rFonts w:ascii="Arial" w:hAnsi="Arial" w:cs="Arial"/>
          <w:b/>
          <w:sz w:val="24"/>
          <w:szCs w:val="24"/>
        </w:rPr>
        <w:t xml:space="preserve"> (LOCF)</w:t>
      </w:r>
    </w:p>
    <w:p w14:paraId="6AD9E425" w14:textId="590CEC04" w:rsidR="006B06C1" w:rsidRPr="003B7E3E" w:rsidRDefault="00417BCF" w:rsidP="006B06C1">
      <w:r>
        <w:rPr>
          <w:noProof/>
        </w:rPr>
        <w:drawing>
          <wp:inline distT="0" distB="0" distL="0" distR="0" wp14:anchorId="3F5527C7" wp14:editId="77824102">
            <wp:extent cx="8858250" cy="4505325"/>
            <wp:effectExtent l="0" t="0" r="0" b="9525"/>
            <wp:docPr id="13546102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8858250" cy="4505325"/>
                    </a:xfrm>
                    <a:prstGeom prst="rect">
                      <a:avLst/>
                    </a:prstGeom>
                    <a:noFill/>
                    <a:ln>
                      <a:noFill/>
                    </a:ln>
                  </pic:spPr>
                </pic:pic>
              </a:graphicData>
            </a:graphic>
          </wp:inline>
        </w:drawing>
      </w:r>
    </w:p>
    <w:p w14:paraId="483F7EF9" w14:textId="5FC72FD1" w:rsidR="0058766D" w:rsidRDefault="006B06C1" w:rsidP="00417BCF">
      <w:pPr>
        <w:spacing w:line="240" w:lineRule="auto"/>
      </w:pPr>
      <w:r>
        <w:rPr>
          <w:rFonts w:ascii="Arial" w:hAnsi="Arial" w:cs="Arial"/>
          <w:sz w:val="16"/>
          <w:szCs w:val="16"/>
        </w:rPr>
        <w:t xml:space="preserve">Abbreviations: </w:t>
      </w:r>
      <w:r w:rsidRPr="003B7E3E">
        <w:rPr>
          <w:rFonts w:ascii="Arial" w:hAnsi="Arial" w:cs="Arial"/>
          <w:sz w:val="16"/>
          <w:szCs w:val="16"/>
        </w:rPr>
        <w:t>CI</w:t>
      </w:r>
      <w:r>
        <w:rPr>
          <w:rFonts w:ascii="Arial" w:hAnsi="Arial" w:cs="Arial"/>
          <w:sz w:val="16"/>
          <w:szCs w:val="16"/>
        </w:rPr>
        <w:t>,</w:t>
      </w:r>
      <w:r w:rsidRPr="003B7E3E">
        <w:rPr>
          <w:rFonts w:ascii="Arial" w:hAnsi="Arial" w:cs="Arial"/>
          <w:sz w:val="16"/>
          <w:szCs w:val="16"/>
        </w:rPr>
        <w:t xml:space="preserve"> confidence interval; ESK, esketamine nasal spray; </w:t>
      </w:r>
      <w:r>
        <w:rPr>
          <w:rFonts w:ascii="Arial" w:hAnsi="Arial" w:cs="Arial"/>
          <w:sz w:val="16"/>
          <w:szCs w:val="16"/>
        </w:rPr>
        <w:t xml:space="preserve">LOCF, last observation carried forward; </w:t>
      </w:r>
      <w:r w:rsidRPr="003B7E3E">
        <w:rPr>
          <w:rFonts w:ascii="Arial" w:hAnsi="Arial" w:cs="Arial"/>
          <w:sz w:val="16"/>
          <w:szCs w:val="16"/>
        </w:rPr>
        <w:t>MADRS, Montgomery</w:t>
      </w:r>
      <w:r w:rsidRPr="003B7E3E">
        <w:rPr>
          <w:rFonts w:ascii="Cambria Math" w:hAnsi="Cambria Math" w:cs="Cambria Math"/>
          <w:sz w:val="16"/>
          <w:szCs w:val="16"/>
        </w:rPr>
        <w:t>‑</w:t>
      </w:r>
      <w:r w:rsidRPr="003B7E3E">
        <w:rPr>
          <w:rFonts w:ascii="Arial" w:hAnsi="Arial" w:cs="Arial"/>
          <w:sz w:val="16"/>
          <w:szCs w:val="16"/>
        </w:rPr>
        <w:t>Åsberg Depression Rating Scale; OAD, oral antidepressant; XR, extended</w:t>
      </w:r>
      <w:r>
        <w:rPr>
          <w:rFonts w:ascii="Arial" w:hAnsi="Arial" w:cs="Arial"/>
          <w:sz w:val="16"/>
          <w:szCs w:val="16"/>
        </w:rPr>
        <w:t>-</w:t>
      </w:r>
      <w:r w:rsidRPr="003B7E3E">
        <w:rPr>
          <w:rFonts w:ascii="Arial" w:hAnsi="Arial" w:cs="Arial"/>
          <w:sz w:val="16"/>
          <w:szCs w:val="16"/>
        </w:rPr>
        <w:t>release.</w:t>
      </w:r>
      <w:r>
        <w:rPr>
          <w:rFonts w:ascii="Arial" w:hAnsi="Arial" w:cs="Arial"/>
          <w:sz w:val="16"/>
          <w:szCs w:val="16"/>
        </w:rPr>
        <w:br/>
      </w:r>
      <w:r w:rsidRPr="003B7E3E">
        <w:rPr>
          <w:rFonts w:ascii="Arial" w:hAnsi="Arial" w:cs="Arial"/>
          <w:sz w:val="16"/>
          <w:szCs w:val="16"/>
        </w:rPr>
        <w:t xml:space="preserve">Percentages are based on the number of subjects at each timepoint for </w:t>
      </w:r>
      <w:r>
        <w:rPr>
          <w:rFonts w:ascii="Arial" w:hAnsi="Arial" w:cs="Arial"/>
          <w:sz w:val="16"/>
          <w:szCs w:val="16"/>
        </w:rPr>
        <w:t>LOCF</w:t>
      </w:r>
      <w:r w:rsidRPr="003B7E3E">
        <w:rPr>
          <w:rFonts w:ascii="Arial" w:hAnsi="Arial" w:cs="Arial"/>
          <w:sz w:val="16"/>
          <w:szCs w:val="16"/>
        </w:rPr>
        <w:t>. Remission is defined as a MADRS total score ≤8, ≤10, or ≤12.</w:t>
      </w:r>
      <w:r>
        <w:rPr>
          <w:rFonts w:ascii="Arial" w:hAnsi="Arial" w:cs="Arial"/>
          <w:i/>
          <w:iCs/>
          <w:sz w:val="16"/>
          <w:szCs w:val="16"/>
        </w:rPr>
        <w:br/>
      </w:r>
      <w:r w:rsidRPr="003B7E3E">
        <w:rPr>
          <w:rFonts w:ascii="Arial" w:hAnsi="Arial" w:cs="Arial"/>
          <w:i/>
          <w:iCs/>
          <w:sz w:val="16"/>
          <w:szCs w:val="16"/>
        </w:rPr>
        <w:t>P</w:t>
      </w:r>
      <w:r w:rsidRPr="003B7E3E">
        <w:rPr>
          <w:rFonts w:ascii="Arial" w:hAnsi="Arial" w:cs="Arial"/>
          <w:sz w:val="16"/>
          <w:szCs w:val="16"/>
        </w:rPr>
        <w:t xml:space="preserve"> value for Cochran-Mantel-Haenszel test adjusting for total number of treatment failures (2; ≥3).</w:t>
      </w:r>
    </w:p>
    <w:sectPr w:rsidR="0058766D" w:rsidSect="00C15F91">
      <w:pgSz w:w="16838" w:h="11906" w:orient="landscape"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84F31C1" w14:textId="77777777" w:rsidR="00C15F91" w:rsidRDefault="00C15F91">
      <w:pPr>
        <w:spacing w:after="0" w:line="240" w:lineRule="auto"/>
      </w:pPr>
      <w:r>
        <w:separator/>
      </w:r>
    </w:p>
  </w:endnote>
  <w:endnote w:type="continuationSeparator" w:id="0">
    <w:p w14:paraId="43DD6707" w14:textId="77777777" w:rsidR="00C15F91" w:rsidRDefault="00C15F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S ??">
    <w:altName w:val="Yu Gothic"/>
    <w:panose1 w:val="00000000000000000000"/>
    <w:charset w:val="80"/>
    <w:family w:val="auto"/>
    <w:notTrueType/>
    <w:pitch w:val="variable"/>
    <w:sig w:usb0="00000001" w:usb1="08070000" w:usb2="00000010" w:usb3="00000000" w:csb0="00020000"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57870436"/>
      <w:docPartObj>
        <w:docPartGallery w:val="Page Numbers (Bottom of Page)"/>
        <w:docPartUnique/>
      </w:docPartObj>
    </w:sdtPr>
    <w:sdtEndPr>
      <w:rPr>
        <w:rFonts w:ascii="Arial" w:hAnsi="Arial" w:cs="Arial"/>
        <w:noProof/>
      </w:rPr>
    </w:sdtEndPr>
    <w:sdtContent>
      <w:p w14:paraId="2BF16AA6" w14:textId="137AC558" w:rsidR="007A41CE" w:rsidRPr="0011762A" w:rsidRDefault="008959E8">
        <w:pPr>
          <w:pStyle w:val="Footer"/>
          <w:jc w:val="right"/>
          <w:rPr>
            <w:rFonts w:ascii="Arial" w:hAnsi="Arial" w:cs="Arial"/>
          </w:rPr>
        </w:pPr>
        <w:r w:rsidRPr="0011762A">
          <w:rPr>
            <w:rFonts w:ascii="Arial" w:hAnsi="Arial" w:cs="Arial"/>
          </w:rPr>
          <w:fldChar w:fldCharType="begin"/>
        </w:r>
        <w:r w:rsidRPr="0011762A">
          <w:rPr>
            <w:rFonts w:ascii="Arial" w:hAnsi="Arial" w:cs="Arial"/>
          </w:rPr>
          <w:instrText xml:space="preserve"> PAGE   \* MERGEFORMAT </w:instrText>
        </w:r>
        <w:r w:rsidRPr="0011762A">
          <w:rPr>
            <w:rFonts w:ascii="Arial" w:hAnsi="Arial" w:cs="Arial"/>
          </w:rPr>
          <w:fldChar w:fldCharType="separate"/>
        </w:r>
        <w:r w:rsidRPr="0011762A">
          <w:rPr>
            <w:rFonts w:ascii="Arial" w:hAnsi="Arial" w:cs="Arial"/>
            <w:noProof/>
          </w:rPr>
          <w:t>2</w:t>
        </w:r>
        <w:r w:rsidRPr="0011762A">
          <w:rPr>
            <w:rFonts w:ascii="Arial" w:hAnsi="Arial" w:cs="Arial"/>
            <w:noProof/>
          </w:rPr>
          <w:fldChar w:fldCharType="end"/>
        </w:r>
      </w:p>
    </w:sdtContent>
  </w:sdt>
  <w:p w14:paraId="6795206B" w14:textId="77777777" w:rsidR="007A41CE" w:rsidRDefault="007A41C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CFEA586" w14:textId="77777777" w:rsidR="00C15F91" w:rsidRDefault="00C15F91">
      <w:pPr>
        <w:spacing w:after="0" w:line="240" w:lineRule="auto"/>
      </w:pPr>
      <w:r>
        <w:separator/>
      </w:r>
    </w:p>
  </w:footnote>
  <w:footnote w:type="continuationSeparator" w:id="0">
    <w:p w14:paraId="258B2141" w14:textId="77777777" w:rsidR="00C15F91" w:rsidRDefault="00C15F9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60959"/>
    <w:rsid w:val="00081BAF"/>
    <w:rsid w:val="0009588E"/>
    <w:rsid w:val="000E482E"/>
    <w:rsid w:val="001041D7"/>
    <w:rsid w:val="0011762A"/>
    <w:rsid w:val="001B01D1"/>
    <w:rsid w:val="00417BCF"/>
    <w:rsid w:val="0049083B"/>
    <w:rsid w:val="0058766D"/>
    <w:rsid w:val="005F7E15"/>
    <w:rsid w:val="006B06C1"/>
    <w:rsid w:val="00732C96"/>
    <w:rsid w:val="007A41CE"/>
    <w:rsid w:val="008959E8"/>
    <w:rsid w:val="00904FBA"/>
    <w:rsid w:val="00A51C06"/>
    <w:rsid w:val="00C15F91"/>
    <w:rsid w:val="00C221B0"/>
    <w:rsid w:val="00F05770"/>
    <w:rsid w:val="00F6095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121158"/>
  <w15:chartTrackingRefBased/>
  <w15:docId w15:val="{A918FE84-E9CD-4C12-B3FB-F88A59814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06C1"/>
    <w:rPr>
      <w14:ligatures w14:val="none"/>
    </w:rPr>
  </w:style>
  <w:style w:type="paragraph" w:styleId="Heading1">
    <w:name w:val="heading 1"/>
    <w:basedOn w:val="Normal"/>
    <w:next w:val="Normal"/>
    <w:link w:val="Heading1Char"/>
    <w:uiPriority w:val="9"/>
    <w:qFormat/>
    <w:rsid w:val="00081BAF"/>
    <w:pPr>
      <w:keepNext/>
      <w:keepLines/>
      <w:spacing w:before="240" w:after="0"/>
      <w:outlineLvl w:val="0"/>
    </w:pPr>
    <w:rPr>
      <w:rFonts w:ascii="Calibri" w:eastAsiaTheme="majorEastAsia" w:hAnsi="Calibri" w:cstheme="majorBidi"/>
      <w:b/>
      <w:szCs w:val="32"/>
      <w:u w:val="single"/>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81BAF"/>
    <w:rPr>
      <w:rFonts w:ascii="Calibri" w:eastAsiaTheme="majorEastAsia" w:hAnsi="Calibri" w:cstheme="majorBidi"/>
      <w:b/>
      <w:szCs w:val="32"/>
      <w:u w:val="single"/>
    </w:rPr>
  </w:style>
  <w:style w:type="paragraph" w:customStyle="1" w:styleId="Manuscriptbody">
    <w:name w:val="Manuscript body"/>
    <w:basedOn w:val="NormalWeb"/>
    <w:link w:val="ManuscriptbodyChar"/>
    <w:qFormat/>
    <w:rsid w:val="006B06C1"/>
    <w:pPr>
      <w:spacing w:after="100" w:afterAutospacing="1" w:line="360" w:lineRule="auto"/>
    </w:pPr>
    <w:rPr>
      <w:rFonts w:ascii="Tahoma" w:eastAsia="Times New Roman" w:hAnsi="Tahoma"/>
      <w:lang w:val="en-GB" w:eastAsia="ja-JP"/>
    </w:rPr>
  </w:style>
  <w:style w:type="character" w:customStyle="1" w:styleId="ManuscriptbodyChar">
    <w:name w:val="Manuscript body Char"/>
    <w:basedOn w:val="DefaultParagraphFont"/>
    <w:link w:val="Manuscriptbody"/>
    <w:rsid w:val="006B06C1"/>
    <w:rPr>
      <w:rFonts w:ascii="Tahoma" w:eastAsia="Times New Roman" w:hAnsi="Tahoma" w:cs="Times New Roman"/>
      <w:sz w:val="24"/>
      <w:szCs w:val="24"/>
      <w:lang w:val="en-GB" w:eastAsia="ja-JP"/>
      <w14:ligatures w14:val="none"/>
    </w:rPr>
  </w:style>
  <w:style w:type="paragraph" w:customStyle="1" w:styleId="Manuscriptbodytitle">
    <w:name w:val="Manuscript body title"/>
    <w:basedOn w:val="Normal"/>
    <w:next w:val="Manuscriptbody"/>
    <w:link w:val="ManuscriptbodytitleChar"/>
    <w:qFormat/>
    <w:rsid w:val="006B06C1"/>
    <w:pPr>
      <w:spacing w:after="0" w:line="480" w:lineRule="auto"/>
      <w:outlineLvl w:val="0"/>
    </w:pPr>
    <w:rPr>
      <w:rFonts w:ascii="Tahoma" w:eastAsia="MS ??" w:hAnsi="Tahoma" w:cs="Tahoma"/>
      <w:b/>
    </w:rPr>
  </w:style>
  <w:style w:type="character" w:customStyle="1" w:styleId="ManuscriptbodytitleChar">
    <w:name w:val="Manuscript body title Char"/>
    <w:basedOn w:val="DefaultParagraphFont"/>
    <w:link w:val="Manuscriptbodytitle"/>
    <w:rsid w:val="006B06C1"/>
    <w:rPr>
      <w:rFonts w:ascii="Tahoma" w:eastAsia="MS ??" w:hAnsi="Tahoma" w:cs="Tahoma"/>
      <w:b/>
      <w14:ligatures w14:val="none"/>
    </w:rPr>
  </w:style>
  <w:style w:type="table" w:styleId="TableGrid">
    <w:name w:val="Table Grid"/>
    <w:basedOn w:val="TableNormal"/>
    <w:uiPriority w:val="39"/>
    <w:rsid w:val="006B06C1"/>
    <w:pPr>
      <w:spacing w:after="0" w:line="240" w:lineRule="auto"/>
    </w:pPr>
    <w:rPr>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6B06C1"/>
    <w:pPr>
      <w:tabs>
        <w:tab w:val="center" w:pos="4680"/>
        <w:tab w:val="right" w:pos="9360"/>
      </w:tabs>
      <w:spacing w:after="0" w:line="240" w:lineRule="auto"/>
    </w:pPr>
  </w:style>
  <w:style w:type="character" w:customStyle="1" w:styleId="FooterChar">
    <w:name w:val="Footer Char"/>
    <w:basedOn w:val="DefaultParagraphFont"/>
    <w:link w:val="Footer"/>
    <w:uiPriority w:val="99"/>
    <w:rsid w:val="006B06C1"/>
    <w:rPr>
      <w14:ligatures w14:val="none"/>
    </w:rPr>
  </w:style>
  <w:style w:type="paragraph" w:styleId="NormalWeb">
    <w:name w:val="Normal (Web)"/>
    <w:basedOn w:val="Normal"/>
    <w:uiPriority w:val="99"/>
    <w:semiHidden/>
    <w:unhideWhenUsed/>
    <w:rsid w:val="006B06C1"/>
    <w:rPr>
      <w:rFonts w:ascii="Times New Roman" w:hAnsi="Times New Roman" w:cs="Times New Roman"/>
      <w:sz w:val="24"/>
      <w:szCs w:val="24"/>
    </w:rPr>
  </w:style>
  <w:style w:type="paragraph" w:styleId="Header">
    <w:name w:val="header"/>
    <w:basedOn w:val="Normal"/>
    <w:link w:val="HeaderChar"/>
    <w:uiPriority w:val="99"/>
    <w:unhideWhenUsed/>
    <w:rsid w:val="008959E8"/>
    <w:pPr>
      <w:tabs>
        <w:tab w:val="center" w:pos="4680"/>
        <w:tab w:val="right" w:pos="9360"/>
      </w:tabs>
      <w:spacing w:after="0" w:line="240" w:lineRule="auto"/>
    </w:pPr>
  </w:style>
  <w:style w:type="character" w:customStyle="1" w:styleId="HeaderChar">
    <w:name w:val="Header Char"/>
    <w:basedOn w:val="DefaultParagraphFont"/>
    <w:link w:val="Header"/>
    <w:uiPriority w:val="99"/>
    <w:rsid w:val="008959E8"/>
    <w:rP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jpe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8F6D27-4079-47C7-90B7-DB6D28F4AE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TotalTime>
  <Pages>8</Pages>
  <Words>780</Words>
  <Characters>4451</Characters>
  <Application>Microsoft Office Word</Application>
  <DocSecurity>0</DocSecurity>
  <Lines>37</Lines>
  <Paragraphs>10</Paragraphs>
  <ScaleCrop>false</ScaleCrop>
  <Company/>
  <LinksUpToDate>false</LinksUpToDate>
  <CharactersWithSpaces>5221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van Laeren</dc:creator>
  <cp:keywords/>
  <dc:description/>
  <cp:lastModifiedBy>Laura van Laeren</cp:lastModifiedBy>
  <cp:revision>3</cp:revision>
  <dcterms:created xsi:type="dcterms:W3CDTF">2024-04-05T07:46:00Z</dcterms:created>
  <dcterms:modified xsi:type="dcterms:W3CDTF">2024-12-18T07:20:00Z</dcterms:modified>
</cp:coreProperties>
</file>