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3189" w14:textId="77777777" w:rsidR="00F71A30" w:rsidRPr="00F71A30" w:rsidRDefault="00F71A30" w:rsidP="00F71A30">
      <w:pPr>
        <w:spacing w:after="200" w:line="360" w:lineRule="auto"/>
        <w:jc w:val="both"/>
        <w:rPr>
          <w:rFonts w:ascii="Times New Roman" w:hAnsi="Times New Roman"/>
          <w:b/>
          <w:sz w:val="24"/>
          <w:lang w:val="en-US"/>
        </w:rPr>
      </w:pPr>
      <w:r w:rsidRPr="00F71A30">
        <w:rPr>
          <w:rFonts w:ascii="Times New Roman" w:hAnsi="Times New Roman"/>
          <w:b/>
          <w:sz w:val="24"/>
          <w:lang w:val="en-US"/>
        </w:rPr>
        <w:t>Appendix</w:t>
      </w:r>
    </w:p>
    <w:p w14:paraId="057B3DE6" w14:textId="77777777" w:rsidR="00F71A30" w:rsidRPr="00F71A30" w:rsidRDefault="00F71A30" w:rsidP="00F71A30">
      <w:pPr>
        <w:spacing w:after="200" w:line="360" w:lineRule="auto"/>
        <w:jc w:val="both"/>
        <w:rPr>
          <w:rFonts w:ascii="Times New Roman" w:hAnsi="Times New Roman"/>
          <w:b/>
          <w:sz w:val="24"/>
          <w:lang w:val="en-US"/>
        </w:rPr>
      </w:pPr>
      <w:r w:rsidRPr="00F71A30">
        <w:rPr>
          <w:rFonts w:ascii="Times New Roman" w:hAnsi="Times New Roman"/>
          <w:b/>
          <w:sz w:val="24"/>
          <w:lang w:val="en-US"/>
        </w:rPr>
        <w:t>Multi-peril crop insurance – Indemnity type</w:t>
      </w:r>
    </w:p>
    <w:p w14:paraId="64024E09"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Imagine you are offered the following multi-peril insurance for the crop that is most important to you. The entire acreage of the crop is insured. The insurance offered is a crop-specific damage-based insurance. This means that the indemnity is based on the actual natural yield loss of a crop. In this insurance, the yield loss is not attributed to specific causes, but any yield loss is compensated (e.g. frost damage, drought, pest infestation, etc.). The reference is the average yield of the insured crop over the last 10 years. The starting point for the amount of compensation is also a value per hectare freely chosen by the farmer (expected price times expected yield). However, indemnities do not compensate for the entire yield loss, but only up to a coverage level of 70% of the average yield. The deductible is therefore 30%. This is illustrated in the following diagram.</w:t>
      </w:r>
    </w:p>
    <w:p w14:paraId="477892ED" w14:textId="77777777" w:rsidR="00F71A30" w:rsidRPr="00F71A30" w:rsidRDefault="00F71A30" w:rsidP="00F71A30">
      <w:pPr>
        <w:spacing w:after="200" w:line="360" w:lineRule="auto"/>
        <w:jc w:val="center"/>
        <w:rPr>
          <w:rFonts w:ascii="Times New Roman" w:hAnsi="Times New Roman"/>
          <w:sz w:val="24"/>
          <w:lang w:val="en-US"/>
        </w:rPr>
      </w:pPr>
      <w:r w:rsidRPr="00F71A30">
        <w:rPr>
          <w:rFonts w:ascii="Times New Roman" w:hAnsi="Times New Roman"/>
          <w:noProof/>
          <w:sz w:val="24"/>
          <w:lang w:val="en-US"/>
        </w:rPr>
        <w:drawing>
          <wp:inline distT="0" distB="0" distL="0" distR="0" wp14:anchorId="72F08054" wp14:editId="0F77F9F3">
            <wp:extent cx="4413215" cy="2941982"/>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3335" cy="2975393"/>
                    </a:xfrm>
                    <a:prstGeom prst="rect">
                      <a:avLst/>
                    </a:prstGeom>
                    <a:noFill/>
                    <a:ln>
                      <a:noFill/>
                    </a:ln>
                  </pic:spPr>
                </pic:pic>
              </a:graphicData>
            </a:graphic>
          </wp:inline>
        </w:drawing>
      </w:r>
    </w:p>
    <w:p w14:paraId="77A957E6" w14:textId="01D18742"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 xml:space="preserve">So, let's imagine you choose a hectare value of </w:t>
      </w:r>
      <w:r w:rsidR="00097EB4">
        <w:rPr>
          <w:rFonts w:ascii="Times New Roman" w:hAnsi="Times New Roman"/>
          <w:sz w:val="24"/>
          <w:lang w:val="en-US"/>
        </w:rPr>
        <w:t>€</w:t>
      </w:r>
      <w:r w:rsidRPr="00F71A30">
        <w:rPr>
          <w:rFonts w:ascii="Times New Roman" w:hAnsi="Times New Roman"/>
          <w:sz w:val="24"/>
          <w:lang w:val="en-US"/>
        </w:rPr>
        <w:t xml:space="preserve">2,000 and the yield achieved by the insured crop is 60% of the average yield of the last 10 years, based on the hectare value this is </w:t>
      </w:r>
      <w:r w:rsidR="00097EB4">
        <w:rPr>
          <w:rFonts w:ascii="Times New Roman" w:hAnsi="Times New Roman"/>
          <w:sz w:val="24"/>
          <w:lang w:val="en-US"/>
        </w:rPr>
        <w:t>€</w:t>
      </w:r>
      <w:r w:rsidRPr="00F71A30">
        <w:rPr>
          <w:rFonts w:ascii="Times New Roman" w:hAnsi="Times New Roman"/>
          <w:sz w:val="24"/>
          <w:lang w:val="en-US"/>
        </w:rPr>
        <w:t xml:space="preserve">1,200. At the coverage level of 70%, which corresponds to a hectare value of </w:t>
      </w:r>
      <w:r w:rsidR="00097EB4">
        <w:rPr>
          <w:rFonts w:ascii="Times New Roman" w:hAnsi="Times New Roman"/>
          <w:sz w:val="24"/>
          <w:lang w:val="en-US"/>
        </w:rPr>
        <w:t>€</w:t>
      </w:r>
      <w:r w:rsidRPr="00F71A30">
        <w:rPr>
          <w:rFonts w:ascii="Times New Roman" w:hAnsi="Times New Roman"/>
          <w:sz w:val="24"/>
          <w:lang w:val="en-US"/>
        </w:rPr>
        <w:t xml:space="preserve">1,400, you would receive a compensation payment of </w:t>
      </w:r>
      <w:r w:rsidR="00097EB4">
        <w:rPr>
          <w:rFonts w:ascii="Times New Roman" w:hAnsi="Times New Roman"/>
          <w:sz w:val="24"/>
          <w:lang w:val="en-US"/>
        </w:rPr>
        <w:t>€</w:t>
      </w:r>
      <w:r w:rsidRPr="00F71A30">
        <w:rPr>
          <w:rFonts w:ascii="Times New Roman" w:hAnsi="Times New Roman"/>
          <w:sz w:val="24"/>
          <w:lang w:val="en-US"/>
        </w:rPr>
        <w:t xml:space="preserve">200 from the insurance company. This is because you have to bear the first 30% yield loss yourself (deductible = </w:t>
      </w:r>
      <w:r w:rsidR="00097EB4">
        <w:rPr>
          <w:rFonts w:ascii="Times New Roman" w:hAnsi="Times New Roman"/>
          <w:sz w:val="24"/>
          <w:lang w:val="en-US"/>
        </w:rPr>
        <w:t>€</w:t>
      </w:r>
      <w:r w:rsidRPr="00F71A30">
        <w:rPr>
          <w:rFonts w:ascii="Times New Roman" w:hAnsi="Times New Roman"/>
          <w:sz w:val="24"/>
          <w:lang w:val="en-US"/>
        </w:rPr>
        <w:t xml:space="preserve">600 of the hectare value). </w:t>
      </w:r>
    </w:p>
    <w:p w14:paraId="369E0F89"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 xml:space="preserve">Please select the maximum percentage of the hectare value (expected price times expected yield) you would pay for this insurance. When making your decision, please keep in mind that the total price you pay for the insurance is made up of two components: the fair premium and </w:t>
      </w:r>
      <w:r w:rsidRPr="00F71A30">
        <w:rPr>
          <w:rFonts w:ascii="Times New Roman" w:hAnsi="Times New Roman"/>
          <w:sz w:val="24"/>
          <w:lang w:val="en-US"/>
        </w:rPr>
        <w:lastRenderedPageBreak/>
        <w:t>the surcharge. The fair premium corresponds to the average expected insurance benefit, i.e. the amount that you will receive from the insurance company on average over the years. The surcharge is used by the insurer to cover administrative costs and to generate a profit.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1A30" w:rsidRPr="00F71A30" w14:paraId="2EB4B7E6" w14:textId="77777777" w:rsidTr="00131AAB">
        <w:tc>
          <w:tcPr>
            <w:tcW w:w="9062" w:type="dxa"/>
          </w:tcPr>
          <w:p w14:paraId="68C6D3B5"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cs="Times New Roman"/>
                <w:sz w:val="24"/>
                <w:lang w:val="en-US"/>
              </w:rPr>
              <w:t>0%●   1%</w:t>
            </w:r>
            <w:r w:rsidRPr="00F71A30">
              <w:rPr>
                <w:rFonts w:asciiTheme="minorBidi" w:hAnsiTheme="minorBidi"/>
                <w:sz w:val="24"/>
                <w:lang w:val="en-US"/>
              </w:rPr>
              <w:t>●   2%</w:t>
            </w:r>
            <w:r w:rsidRPr="00F71A30">
              <w:rPr>
                <w:rFonts w:ascii="Times New Roman" w:hAnsi="Times New Roman" w:cs="Times New Roman"/>
                <w:sz w:val="24"/>
                <w:lang w:val="en-US"/>
              </w:rPr>
              <w:t>●   3%</w:t>
            </w:r>
            <w:r w:rsidRPr="00F71A30">
              <w:rPr>
                <w:rFonts w:asciiTheme="minorBidi" w:hAnsiTheme="minorBidi"/>
                <w:sz w:val="24"/>
                <w:lang w:val="en-US"/>
              </w:rPr>
              <w:t>●   4%</w:t>
            </w:r>
            <w:r w:rsidRPr="00F71A30">
              <w:rPr>
                <w:rFonts w:ascii="Times New Roman" w:hAnsi="Times New Roman" w:cs="Times New Roman"/>
                <w:sz w:val="24"/>
                <w:lang w:val="en-US"/>
              </w:rPr>
              <w:t>●   5%</w:t>
            </w:r>
            <w:r w:rsidRPr="00F71A30">
              <w:rPr>
                <w:rFonts w:asciiTheme="minorBidi" w:hAnsiTheme="minorBidi"/>
                <w:sz w:val="24"/>
                <w:lang w:val="en-US"/>
              </w:rPr>
              <w:t>●   6%</w:t>
            </w:r>
            <w:r w:rsidRPr="00F71A30">
              <w:rPr>
                <w:rFonts w:ascii="Times New Roman" w:hAnsi="Times New Roman" w:cs="Times New Roman"/>
                <w:sz w:val="24"/>
                <w:lang w:val="en-US"/>
              </w:rPr>
              <w:t>●   7%</w:t>
            </w:r>
            <w:r w:rsidRPr="00F71A30">
              <w:rPr>
                <w:rFonts w:asciiTheme="minorBidi" w:hAnsiTheme="minorBidi"/>
                <w:sz w:val="24"/>
                <w:lang w:val="en-US"/>
              </w:rPr>
              <w:t>●   8%●</w:t>
            </w:r>
          </w:p>
        </w:tc>
      </w:tr>
      <w:tr w:rsidR="00F71A30" w:rsidRPr="00B2261E" w14:paraId="1D298037" w14:textId="77777777" w:rsidTr="00131AAB">
        <w:tc>
          <w:tcPr>
            <w:tcW w:w="9062" w:type="dxa"/>
          </w:tcPr>
          <w:p w14:paraId="65FFB0AB"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If none of the values seems suitable for you, you can specify your own value here: _____%</w:t>
            </w:r>
          </w:p>
        </w:tc>
      </w:tr>
    </w:tbl>
    <w:p w14:paraId="5C288DA1"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Please imagine that the government takes over 50% of the total price (= fair premium + surcharge) to support you in your risk management. Please select what percentage of the value of the hectare you would pay as the maximum total price for this insurance if the state paid the other half of this total price.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1A30" w:rsidRPr="00F71A30" w14:paraId="740F89A0" w14:textId="77777777" w:rsidTr="00131AAB">
        <w:tc>
          <w:tcPr>
            <w:tcW w:w="9062" w:type="dxa"/>
          </w:tcPr>
          <w:p w14:paraId="1ACE368D"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cs="Times New Roman"/>
                <w:sz w:val="24"/>
                <w:lang w:val="en-US"/>
              </w:rPr>
              <w:t>0%●   1%</w:t>
            </w:r>
            <w:r w:rsidRPr="00F71A30">
              <w:rPr>
                <w:rFonts w:asciiTheme="minorBidi" w:hAnsiTheme="minorBidi"/>
                <w:sz w:val="24"/>
                <w:lang w:val="en-US"/>
              </w:rPr>
              <w:t>●   2%</w:t>
            </w:r>
            <w:r w:rsidRPr="00F71A30">
              <w:rPr>
                <w:rFonts w:ascii="Times New Roman" w:hAnsi="Times New Roman" w:cs="Times New Roman"/>
                <w:sz w:val="24"/>
                <w:lang w:val="en-US"/>
              </w:rPr>
              <w:t>●   3%</w:t>
            </w:r>
            <w:r w:rsidRPr="00F71A30">
              <w:rPr>
                <w:rFonts w:asciiTheme="minorBidi" w:hAnsiTheme="minorBidi"/>
                <w:sz w:val="24"/>
                <w:lang w:val="en-US"/>
              </w:rPr>
              <w:t>●   4%</w:t>
            </w:r>
            <w:r w:rsidRPr="00F71A30">
              <w:rPr>
                <w:rFonts w:ascii="Times New Roman" w:hAnsi="Times New Roman" w:cs="Times New Roman"/>
                <w:sz w:val="24"/>
                <w:lang w:val="en-US"/>
              </w:rPr>
              <w:t>●   5%</w:t>
            </w:r>
            <w:r w:rsidRPr="00F71A30">
              <w:rPr>
                <w:rFonts w:asciiTheme="minorBidi" w:hAnsiTheme="minorBidi"/>
                <w:sz w:val="24"/>
                <w:lang w:val="en-US"/>
              </w:rPr>
              <w:t>●   6%</w:t>
            </w:r>
            <w:r w:rsidRPr="00F71A30">
              <w:rPr>
                <w:rFonts w:ascii="Times New Roman" w:hAnsi="Times New Roman" w:cs="Times New Roman"/>
                <w:sz w:val="24"/>
                <w:lang w:val="en-US"/>
              </w:rPr>
              <w:t>●   7%</w:t>
            </w:r>
            <w:r w:rsidRPr="00F71A30">
              <w:rPr>
                <w:rFonts w:asciiTheme="minorBidi" w:hAnsiTheme="minorBidi"/>
                <w:sz w:val="24"/>
                <w:lang w:val="en-US"/>
              </w:rPr>
              <w:t>●   8%●</w:t>
            </w:r>
          </w:p>
        </w:tc>
      </w:tr>
      <w:tr w:rsidR="00F71A30" w:rsidRPr="00B2261E" w14:paraId="405B54F6" w14:textId="77777777" w:rsidTr="00131AAB">
        <w:tc>
          <w:tcPr>
            <w:tcW w:w="9062" w:type="dxa"/>
          </w:tcPr>
          <w:p w14:paraId="131FA721"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If none of the values seems suitable for you, you can specify your own value here: _____%</w:t>
            </w:r>
          </w:p>
        </w:tc>
      </w:tr>
    </w:tbl>
    <w:p w14:paraId="0AD72F25"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br w:type="page"/>
      </w:r>
    </w:p>
    <w:p w14:paraId="7C3866BE" w14:textId="77777777" w:rsidR="00F71A30" w:rsidRPr="00F71A30" w:rsidRDefault="00F71A30" w:rsidP="00F71A30">
      <w:pPr>
        <w:spacing w:after="200" w:line="360" w:lineRule="auto"/>
        <w:jc w:val="both"/>
        <w:rPr>
          <w:rFonts w:ascii="Times New Roman" w:hAnsi="Times New Roman"/>
          <w:b/>
          <w:sz w:val="24"/>
          <w:lang w:val="en-US"/>
        </w:rPr>
      </w:pPr>
      <w:r w:rsidRPr="00F71A30">
        <w:rPr>
          <w:rFonts w:ascii="Times New Roman" w:hAnsi="Times New Roman"/>
          <w:b/>
          <w:sz w:val="24"/>
          <w:lang w:val="en-US"/>
        </w:rPr>
        <w:lastRenderedPageBreak/>
        <w:t>Multi-peril crop insurance – Index type</w:t>
      </w:r>
    </w:p>
    <w:p w14:paraId="1ACA9218"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Imagine you were offered the following index insurance for the crop that is most important to you. The entire acreage of the crop is insured. The insurance offered is a crop specific index-based insurance. This means that the index insurance offered is NOT contingent upon proof of an actual loss occurring to the crop you have selected. Instead, your historical yields are derived from historical weather data from nearby official weather stations. This is done by considering, on a model basis, the weather variables (e.g. heavy frost in February, rainfall deficits in May, etc.) that best explain your historical yields. The model provides an index value that usually does not reflect your historical yields perfectly, but 75% to 90%. After all, returns do not only depend on the weather. The yield of your insured crop for the coming harvest is then determined with this model, which is adjusted to your historical yields in the best possible way. The weather data actually measured at the contractually agreed weather station during the risk period are used. A payment is made if the index value falls below your trend-adjusted yield average of the last 10 years minus a deductible of 30%. You can decide which price you attach to an index point. The starting point for the compensation amount is therefore a value per hectare freely determined by the farmer, which corresponds to the price per index point chosen by you multiplied by the expected index value (= trend-adjusted yield average). So, let's imagine you have hedged your most important crop with a value of 20 €/dt crop. Accordingly, one index point (1 dt/ha) would also be worth 20€/dt. If the long-term, trend-adjusted average yield were 100dt/ha, considering the deductible of 30%, a payment would be made if the index value fell below 70dt/ha. If the index value in the insurance year is 60dt/ha, 70dt/ha minus 60dt/ha = 10dt/ha times 20€/dt = 200 €/ha will be compensated. The following diagram illustrates this.</w:t>
      </w:r>
    </w:p>
    <w:p w14:paraId="68535AFD"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noProof/>
          <w:sz w:val="24"/>
          <w:lang w:val="en-US"/>
        </w:rPr>
        <w:lastRenderedPageBreak/>
        <w:drawing>
          <wp:inline distT="0" distB="0" distL="0" distR="0" wp14:anchorId="08BC9441" wp14:editId="45904533">
            <wp:extent cx="5760720" cy="3638550"/>
            <wp:effectExtent l="0" t="0" r="0" b="0"/>
            <wp:docPr id="4" name="Diagramm 4">
              <a:extLst xmlns:a="http://schemas.openxmlformats.org/drawingml/2006/main">
                <a:ext uri="{FF2B5EF4-FFF2-40B4-BE49-F238E27FC236}">
                  <a16:creationId xmlns:a16="http://schemas.microsoft.com/office/drawing/2014/main" id="{B3CD9C15-5F53-4A19-B381-87A905258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D6858F"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Please select the maximum percentage of the hectare value (expected price times expected yield) you would pay for this insurance. When making your decision, please keep in mind that the total price you pay for the insurance is made up of two components: the fair premium and the surcharge. The fair premium corresponds to the average expected insurance benefit, i.e. the amount that you will receive from the insurance company on average over the years. The surcharge is used by the insurer to cover administrative costs and to generate a profit.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1A30" w:rsidRPr="00F71A30" w14:paraId="316F078E" w14:textId="77777777" w:rsidTr="00131AAB">
        <w:tc>
          <w:tcPr>
            <w:tcW w:w="9062" w:type="dxa"/>
          </w:tcPr>
          <w:p w14:paraId="20CE9D23"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cs="Times New Roman"/>
                <w:sz w:val="24"/>
                <w:lang w:val="en-US"/>
              </w:rPr>
              <w:t>0%●   1%</w:t>
            </w:r>
            <w:r w:rsidRPr="00F71A30">
              <w:rPr>
                <w:rFonts w:asciiTheme="minorBidi" w:hAnsiTheme="minorBidi"/>
                <w:sz w:val="24"/>
                <w:lang w:val="en-US"/>
              </w:rPr>
              <w:t>●   2%</w:t>
            </w:r>
            <w:r w:rsidRPr="00F71A30">
              <w:rPr>
                <w:rFonts w:ascii="Times New Roman" w:hAnsi="Times New Roman" w:cs="Times New Roman"/>
                <w:sz w:val="24"/>
                <w:lang w:val="en-US"/>
              </w:rPr>
              <w:t>●   3%</w:t>
            </w:r>
            <w:r w:rsidRPr="00F71A30">
              <w:rPr>
                <w:rFonts w:asciiTheme="minorBidi" w:hAnsiTheme="minorBidi"/>
                <w:sz w:val="24"/>
                <w:lang w:val="en-US"/>
              </w:rPr>
              <w:t>●   4%</w:t>
            </w:r>
            <w:r w:rsidRPr="00F71A30">
              <w:rPr>
                <w:rFonts w:ascii="Times New Roman" w:hAnsi="Times New Roman" w:cs="Times New Roman"/>
                <w:sz w:val="24"/>
                <w:lang w:val="en-US"/>
              </w:rPr>
              <w:t>●   5%</w:t>
            </w:r>
            <w:r w:rsidRPr="00F71A30">
              <w:rPr>
                <w:rFonts w:asciiTheme="minorBidi" w:hAnsiTheme="minorBidi"/>
                <w:sz w:val="24"/>
                <w:lang w:val="en-US"/>
              </w:rPr>
              <w:t>●   6%</w:t>
            </w:r>
            <w:r w:rsidRPr="00F71A30">
              <w:rPr>
                <w:rFonts w:ascii="Times New Roman" w:hAnsi="Times New Roman" w:cs="Times New Roman"/>
                <w:sz w:val="24"/>
                <w:lang w:val="en-US"/>
              </w:rPr>
              <w:t>●   7%</w:t>
            </w:r>
            <w:r w:rsidRPr="00F71A30">
              <w:rPr>
                <w:rFonts w:asciiTheme="minorBidi" w:hAnsiTheme="minorBidi"/>
                <w:sz w:val="24"/>
                <w:lang w:val="en-US"/>
              </w:rPr>
              <w:t>●   8%●</w:t>
            </w:r>
          </w:p>
        </w:tc>
      </w:tr>
      <w:tr w:rsidR="00F71A30" w:rsidRPr="00B2261E" w14:paraId="075C334F" w14:textId="77777777" w:rsidTr="00131AAB">
        <w:tc>
          <w:tcPr>
            <w:tcW w:w="9062" w:type="dxa"/>
          </w:tcPr>
          <w:p w14:paraId="0B81A323"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If none of the values seems suitable for you, you can specify your own value here: _____%</w:t>
            </w:r>
          </w:p>
        </w:tc>
      </w:tr>
    </w:tbl>
    <w:p w14:paraId="77291D03"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Please imagine that the government takes over 50% of the total price (= fair premium + surcharge) to support you in your risk management. Please select what percentage of the value of the hectare you would pay as the maximum total price for this insurance if the state paid the other half of this total price.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1A30" w:rsidRPr="00F71A30" w14:paraId="77C99CED" w14:textId="77777777" w:rsidTr="00131AAB">
        <w:tc>
          <w:tcPr>
            <w:tcW w:w="9062" w:type="dxa"/>
          </w:tcPr>
          <w:p w14:paraId="7F4AE895"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cs="Times New Roman"/>
                <w:sz w:val="24"/>
                <w:lang w:val="en-US"/>
              </w:rPr>
              <w:t>0%●   1%</w:t>
            </w:r>
            <w:r w:rsidRPr="00F71A30">
              <w:rPr>
                <w:rFonts w:asciiTheme="minorBidi" w:hAnsiTheme="minorBidi"/>
                <w:sz w:val="24"/>
                <w:lang w:val="en-US"/>
              </w:rPr>
              <w:t>●   2%</w:t>
            </w:r>
            <w:r w:rsidRPr="00F71A30">
              <w:rPr>
                <w:rFonts w:ascii="Times New Roman" w:hAnsi="Times New Roman" w:cs="Times New Roman"/>
                <w:sz w:val="24"/>
                <w:lang w:val="en-US"/>
              </w:rPr>
              <w:t>●   3%</w:t>
            </w:r>
            <w:r w:rsidRPr="00F71A30">
              <w:rPr>
                <w:rFonts w:asciiTheme="minorBidi" w:hAnsiTheme="minorBidi"/>
                <w:sz w:val="24"/>
                <w:lang w:val="en-US"/>
              </w:rPr>
              <w:t>●   4%</w:t>
            </w:r>
            <w:r w:rsidRPr="00F71A30">
              <w:rPr>
                <w:rFonts w:ascii="Times New Roman" w:hAnsi="Times New Roman" w:cs="Times New Roman"/>
                <w:sz w:val="24"/>
                <w:lang w:val="en-US"/>
              </w:rPr>
              <w:t>●   5%</w:t>
            </w:r>
            <w:r w:rsidRPr="00F71A30">
              <w:rPr>
                <w:rFonts w:asciiTheme="minorBidi" w:hAnsiTheme="minorBidi"/>
                <w:sz w:val="24"/>
                <w:lang w:val="en-US"/>
              </w:rPr>
              <w:t>●   6%</w:t>
            </w:r>
            <w:r w:rsidRPr="00F71A30">
              <w:rPr>
                <w:rFonts w:ascii="Times New Roman" w:hAnsi="Times New Roman" w:cs="Times New Roman"/>
                <w:sz w:val="24"/>
                <w:lang w:val="en-US"/>
              </w:rPr>
              <w:t>●   7%</w:t>
            </w:r>
            <w:r w:rsidRPr="00F71A30">
              <w:rPr>
                <w:rFonts w:asciiTheme="minorBidi" w:hAnsiTheme="minorBidi"/>
                <w:sz w:val="24"/>
                <w:lang w:val="en-US"/>
              </w:rPr>
              <w:t>●   8%●</w:t>
            </w:r>
          </w:p>
        </w:tc>
      </w:tr>
      <w:tr w:rsidR="00F71A30" w:rsidRPr="00B2261E" w14:paraId="7A2C3BAE" w14:textId="77777777" w:rsidTr="00131AAB">
        <w:tc>
          <w:tcPr>
            <w:tcW w:w="9062" w:type="dxa"/>
          </w:tcPr>
          <w:p w14:paraId="0C963998"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If none of the values seems suitable for you, you can specify your own value here: _____%</w:t>
            </w:r>
          </w:p>
        </w:tc>
      </w:tr>
    </w:tbl>
    <w:p w14:paraId="0DFA7CA6"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br w:type="page"/>
      </w:r>
    </w:p>
    <w:p w14:paraId="5D8C9849" w14:textId="77777777" w:rsidR="00F71A30" w:rsidRPr="00F71A30" w:rsidRDefault="00F71A30" w:rsidP="00F71A30">
      <w:pPr>
        <w:spacing w:after="200" w:line="360" w:lineRule="auto"/>
        <w:jc w:val="both"/>
        <w:rPr>
          <w:rFonts w:ascii="Times New Roman" w:hAnsi="Times New Roman"/>
          <w:b/>
          <w:sz w:val="24"/>
          <w:lang w:val="en-US"/>
        </w:rPr>
      </w:pPr>
      <w:r w:rsidRPr="00F71A30">
        <w:rPr>
          <w:rFonts w:ascii="Times New Roman" w:hAnsi="Times New Roman"/>
          <w:b/>
          <w:sz w:val="24"/>
          <w:lang w:val="en-US"/>
        </w:rPr>
        <w:lastRenderedPageBreak/>
        <w:t>Invitation</w:t>
      </w:r>
    </w:p>
    <w:p w14:paraId="75BB1A42"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Dear farmers,</w:t>
      </w:r>
    </w:p>
    <w:p w14:paraId="25EB4BD7" w14:textId="71C124D9"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 xml:space="preserve">The last few years have been </w:t>
      </w:r>
      <w:r w:rsidRPr="00B2261E">
        <w:rPr>
          <w:rFonts w:ascii="Times New Roman" w:hAnsi="Times New Roman"/>
          <w:sz w:val="24"/>
          <w:lang w:val="en-GB"/>
        </w:rPr>
        <w:t>characteri</w:t>
      </w:r>
      <w:r w:rsidR="00097EB4" w:rsidRPr="00B2261E">
        <w:rPr>
          <w:rFonts w:ascii="Times New Roman" w:hAnsi="Times New Roman"/>
          <w:sz w:val="24"/>
          <w:lang w:val="en-GB"/>
        </w:rPr>
        <w:t>s</w:t>
      </w:r>
      <w:r w:rsidRPr="00B2261E">
        <w:rPr>
          <w:rFonts w:ascii="Times New Roman" w:hAnsi="Times New Roman"/>
          <w:sz w:val="24"/>
          <w:lang w:val="en-GB"/>
        </w:rPr>
        <w:t>ed</w:t>
      </w:r>
      <w:r w:rsidRPr="00F71A30">
        <w:rPr>
          <w:rFonts w:ascii="Times New Roman" w:hAnsi="Times New Roman"/>
          <w:sz w:val="24"/>
          <w:lang w:val="en-US"/>
        </w:rPr>
        <w:t xml:space="preserve"> by extreme weather events such as droughts and floods, which have </w:t>
      </w:r>
      <w:r w:rsidR="00B2261E">
        <w:rPr>
          <w:rFonts w:ascii="Times New Roman" w:hAnsi="Times New Roman"/>
          <w:sz w:val="24"/>
          <w:lang w:val="en-US"/>
        </w:rPr>
        <w:t>challenged</w:t>
      </w:r>
      <w:r w:rsidRPr="00F71A30">
        <w:rPr>
          <w:rFonts w:ascii="Times New Roman" w:hAnsi="Times New Roman"/>
          <w:sz w:val="24"/>
          <w:lang w:val="en-US"/>
        </w:rPr>
        <w:t xml:space="preserve"> you as farm managers with major challenges. Politicians were also confronted with the task of looking for adequate solutions and assistance to support your farms in their risk management in the best possible way during these times.</w:t>
      </w:r>
    </w:p>
    <w:p w14:paraId="4EC9464E"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Against this background, the Saxon State Ministry for Energy, Climate Protection, Environment and Agriculture (SMEKUL) has commissioned a feasibility study on the topic of "Multi-peril crop insurance in agriculture in the Free State of Saxony". In this context, you will also be asked about your status quo as well as your wishes and ideas regarding operational risk management and the role of politics in this regard.</w:t>
      </w:r>
    </w:p>
    <w:p w14:paraId="1A9AF7F4" w14:textId="2F787BA0"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For the success of the feasibility study commissioned by the SMEKUL, it is important that you participate in the survey in large numbers. By participating in the survey, you can actively help to ensure that your opinions on this topic are heard in the context of shaping Saxony's agricultural policy. Despite the personal approach, there is no way to infer individuals and your information in the survey - the survey will be evaluated completely anonymously.</w:t>
      </w:r>
      <w:r w:rsidRPr="00F71A30">
        <w:rPr>
          <w:rFonts w:ascii="Times New Roman" w:hAnsi="Times New Roman"/>
          <w:sz w:val="24"/>
          <w:lang w:val="en-US"/>
        </w:rPr>
        <w:br/>
        <w:t xml:space="preserve">As an expense allowance you will receive a </w:t>
      </w:r>
      <w:r w:rsidR="00097EB4">
        <w:rPr>
          <w:rFonts w:ascii="Times New Roman" w:hAnsi="Times New Roman"/>
          <w:sz w:val="24"/>
          <w:lang w:val="en-US"/>
        </w:rPr>
        <w:t xml:space="preserve">€10 cash </w:t>
      </w:r>
      <w:r w:rsidRPr="00F71A30">
        <w:rPr>
          <w:rFonts w:ascii="Times New Roman" w:hAnsi="Times New Roman"/>
          <w:sz w:val="24"/>
          <w:lang w:val="en-US"/>
        </w:rPr>
        <w:t>voucher</w:t>
      </w:r>
      <w:r w:rsidR="00097EB4">
        <w:rPr>
          <w:rFonts w:ascii="Times New Roman" w:hAnsi="Times New Roman"/>
          <w:sz w:val="24"/>
          <w:lang w:val="en-US"/>
        </w:rPr>
        <w:t xml:space="preserve">. </w:t>
      </w:r>
      <w:bookmarkStart w:id="0" w:name="_GoBack"/>
      <w:bookmarkEnd w:id="0"/>
      <w:r w:rsidRPr="00F71A30">
        <w:rPr>
          <w:rFonts w:ascii="Times New Roman" w:hAnsi="Times New Roman"/>
          <w:sz w:val="24"/>
          <w:lang w:val="en-US"/>
        </w:rPr>
        <w:t>In addition, you can win one of 5 Makita construction site radios!</w:t>
      </w:r>
    </w:p>
    <w:p w14:paraId="46270868"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We thank you in advance for your participation!</w:t>
      </w:r>
    </w:p>
    <w:p w14:paraId="627A6388" w14:textId="77777777" w:rsidR="00F71A30" w:rsidRPr="00F71A30" w:rsidRDefault="00F71A30" w:rsidP="00F71A30">
      <w:pPr>
        <w:spacing w:after="200" w:line="360" w:lineRule="auto"/>
        <w:jc w:val="both"/>
        <w:rPr>
          <w:rFonts w:ascii="Times New Roman" w:hAnsi="Times New Roman"/>
          <w:sz w:val="24"/>
          <w:lang w:val="en-US"/>
        </w:rPr>
      </w:pPr>
      <w:r w:rsidRPr="00F71A30">
        <w:rPr>
          <w:rFonts w:ascii="Times New Roman" w:hAnsi="Times New Roman"/>
          <w:sz w:val="24"/>
          <w:lang w:val="en-US"/>
        </w:rPr>
        <w:t>Disclaimer: We have received your e-mail address via the SMEKUL exclusively for contacting you for this survey. The address will be deleted after contact has been established.</w:t>
      </w:r>
    </w:p>
    <w:p w14:paraId="0C494BE0" w14:textId="77777777" w:rsidR="00F71A30" w:rsidRPr="00F71A30" w:rsidRDefault="00F71A30">
      <w:pPr>
        <w:rPr>
          <w:lang w:val="en-US"/>
        </w:rPr>
      </w:pPr>
    </w:p>
    <w:sectPr w:rsidR="00F71A30" w:rsidRPr="00F71A30" w:rsidSect="006A78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5C4" w16cex:dateUtc="2023-01-07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B3C7" w14:textId="77777777" w:rsidR="000609BC" w:rsidRDefault="000609BC">
      <w:pPr>
        <w:spacing w:after="0" w:line="240" w:lineRule="auto"/>
      </w:pPr>
      <w:r>
        <w:separator/>
      </w:r>
    </w:p>
  </w:endnote>
  <w:endnote w:type="continuationSeparator" w:id="0">
    <w:p w14:paraId="1C4CD4FA" w14:textId="77777777" w:rsidR="000609BC" w:rsidRDefault="0006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0BBA" w14:textId="77777777" w:rsidR="00B344CD" w:rsidRDefault="00B226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519097"/>
      <w:docPartObj>
        <w:docPartGallery w:val="Page Numbers (Bottom of Page)"/>
        <w:docPartUnique/>
      </w:docPartObj>
    </w:sdtPr>
    <w:sdtEndPr/>
    <w:sdtContent>
      <w:p w14:paraId="4AF61B66" w14:textId="77777777" w:rsidR="00B344CD" w:rsidRDefault="00F71A30">
        <w:pPr>
          <w:pStyle w:val="Fuzeile"/>
          <w:jc w:val="right"/>
        </w:pPr>
        <w:r>
          <w:fldChar w:fldCharType="begin"/>
        </w:r>
        <w:r>
          <w:instrText>PAGE   \* MERGEFORMAT</w:instrText>
        </w:r>
        <w:r>
          <w:fldChar w:fldCharType="separate"/>
        </w:r>
        <w:r>
          <w:rPr>
            <w:lang w:val="de-DE"/>
          </w:rPr>
          <w:t>2</w:t>
        </w:r>
        <w:r>
          <w:fldChar w:fldCharType="end"/>
        </w:r>
      </w:p>
    </w:sdtContent>
  </w:sdt>
  <w:p w14:paraId="5E85FD35" w14:textId="77777777" w:rsidR="00B344CD" w:rsidRDefault="00B226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F673" w14:textId="77777777" w:rsidR="00B344CD" w:rsidRDefault="00B226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8224" w14:textId="77777777" w:rsidR="000609BC" w:rsidRDefault="000609BC">
      <w:pPr>
        <w:spacing w:after="0" w:line="240" w:lineRule="auto"/>
      </w:pPr>
      <w:r>
        <w:separator/>
      </w:r>
    </w:p>
  </w:footnote>
  <w:footnote w:type="continuationSeparator" w:id="0">
    <w:p w14:paraId="580566E8" w14:textId="77777777" w:rsidR="000609BC" w:rsidRDefault="00060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51DC" w14:textId="77777777" w:rsidR="00B344CD" w:rsidRDefault="00B226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5032" w14:textId="77777777" w:rsidR="00B344CD" w:rsidRDefault="00B226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002A" w14:textId="77777777" w:rsidR="00B344CD" w:rsidRDefault="00B226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30"/>
    <w:rsid w:val="000609BC"/>
    <w:rsid w:val="00097EB4"/>
    <w:rsid w:val="001D0DB6"/>
    <w:rsid w:val="00B2261E"/>
    <w:rsid w:val="00F71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0AC0"/>
  <w15:chartTrackingRefBased/>
  <w15:docId w15:val="{EE4379FA-13E0-459F-A61E-8C204BFA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71A30"/>
    <w:pPr>
      <w:tabs>
        <w:tab w:val="center" w:pos="4536"/>
        <w:tab w:val="right" w:pos="9072"/>
      </w:tabs>
      <w:spacing w:after="0" w:line="240" w:lineRule="auto"/>
      <w:jc w:val="both"/>
    </w:pPr>
    <w:rPr>
      <w:rFonts w:ascii="Times New Roman" w:hAnsi="Times New Roman"/>
      <w:sz w:val="24"/>
      <w:lang w:val="en-US"/>
    </w:rPr>
  </w:style>
  <w:style w:type="character" w:customStyle="1" w:styleId="KopfzeileZchn">
    <w:name w:val="Kopfzeile Zchn"/>
    <w:basedOn w:val="Absatz-Standardschriftart"/>
    <w:link w:val="Kopfzeile"/>
    <w:uiPriority w:val="99"/>
    <w:rsid w:val="00F71A30"/>
    <w:rPr>
      <w:rFonts w:ascii="Times New Roman" w:hAnsi="Times New Roman"/>
      <w:sz w:val="24"/>
      <w:lang w:val="en-US"/>
    </w:rPr>
  </w:style>
  <w:style w:type="paragraph" w:styleId="Fuzeile">
    <w:name w:val="footer"/>
    <w:basedOn w:val="Standard"/>
    <w:link w:val="FuzeileZchn"/>
    <w:uiPriority w:val="99"/>
    <w:unhideWhenUsed/>
    <w:rsid w:val="00F71A30"/>
    <w:pPr>
      <w:tabs>
        <w:tab w:val="center" w:pos="4536"/>
        <w:tab w:val="right" w:pos="9072"/>
      </w:tabs>
      <w:spacing w:after="0" w:line="240" w:lineRule="auto"/>
      <w:jc w:val="both"/>
    </w:pPr>
    <w:rPr>
      <w:rFonts w:ascii="Times New Roman" w:hAnsi="Times New Roman"/>
      <w:sz w:val="24"/>
      <w:lang w:val="en-US"/>
    </w:rPr>
  </w:style>
  <w:style w:type="character" w:customStyle="1" w:styleId="FuzeileZchn">
    <w:name w:val="Fußzeile Zchn"/>
    <w:basedOn w:val="Absatz-Standardschriftart"/>
    <w:link w:val="Fuzeile"/>
    <w:uiPriority w:val="99"/>
    <w:rsid w:val="00F71A30"/>
    <w:rPr>
      <w:rFonts w:ascii="Times New Roman" w:hAnsi="Times New Roman"/>
      <w:sz w:val="24"/>
      <w:lang w:val="en-US"/>
    </w:rPr>
  </w:style>
  <w:style w:type="character" w:styleId="Zeilennummer">
    <w:name w:val="line number"/>
    <w:basedOn w:val="Absatz-Standardschriftart"/>
    <w:uiPriority w:val="99"/>
    <w:semiHidden/>
    <w:unhideWhenUsed/>
    <w:rsid w:val="00F71A30"/>
  </w:style>
  <w:style w:type="paragraph" w:styleId="berarbeitung">
    <w:name w:val="Revision"/>
    <w:hidden/>
    <w:uiPriority w:val="99"/>
    <w:semiHidden/>
    <w:rsid w:val="00097EB4"/>
    <w:pPr>
      <w:spacing w:after="0" w:line="240" w:lineRule="auto"/>
    </w:pPr>
  </w:style>
  <w:style w:type="character" w:styleId="Kommentarzeichen">
    <w:name w:val="annotation reference"/>
    <w:basedOn w:val="Absatz-Standardschriftart"/>
    <w:uiPriority w:val="99"/>
    <w:semiHidden/>
    <w:unhideWhenUsed/>
    <w:rsid w:val="00097EB4"/>
    <w:rPr>
      <w:sz w:val="16"/>
      <w:szCs w:val="16"/>
    </w:rPr>
  </w:style>
  <w:style w:type="paragraph" w:styleId="Kommentartext">
    <w:name w:val="annotation text"/>
    <w:basedOn w:val="Standard"/>
    <w:link w:val="KommentartextZchn"/>
    <w:uiPriority w:val="99"/>
    <w:semiHidden/>
    <w:unhideWhenUsed/>
    <w:rsid w:val="00097E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EB4"/>
    <w:rPr>
      <w:sz w:val="20"/>
      <w:szCs w:val="20"/>
    </w:rPr>
  </w:style>
  <w:style w:type="paragraph" w:styleId="Kommentarthema">
    <w:name w:val="annotation subject"/>
    <w:basedOn w:val="Kommentartext"/>
    <w:next w:val="Kommentartext"/>
    <w:link w:val="KommentarthemaZchn"/>
    <w:uiPriority w:val="99"/>
    <w:semiHidden/>
    <w:unhideWhenUsed/>
    <w:rsid w:val="00097EB4"/>
    <w:rPr>
      <w:b/>
      <w:bCs/>
    </w:rPr>
  </w:style>
  <w:style w:type="character" w:customStyle="1" w:styleId="KommentarthemaZchn">
    <w:name w:val="Kommentarthema Zchn"/>
    <w:basedOn w:val="KommentartextZchn"/>
    <w:link w:val="Kommentarthema"/>
    <w:uiPriority w:val="99"/>
    <w:semiHidden/>
    <w:rsid w:val="00097EB4"/>
    <w:rPr>
      <w:b/>
      <w:bCs/>
      <w:sz w:val="20"/>
      <w:szCs w:val="20"/>
    </w:rPr>
  </w:style>
  <w:style w:type="paragraph" w:styleId="Sprechblasentext">
    <w:name w:val="Balloon Text"/>
    <w:basedOn w:val="Standard"/>
    <w:link w:val="SprechblasentextZchn"/>
    <w:uiPriority w:val="99"/>
    <w:semiHidden/>
    <w:unhideWhenUsed/>
    <w:rsid w:val="00B226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44061853379438"/>
          <c:y val="2.3624951110768001E-2"/>
          <c:w val="0.69448784179755307"/>
          <c:h val="0.66850558601640764"/>
        </c:manualLayout>
      </c:layout>
      <c:lineChart>
        <c:grouping val="standard"/>
        <c:varyColors val="0"/>
        <c:ser>
          <c:idx val="0"/>
          <c:order val="0"/>
          <c:tx>
            <c:strRef>
              <c:f>Tabelle1!$B$1</c:f>
              <c:strCache>
                <c:ptCount val="1"/>
                <c:pt idx="0">
                  <c:v>Yields of the farm</c:v>
                </c:pt>
              </c:strCache>
            </c:strRef>
          </c:tx>
          <c:spPr>
            <a:ln w="28575" cap="rnd">
              <a:solidFill>
                <a:schemeClr val="accent1"/>
              </a:solidFill>
              <a:round/>
            </a:ln>
            <a:effectLst/>
          </c:spPr>
          <c:marker>
            <c:symbol val="none"/>
          </c:marker>
          <c:cat>
            <c:numRef>
              <c:f>Tabelle1!$A$2:$A$11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Tabelle1!$B$2:$B$11</c:f>
              <c:numCache>
                <c:formatCode>General</c:formatCode>
                <c:ptCount val="10"/>
                <c:pt idx="0">
                  <c:v>109</c:v>
                </c:pt>
                <c:pt idx="1">
                  <c:v>110</c:v>
                </c:pt>
                <c:pt idx="2">
                  <c:v>86</c:v>
                </c:pt>
                <c:pt idx="3">
                  <c:v>95</c:v>
                </c:pt>
                <c:pt idx="4">
                  <c:v>108</c:v>
                </c:pt>
                <c:pt idx="5">
                  <c:v>99</c:v>
                </c:pt>
                <c:pt idx="6">
                  <c:v>105</c:v>
                </c:pt>
                <c:pt idx="7">
                  <c:v>80</c:v>
                </c:pt>
                <c:pt idx="8">
                  <c:v>99</c:v>
                </c:pt>
                <c:pt idx="9">
                  <c:v>109</c:v>
                </c:pt>
              </c:numCache>
            </c:numRef>
          </c:val>
          <c:smooth val="0"/>
          <c:extLst>
            <c:ext xmlns:c16="http://schemas.microsoft.com/office/drawing/2014/chart" uri="{C3380CC4-5D6E-409C-BE32-E72D297353CC}">
              <c16:uniqueId val="{00000000-04E4-4EB2-9193-01E086A06964}"/>
            </c:ext>
          </c:extLst>
        </c:ser>
        <c:ser>
          <c:idx val="1"/>
          <c:order val="1"/>
          <c:tx>
            <c:strRef>
              <c:f>Tabelle1!$C$1</c:f>
              <c:strCache>
                <c:ptCount val="1"/>
                <c:pt idx="0">
                  <c:v>Index value</c:v>
                </c:pt>
              </c:strCache>
            </c:strRef>
          </c:tx>
          <c:spPr>
            <a:ln w="28575" cap="rnd">
              <a:solidFill>
                <a:schemeClr val="accent2"/>
              </a:solidFill>
              <a:round/>
            </a:ln>
            <a:effectLst/>
          </c:spPr>
          <c:marker>
            <c:symbol val="none"/>
          </c:marker>
          <c:cat>
            <c:numRef>
              <c:f>Tabelle1!$A$2:$A$11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Tabelle1!$C$2:$C$11</c:f>
              <c:numCache>
                <c:formatCode>General</c:formatCode>
                <c:ptCount val="10"/>
                <c:pt idx="0">
                  <c:v>103.55</c:v>
                </c:pt>
                <c:pt idx="1">
                  <c:v>99</c:v>
                </c:pt>
                <c:pt idx="2">
                  <c:v>94.600000000000009</c:v>
                </c:pt>
                <c:pt idx="3">
                  <c:v>99.75</c:v>
                </c:pt>
                <c:pt idx="4">
                  <c:v>97.2</c:v>
                </c:pt>
                <c:pt idx="5">
                  <c:v>94.05</c:v>
                </c:pt>
                <c:pt idx="6">
                  <c:v>110.25</c:v>
                </c:pt>
                <c:pt idx="7">
                  <c:v>60</c:v>
                </c:pt>
                <c:pt idx="8">
                  <c:v>94.05</c:v>
                </c:pt>
                <c:pt idx="9">
                  <c:v>98.100000000000009</c:v>
                </c:pt>
              </c:numCache>
            </c:numRef>
          </c:val>
          <c:smooth val="0"/>
          <c:extLst>
            <c:ext xmlns:c16="http://schemas.microsoft.com/office/drawing/2014/chart" uri="{C3380CC4-5D6E-409C-BE32-E72D297353CC}">
              <c16:uniqueId val="{00000001-04E4-4EB2-9193-01E086A06964}"/>
            </c:ext>
          </c:extLst>
        </c:ser>
        <c:ser>
          <c:idx val="2"/>
          <c:order val="2"/>
          <c:tx>
            <c:strRef>
              <c:f>Tabelle1!$D$1</c:f>
              <c:strCache>
                <c:ptCount val="1"/>
                <c:pt idx="0">
                  <c:v>Trend-adjusted long-term average</c:v>
                </c:pt>
              </c:strCache>
            </c:strRef>
          </c:tx>
          <c:spPr>
            <a:ln w="28575" cap="rnd">
              <a:solidFill>
                <a:schemeClr val="accent3"/>
              </a:solidFill>
              <a:round/>
            </a:ln>
            <a:effectLst/>
          </c:spPr>
          <c:marker>
            <c:symbol val="none"/>
          </c:marker>
          <c:cat>
            <c:numRef>
              <c:f>Tabelle1!$A$2:$A$11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Tabelle1!$D$2:$D$11</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mooth val="0"/>
          <c:extLst>
            <c:ext xmlns:c16="http://schemas.microsoft.com/office/drawing/2014/chart" uri="{C3380CC4-5D6E-409C-BE32-E72D297353CC}">
              <c16:uniqueId val="{00000002-04E4-4EB2-9193-01E086A06964}"/>
            </c:ext>
          </c:extLst>
        </c:ser>
        <c:dLbls>
          <c:showLegendKey val="0"/>
          <c:showVal val="0"/>
          <c:showCatName val="0"/>
          <c:showSerName val="0"/>
          <c:showPercent val="0"/>
          <c:showBubbleSize val="0"/>
        </c:dLbls>
        <c:smooth val="0"/>
        <c:axId val="551080656"/>
        <c:axId val="551075408"/>
      </c:lineChart>
      <c:catAx>
        <c:axId val="551080656"/>
        <c:scaling>
          <c:orientation val="minMax"/>
        </c:scaling>
        <c:delete val="0"/>
        <c:axPos val="b"/>
        <c:majorGridlines>
          <c:spPr>
            <a:ln w="9525" cap="flat" cmpd="sng" algn="ctr">
              <a:noFill/>
              <a:round/>
            </a:ln>
            <a:effectLst/>
          </c:spPr>
        </c:majorGridlines>
        <c:minorGridlines>
          <c:spPr>
            <a:ln w="9525" cap="flat" cmpd="sng" algn="ctr">
              <a:noFill/>
              <a:round/>
            </a:ln>
            <a:effectLst/>
          </c:spPr>
        </c:min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de-DE" sz="1200">
                    <a:solidFill>
                      <a:sysClr val="windowText" lastClr="000000"/>
                    </a:solidFill>
                    <a:latin typeface="Times New Roman" panose="02020603050405020304" pitchFamily="18" charset="0"/>
                    <a:cs typeface="Times New Roman" panose="02020603050405020304" pitchFamily="18" charset="0"/>
                  </a:rPr>
                  <a:t>Jahr</a:t>
                </a:r>
              </a:p>
            </c:rich>
          </c:tx>
          <c:layout>
            <c:manualLayout>
              <c:xMode val="edge"/>
              <c:yMode val="edge"/>
              <c:x val="0.39956012442889077"/>
              <c:y val="0.7543356556870182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e-DE"/>
          </a:p>
        </c:txPr>
        <c:crossAx val="551075408"/>
        <c:crosses val="autoZero"/>
        <c:auto val="1"/>
        <c:lblAlgn val="ctr"/>
        <c:lblOffset val="100"/>
        <c:noMultiLvlLbl val="0"/>
      </c:catAx>
      <c:valAx>
        <c:axId val="551075408"/>
        <c:scaling>
          <c:orientation val="minMax"/>
          <c:max val="12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de-DE" sz="1200">
                    <a:solidFill>
                      <a:sysClr val="windowText" lastClr="000000"/>
                    </a:solidFill>
                    <a:latin typeface="Times New Roman" panose="02020603050405020304" pitchFamily="18" charset="0"/>
                    <a:cs typeface="Times New Roman" panose="02020603050405020304" pitchFamily="18" charset="0"/>
                  </a:rPr>
                  <a:t>dt/</a:t>
                </a:r>
                <a:r>
                  <a:rPr lang="de-DE" sz="1200" baseline="0">
                    <a:solidFill>
                      <a:sysClr val="windowText" lastClr="000000"/>
                    </a:solidFill>
                    <a:latin typeface="Times New Roman" panose="02020603050405020304" pitchFamily="18" charset="0"/>
                    <a:cs typeface="Times New Roman" panose="02020603050405020304" pitchFamily="18" charset="0"/>
                  </a:rPr>
                  <a:t> ha</a:t>
                </a:r>
                <a:endParaRPr lang="de-DE"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e-DE"/>
          </a:p>
        </c:txPr>
        <c:crossAx val="551080656"/>
        <c:crosses val="autoZero"/>
        <c:crossBetween val="between"/>
      </c:valAx>
      <c:spPr>
        <a:noFill/>
        <a:ln>
          <a:noFill/>
        </a:ln>
        <a:effectLst/>
      </c:spPr>
    </c:plotArea>
    <c:legend>
      <c:legendPos val="b"/>
      <c:layout>
        <c:manualLayout>
          <c:xMode val="edge"/>
          <c:yMode val="edge"/>
          <c:x val="0"/>
          <c:y val="0.81859944208544611"/>
          <c:w val="0.99994705522920746"/>
          <c:h val="0.1814005579145538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de-DE"/>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0.46325</cdr:x>
      <cdr:y>0.58514</cdr:y>
    </cdr:from>
    <cdr:to>
      <cdr:x>0.66498</cdr:x>
      <cdr:y>0.84355</cdr:y>
    </cdr:to>
    <cdr:sp macro="" textlink="">
      <cdr:nvSpPr>
        <cdr:cNvPr id="4" name="Textfeld 3">
          <a:extLst xmlns:a="http://schemas.openxmlformats.org/drawingml/2006/main">
            <a:ext uri="{FF2B5EF4-FFF2-40B4-BE49-F238E27FC236}">
              <a16:creationId xmlns:a16="http://schemas.microsoft.com/office/drawing/2014/main" id="{BB9A8AB2-4A35-4704-BD7F-BCC188F0E191}"/>
            </a:ext>
          </a:extLst>
        </cdr:cNvPr>
        <cdr:cNvSpPr txBox="1"/>
      </cdr:nvSpPr>
      <cdr:spPr>
        <a:xfrm xmlns:a="http://schemas.openxmlformats.org/drawingml/2006/main">
          <a:off x="2668673" y="2129062"/>
          <a:ext cx="1162110" cy="9402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200">
              <a:latin typeface="Times New Roman" panose="02020603050405020304" pitchFamily="18" charset="0"/>
              <a:cs typeface="Times New Roman" panose="02020603050405020304" pitchFamily="18" charset="0"/>
            </a:rPr>
            <a:t>Index value of</a:t>
          </a:r>
          <a:r>
            <a:rPr lang="de-DE" sz="1200" baseline="0">
              <a:latin typeface="Times New Roman" panose="02020603050405020304" pitchFamily="18" charset="0"/>
              <a:cs typeface="Times New Roman" panose="02020603050405020304" pitchFamily="18" charset="0"/>
            </a:rPr>
            <a:t> 60 dt/ha in Year 8</a:t>
          </a:r>
          <a:endParaRPr lang="de-DE"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0.79861</cdr:x>
      <cdr:y>0.21008</cdr:y>
    </cdr:from>
    <cdr:to>
      <cdr:x>0.82564</cdr:x>
      <cdr:y>0.49738</cdr:y>
    </cdr:to>
    <cdr:sp macro="" textlink="">
      <cdr:nvSpPr>
        <cdr:cNvPr id="5" name="Geschweifte Klammer rechts 4">
          <a:extLst xmlns:a="http://schemas.openxmlformats.org/drawingml/2006/main">
            <a:ext uri="{FF2B5EF4-FFF2-40B4-BE49-F238E27FC236}">
              <a16:creationId xmlns:a16="http://schemas.microsoft.com/office/drawing/2014/main" id="{7C2E3696-96DE-4B85-A43F-0C5C0F3F2778}"/>
            </a:ext>
          </a:extLst>
        </cdr:cNvPr>
        <cdr:cNvSpPr/>
      </cdr:nvSpPr>
      <cdr:spPr>
        <a:xfrm xmlns:a="http://schemas.openxmlformats.org/drawingml/2006/main">
          <a:off x="4600575" y="764374"/>
          <a:ext cx="155731" cy="1045375"/>
        </a:xfrm>
        <a:prstGeom xmlns:a="http://schemas.openxmlformats.org/drawingml/2006/main" prst="rightBrac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de-DE" sz="1100">
            <a:solidFill>
              <a:sysClr val="windowText" lastClr="000000"/>
            </a:solidFill>
          </a:endParaRPr>
        </a:p>
      </cdr:txBody>
    </cdr:sp>
  </cdr:relSizeAnchor>
  <cdr:relSizeAnchor xmlns:cdr="http://schemas.openxmlformats.org/drawingml/2006/chartDrawing">
    <cdr:from>
      <cdr:x>0.83226</cdr:x>
      <cdr:y>0.32008</cdr:y>
    </cdr:from>
    <cdr:to>
      <cdr:x>0.93582</cdr:x>
      <cdr:y>0.38738</cdr:y>
    </cdr:to>
    <cdr:sp macro="" textlink="">
      <cdr:nvSpPr>
        <cdr:cNvPr id="6" name="Textfeld 5">
          <a:extLst xmlns:a="http://schemas.openxmlformats.org/drawingml/2006/main">
            <a:ext uri="{FF2B5EF4-FFF2-40B4-BE49-F238E27FC236}">
              <a16:creationId xmlns:a16="http://schemas.microsoft.com/office/drawing/2014/main" id="{C4AC5EFD-009B-40C1-8E11-F714FCD8698A}"/>
            </a:ext>
          </a:extLst>
        </cdr:cNvPr>
        <cdr:cNvSpPr txBox="1"/>
      </cdr:nvSpPr>
      <cdr:spPr>
        <a:xfrm xmlns:a="http://schemas.openxmlformats.org/drawingml/2006/main">
          <a:off x="4794406" y="1164638"/>
          <a:ext cx="596581" cy="2448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200">
              <a:solidFill>
                <a:sysClr val="windowText" lastClr="000000"/>
              </a:solidFill>
              <a:latin typeface="Times New Roman" panose="02020603050405020304" pitchFamily="18" charset="0"/>
              <a:cs typeface="Times New Roman" panose="02020603050405020304" pitchFamily="18" charset="0"/>
            </a:rPr>
            <a:t>Deductible</a:t>
          </a:r>
        </a:p>
      </cdr:txBody>
    </cdr:sp>
  </cdr:relSizeAnchor>
  <cdr:relSizeAnchor xmlns:cdr="http://schemas.openxmlformats.org/drawingml/2006/chartDrawing">
    <cdr:from>
      <cdr:x>0.8196</cdr:x>
      <cdr:y>0.48002</cdr:y>
    </cdr:from>
    <cdr:to>
      <cdr:x>0.95337</cdr:x>
      <cdr:y>0.63883</cdr:y>
    </cdr:to>
    <cdr:sp macro="" textlink="">
      <cdr:nvSpPr>
        <cdr:cNvPr id="7" name="Textfeld 6">
          <a:extLst xmlns:a="http://schemas.openxmlformats.org/drawingml/2006/main">
            <a:ext uri="{FF2B5EF4-FFF2-40B4-BE49-F238E27FC236}">
              <a16:creationId xmlns:a16="http://schemas.microsoft.com/office/drawing/2014/main" id="{C70D0C88-7FF9-4DCF-93DA-F63C7C47933C}"/>
            </a:ext>
          </a:extLst>
        </cdr:cNvPr>
        <cdr:cNvSpPr txBox="1"/>
      </cdr:nvSpPr>
      <cdr:spPr>
        <a:xfrm xmlns:a="http://schemas.openxmlformats.org/drawingml/2006/main">
          <a:off x="4721510" y="1746562"/>
          <a:ext cx="770611" cy="5778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200">
              <a:solidFill>
                <a:sysClr val="windowText" lastClr="000000"/>
              </a:solidFill>
              <a:latin typeface="Times New Roman" panose="02020603050405020304" pitchFamily="18" charset="0"/>
              <a:cs typeface="Times New Roman" panose="02020603050405020304" pitchFamily="18" charset="0"/>
            </a:rPr>
            <a:t>Compensation</a:t>
          </a:r>
        </a:p>
        <a:p xmlns:a="http://schemas.openxmlformats.org/drawingml/2006/main">
          <a:r>
            <a:rPr lang="de-DE" sz="1200">
              <a:solidFill>
                <a:sysClr val="windowText" lastClr="000000"/>
              </a:solidFill>
              <a:latin typeface="Times New Roman" panose="02020603050405020304" pitchFamily="18" charset="0"/>
              <a:cs typeface="Times New Roman" panose="02020603050405020304" pitchFamily="18" charset="0"/>
            </a:rPr>
            <a:t>200</a:t>
          </a:r>
          <a:r>
            <a:rPr lang="de-DE" sz="1200" baseline="0">
              <a:solidFill>
                <a:sysClr val="windowText" lastClr="000000"/>
              </a:solidFill>
              <a:latin typeface="Times New Roman" panose="02020603050405020304" pitchFamily="18" charset="0"/>
              <a:cs typeface="Times New Roman" panose="02020603050405020304" pitchFamily="18" charset="0"/>
            </a:rPr>
            <a:t> €/ha</a:t>
          </a:r>
          <a:endParaRPr lang="de-DE" sz="12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0.79751</cdr:x>
      <cdr:y>0.49629</cdr:y>
    </cdr:from>
    <cdr:to>
      <cdr:x>0.82341</cdr:x>
      <cdr:y>0.59162</cdr:y>
    </cdr:to>
    <cdr:sp macro="" textlink="">
      <cdr:nvSpPr>
        <cdr:cNvPr id="8" name="Geschweifte Klammer rechts 7"/>
        <cdr:cNvSpPr/>
      </cdr:nvSpPr>
      <cdr:spPr>
        <a:xfrm xmlns:a="http://schemas.openxmlformats.org/drawingml/2006/main">
          <a:off x="4594226" y="1805775"/>
          <a:ext cx="149224" cy="346876"/>
        </a:xfrm>
        <a:prstGeom xmlns:a="http://schemas.openxmlformats.org/drawingml/2006/main" prst="rightBrac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de-DE" sz="1100">
            <a:solidFill>
              <a:sysClr val="windowText" lastClr="000000"/>
            </a:solidFill>
          </a:endParaRPr>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6322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Marius</dc:creator>
  <cp:keywords/>
  <dc:description/>
  <cp:lastModifiedBy>Michels, Marius</cp:lastModifiedBy>
  <cp:revision>2</cp:revision>
  <dcterms:created xsi:type="dcterms:W3CDTF">2023-01-09T08:19:00Z</dcterms:created>
  <dcterms:modified xsi:type="dcterms:W3CDTF">2023-01-09T08:19:00Z</dcterms:modified>
</cp:coreProperties>
</file>