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8CC0B" w14:textId="743DE0F6" w:rsidR="00233C7D" w:rsidRPr="005D35E8" w:rsidRDefault="00EF5CA7">
      <w:pPr>
        <w:rPr>
          <w:rFonts w:ascii="Times New Roman" w:hAnsi="Times New Roman" w:cs="Times New Roman"/>
          <w:b/>
          <w:bCs/>
          <w:u w:val="single"/>
        </w:rPr>
      </w:pPr>
      <w:r w:rsidRPr="005D35E8">
        <w:rPr>
          <w:rFonts w:ascii="Times New Roman" w:hAnsi="Times New Roman" w:cs="Times New Roman"/>
          <w:b/>
          <w:bCs/>
          <w:u w:val="single"/>
        </w:rPr>
        <w:t>Supplementary Data</w:t>
      </w:r>
    </w:p>
    <w:p w14:paraId="44735502" w14:textId="43BCA923" w:rsidR="005E653C" w:rsidRPr="005D35E8" w:rsidRDefault="000159D3">
      <w:pPr>
        <w:rPr>
          <w:rFonts w:ascii="Times New Roman" w:hAnsi="Times New Roman" w:cs="Times New Roman"/>
        </w:rPr>
      </w:pPr>
      <w:r w:rsidRPr="005D35E8">
        <w:rPr>
          <w:rFonts w:ascii="Times New Roman" w:hAnsi="Times New Roman" w:cs="Times New Roman"/>
        </w:rPr>
        <w:t>Table 1 – Criteria Used to Determine Reference Standard Classifications Using Clinical Data Available in the ATR</w:t>
      </w:r>
    </w:p>
    <w:p w14:paraId="7BA6ECCE" w14:textId="744CB5CD" w:rsidR="000159D3" w:rsidRPr="005D35E8" w:rsidRDefault="000159D3">
      <w:pPr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-1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035"/>
      </w:tblGrid>
      <w:tr w:rsidR="00F704F2" w:rsidRPr="000159D3" w14:paraId="1B635CB9" w14:textId="77777777" w:rsidTr="005D35E8">
        <w:tc>
          <w:tcPr>
            <w:tcW w:w="5045" w:type="dxa"/>
          </w:tcPr>
          <w:p w14:paraId="7A60771D" w14:textId="548A490C" w:rsidR="00F704F2" w:rsidRPr="000159D3" w:rsidRDefault="000A3A0E" w:rsidP="00B01D59">
            <w:pPr>
              <w:ind w:firstLine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 Standard Definitions</w:t>
            </w:r>
            <w:r w:rsidR="005D35E8">
              <w:rPr>
                <w:rFonts w:ascii="Times New Roman" w:hAnsi="Times New Roman" w:cs="Times New Roman"/>
                <w:b/>
              </w:rPr>
              <w:t xml:space="preserve"> [9]</w:t>
            </w:r>
            <w:r w:rsidR="00F704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35" w:type="dxa"/>
          </w:tcPr>
          <w:p w14:paraId="61C69C34" w14:textId="6CF47421" w:rsidR="00F704F2" w:rsidRPr="00F42D66" w:rsidRDefault="000A3A0E" w:rsidP="00F42D66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F42D66">
              <w:rPr>
                <w:rFonts w:ascii="Times New Roman" w:hAnsi="Times New Roman" w:cs="Times New Roman"/>
                <w:b/>
              </w:rPr>
              <w:t xml:space="preserve">Clinical Data Available in the </w:t>
            </w:r>
            <w:r w:rsidR="00F704F2" w:rsidRPr="00F42D66">
              <w:rPr>
                <w:rFonts w:ascii="Times New Roman" w:hAnsi="Times New Roman" w:cs="Times New Roman"/>
                <w:b/>
              </w:rPr>
              <w:t xml:space="preserve">ATR  </w:t>
            </w:r>
          </w:p>
        </w:tc>
      </w:tr>
      <w:tr w:rsidR="00F704F2" w:rsidRPr="000159D3" w14:paraId="0556D058" w14:textId="77777777" w:rsidTr="005D35E8">
        <w:tc>
          <w:tcPr>
            <w:tcW w:w="10080" w:type="dxa"/>
            <w:gridSpan w:val="2"/>
          </w:tcPr>
          <w:p w14:paraId="59434910" w14:textId="5E53CBEF" w:rsidR="00F704F2" w:rsidRPr="00F42D66" w:rsidRDefault="00F704F2" w:rsidP="00F42D66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F42D66">
              <w:rPr>
                <w:rFonts w:ascii="Times New Roman" w:hAnsi="Times New Roman" w:cs="Times New Roman"/>
                <w:b/>
              </w:rPr>
              <w:t>DEAD</w:t>
            </w:r>
          </w:p>
        </w:tc>
      </w:tr>
      <w:tr w:rsidR="005D35E8" w:rsidRPr="000159D3" w14:paraId="7FB02978" w14:textId="77777777" w:rsidTr="005D35E8">
        <w:tc>
          <w:tcPr>
            <w:tcW w:w="5045" w:type="dxa"/>
          </w:tcPr>
          <w:p w14:paraId="44A5C5F0" w14:textId="77777777" w:rsidR="000159D3" w:rsidRPr="000159D3" w:rsidRDefault="000159D3" w:rsidP="00B01D59">
            <w:pPr>
              <w:rPr>
                <w:rFonts w:ascii="Times New Roman" w:hAnsi="Times New Roman" w:cs="Times New Roman"/>
                <w:color w:val="000000"/>
              </w:rPr>
            </w:pPr>
            <w:r w:rsidRPr="000159D3">
              <w:rPr>
                <w:rFonts w:ascii="Times New Roman" w:hAnsi="Times New Roman" w:cs="Times New Roman"/>
                <w:color w:val="000000"/>
              </w:rPr>
              <w:t xml:space="preserve">A lack of palpable pulse and/or respiratory effort (i.e. cardiac or respiratory arrest) at initial EMS assessment that is not responsive to airway positioning or needle decompression </w:t>
            </w:r>
          </w:p>
        </w:tc>
        <w:tc>
          <w:tcPr>
            <w:tcW w:w="5035" w:type="dxa"/>
          </w:tcPr>
          <w:p w14:paraId="53CCE433" w14:textId="77777777" w:rsidR="005D35E8" w:rsidRPr="00F42D66" w:rsidRDefault="00F704F2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Record of prehospital</w:t>
            </w:r>
            <w:r w:rsidR="000159D3" w:rsidRPr="00F42D66">
              <w:rPr>
                <w:rFonts w:ascii="Times New Roman" w:hAnsi="Times New Roman" w:cs="Times New Roman"/>
              </w:rPr>
              <w:t xml:space="preserve"> cardiorespiratory resuscitation</w:t>
            </w:r>
            <w:r w:rsidRPr="00F42D66">
              <w:rPr>
                <w:rFonts w:ascii="Times New Roman" w:hAnsi="Times New Roman" w:cs="Times New Roman"/>
              </w:rPr>
              <w:t xml:space="preserve"> </w:t>
            </w:r>
            <w:r w:rsidR="005D35E8" w:rsidRPr="00F42D66">
              <w:rPr>
                <w:rFonts w:ascii="Times New Roman" w:hAnsi="Times New Roman" w:cs="Times New Roman"/>
                <w:i/>
                <w:iCs/>
              </w:rPr>
              <w:t>or</w:t>
            </w:r>
            <w:r w:rsidRPr="00F42D66">
              <w:rPr>
                <w:rFonts w:ascii="Times New Roman" w:hAnsi="Times New Roman" w:cs="Times New Roman"/>
              </w:rPr>
              <w:t xml:space="preserve"> </w:t>
            </w:r>
          </w:p>
          <w:p w14:paraId="26A76A92" w14:textId="16AF07DA" w:rsidR="000159D3" w:rsidRPr="00F42D66" w:rsidRDefault="00F704F2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record of prehospital cardiac arrest</w:t>
            </w:r>
          </w:p>
        </w:tc>
      </w:tr>
      <w:tr w:rsidR="005D35E8" w:rsidRPr="000159D3" w14:paraId="25E10EDD" w14:textId="77777777" w:rsidTr="005D35E8">
        <w:tc>
          <w:tcPr>
            <w:tcW w:w="5045" w:type="dxa"/>
          </w:tcPr>
          <w:p w14:paraId="73C854ED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  <w:color w:val="000000"/>
              </w:rPr>
              <w:t>Lack of pulse or respiratory effort within 15 minutes of EMS arrival at scene</w:t>
            </w:r>
          </w:p>
        </w:tc>
        <w:tc>
          <w:tcPr>
            <w:tcW w:w="5035" w:type="dxa"/>
          </w:tcPr>
          <w:p w14:paraId="2B7BCEE7" w14:textId="77777777" w:rsidR="005D35E8" w:rsidRPr="00F42D66" w:rsidRDefault="00F704F2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 xml:space="preserve">Record of prehospital cardiorespiratory resuscitation </w:t>
            </w:r>
            <w:r w:rsidR="005D35E8" w:rsidRPr="00F42D66">
              <w:rPr>
                <w:rFonts w:ascii="Times New Roman" w:hAnsi="Times New Roman" w:cs="Times New Roman"/>
                <w:i/>
                <w:iCs/>
              </w:rPr>
              <w:t>or</w:t>
            </w:r>
            <w:r w:rsidRPr="00F42D66">
              <w:rPr>
                <w:rFonts w:ascii="Times New Roman" w:hAnsi="Times New Roman" w:cs="Times New Roman"/>
              </w:rPr>
              <w:t xml:space="preserve"> </w:t>
            </w:r>
          </w:p>
          <w:p w14:paraId="676EEF59" w14:textId="765B6698" w:rsidR="000159D3" w:rsidRPr="00F42D66" w:rsidRDefault="00F704F2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record of prehospital cardiac arrest</w:t>
            </w:r>
          </w:p>
        </w:tc>
      </w:tr>
      <w:tr w:rsidR="00F704F2" w:rsidRPr="000159D3" w14:paraId="67E12FA3" w14:textId="77777777" w:rsidTr="005D35E8">
        <w:tc>
          <w:tcPr>
            <w:tcW w:w="10080" w:type="dxa"/>
            <w:gridSpan w:val="2"/>
          </w:tcPr>
          <w:p w14:paraId="1F38FA25" w14:textId="4E267CDF" w:rsidR="00F704F2" w:rsidRPr="00F42D66" w:rsidRDefault="00F704F2" w:rsidP="00F42D66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F42D66">
              <w:rPr>
                <w:rFonts w:ascii="Times New Roman" w:hAnsi="Times New Roman" w:cs="Times New Roman"/>
                <w:b/>
              </w:rPr>
              <w:t>EXPECTANT</w:t>
            </w:r>
          </w:p>
        </w:tc>
      </w:tr>
      <w:tr w:rsidR="005D35E8" w:rsidRPr="000159D3" w14:paraId="355A98D8" w14:textId="77777777" w:rsidTr="005D35E8">
        <w:tc>
          <w:tcPr>
            <w:tcW w:w="5045" w:type="dxa"/>
          </w:tcPr>
          <w:p w14:paraId="6222EB8E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In patients aged 0 to 49 years old, third degree (full thickness) burns to &gt;90% of the body</w:t>
            </w:r>
          </w:p>
        </w:tc>
        <w:tc>
          <w:tcPr>
            <w:tcW w:w="5035" w:type="dxa"/>
          </w:tcPr>
          <w:p w14:paraId="70B39B52" w14:textId="66E6216D" w:rsidR="000159D3" w:rsidRPr="00F42D66" w:rsidRDefault="00F704F2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 xml:space="preserve">Injury Type = Burn, </w:t>
            </w:r>
            <w:r w:rsidR="005D35E8" w:rsidRPr="00F42D66">
              <w:rPr>
                <w:rFonts w:ascii="Times New Roman" w:hAnsi="Times New Roman" w:cs="Times New Roman"/>
                <w:i/>
                <w:iCs/>
              </w:rPr>
              <w:t>and</w:t>
            </w:r>
            <w:r w:rsidRPr="00F42D66">
              <w:rPr>
                <w:rFonts w:ascii="Times New Roman" w:hAnsi="Times New Roman" w:cs="Times New Roman"/>
              </w:rPr>
              <w:t xml:space="preserve"> ISS = 75</w:t>
            </w:r>
          </w:p>
        </w:tc>
      </w:tr>
      <w:tr w:rsidR="005D35E8" w:rsidRPr="000159D3" w14:paraId="07A40989" w14:textId="77777777" w:rsidTr="005D35E8">
        <w:tc>
          <w:tcPr>
            <w:tcW w:w="5045" w:type="dxa"/>
          </w:tcPr>
          <w:p w14:paraId="5BE23E64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 xml:space="preserve">In patients over 50 years old, third degree (full thickness) burns to &gt;80% of the body </w:t>
            </w:r>
          </w:p>
        </w:tc>
        <w:tc>
          <w:tcPr>
            <w:tcW w:w="5035" w:type="dxa"/>
          </w:tcPr>
          <w:p w14:paraId="1180720D" w14:textId="5B95A385" w:rsidR="000159D3" w:rsidRPr="00F42D66" w:rsidRDefault="005D35E8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 xml:space="preserve">Injury Type = Burn, </w:t>
            </w:r>
            <w:r w:rsidRPr="00F42D66">
              <w:rPr>
                <w:rFonts w:ascii="Times New Roman" w:hAnsi="Times New Roman" w:cs="Times New Roman"/>
                <w:i/>
                <w:iCs/>
              </w:rPr>
              <w:t>and</w:t>
            </w:r>
            <w:r w:rsidRPr="00F42D66">
              <w:rPr>
                <w:rFonts w:ascii="Times New Roman" w:hAnsi="Times New Roman" w:cs="Times New Roman"/>
              </w:rPr>
              <w:t xml:space="preserve"> ISS = 75</w:t>
            </w:r>
          </w:p>
        </w:tc>
      </w:tr>
      <w:tr w:rsidR="005D35E8" w:rsidRPr="000159D3" w14:paraId="79BF2D7E" w14:textId="77777777" w:rsidTr="005D35E8">
        <w:tc>
          <w:tcPr>
            <w:tcW w:w="5045" w:type="dxa"/>
          </w:tcPr>
          <w:p w14:paraId="342D1BA6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Penetrating or blunt trauma to the head which crosses the midline with agonal respirations and/or no motor response decorticate posturing or decerebrate posturing (i.e. a motor GCS of 3 or less)</w:t>
            </w:r>
          </w:p>
        </w:tc>
        <w:tc>
          <w:tcPr>
            <w:tcW w:w="5035" w:type="dxa"/>
          </w:tcPr>
          <w:p w14:paraId="418A828D" w14:textId="1C8451AB" w:rsidR="000159D3" w:rsidRPr="00F42D66" w:rsidRDefault="00F704F2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 xml:space="preserve">Injury Type = Penetrating or Blunt, </w:t>
            </w:r>
            <w:r w:rsidR="005D35E8" w:rsidRPr="00F42D66">
              <w:rPr>
                <w:rFonts w:ascii="Times New Roman" w:hAnsi="Times New Roman" w:cs="Times New Roman"/>
                <w:i/>
                <w:iCs/>
              </w:rPr>
              <w:t>and</w:t>
            </w:r>
            <w:r w:rsidRPr="00F42D66">
              <w:rPr>
                <w:rFonts w:ascii="Times New Roman" w:hAnsi="Times New Roman" w:cs="Times New Roman"/>
              </w:rPr>
              <w:t xml:space="preserve"> record of CT HEAD, </w:t>
            </w:r>
            <w:r w:rsidR="005D35E8" w:rsidRPr="00F42D66">
              <w:rPr>
                <w:rFonts w:ascii="Times New Roman" w:hAnsi="Times New Roman" w:cs="Times New Roman"/>
                <w:i/>
                <w:iCs/>
              </w:rPr>
              <w:t>and</w:t>
            </w:r>
            <w:r w:rsidRPr="00F42D66">
              <w:rPr>
                <w:rFonts w:ascii="Times New Roman" w:hAnsi="Times New Roman" w:cs="Times New Roman"/>
              </w:rPr>
              <w:t xml:space="preserve"> earliest GCS Motor Score = 1-3, </w:t>
            </w:r>
            <w:r w:rsidR="005D35E8" w:rsidRPr="00F42D66">
              <w:rPr>
                <w:rFonts w:ascii="Times New Roman" w:hAnsi="Times New Roman" w:cs="Times New Roman"/>
                <w:i/>
                <w:iCs/>
              </w:rPr>
              <w:t>and</w:t>
            </w:r>
            <w:r w:rsidRPr="00F42D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42D66">
              <w:rPr>
                <w:rFonts w:ascii="Times New Roman" w:hAnsi="Times New Roman" w:cs="Times New Roman"/>
              </w:rPr>
              <w:t>Discharge Status = Dead</w:t>
            </w:r>
          </w:p>
        </w:tc>
      </w:tr>
      <w:tr w:rsidR="005D35E8" w:rsidRPr="000159D3" w14:paraId="6E998261" w14:textId="77777777" w:rsidTr="005D35E8">
        <w:tc>
          <w:tcPr>
            <w:tcW w:w="5045" w:type="dxa"/>
          </w:tcPr>
          <w:p w14:paraId="7C4A3F8D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Uncontrolled haemorrhage that resulted in cardiac arrest prior to EMS transport</w:t>
            </w:r>
          </w:p>
        </w:tc>
        <w:tc>
          <w:tcPr>
            <w:tcW w:w="5035" w:type="dxa"/>
          </w:tcPr>
          <w:p w14:paraId="4775004E" w14:textId="4C12BF51" w:rsidR="000159D3" w:rsidRPr="00F42D66" w:rsidRDefault="005D35E8" w:rsidP="00F42D66">
            <w:pPr>
              <w:ind w:left="-23"/>
              <w:rPr>
                <w:rFonts w:ascii="Times New Roman" w:hAnsi="Times New Roman" w:cs="Times New Roman"/>
                <w:i/>
              </w:rPr>
            </w:pPr>
            <w:r w:rsidRPr="00F42D66">
              <w:rPr>
                <w:rFonts w:ascii="Times New Roman" w:hAnsi="Times New Roman" w:cs="Times New Roman"/>
                <w:i/>
              </w:rPr>
              <w:t xml:space="preserve">Clinical data unavailable </w:t>
            </w:r>
            <w:r w:rsidR="00F42D66">
              <w:rPr>
                <w:rFonts w:ascii="Times New Roman" w:hAnsi="Times New Roman" w:cs="Times New Roman"/>
                <w:i/>
              </w:rPr>
              <w:t>in the</w:t>
            </w:r>
            <w:r w:rsidRPr="00F42D66">
              <w:rPr>
                <w:rFonts w:ascii="Times New Roman" w:hAnsi="Times New Roman" w:cs="Times New Roman"/>
                <w:i/>
              </w:rPr>
              <w:t xml:space="preserve"> ATR</w:t>
            </w:r>
          </w:p>
        </w:tc>
      </w:tr>
      <w:tr w:rsidR="00F704F2" w:rsidRPr="000159D3" w14:paraId="6B4AB550" w14:textId="77777777" w:rsidTr="005D35E8">
        <w:tc>
          <w:tcPr>
            <w:tcW w:w="10080" w:type="dxa"/>
            <w:gridSpan w:val="2"/>
          </w:tcPr>
          <w:p w14:paraId="779D5ECC" w14:textId="6B47841F" w:rsidR="00F704F2" w:rsidRPr="00F42D66" w:rsidRDefault="00F704F2" w:rsidP="00F42D66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F42D66">
              <w:rPr>
                <w:rFonts w:ascii="Times New Roman" w:hAnsi="Times New Roman" w:cs="Times New Roman"/>
                <w:b/>
              </w:rPr>
              <w:t>PRIORITY 1 (IMMEDIATE)</w:t>
            </w:r>
          </w:p>
        </w:tc>
      </w:tr>
      <w:tr w:rsidR="005D35E8" w:rsidRPr="000159D3" w14:paraId="59D7562D" w14:textId="77777777" w:rsidTr="005D35E8">
        <w:tc>
          <w:tcPr>
            <w:tcW w:w="5045" w:type="dxa"/>
          </w:tcPr>
          <w:p w14:paraId="1644A802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Neurologic, vascular, or haemorrhage-controlling surgery to the head, neck or torso performed within 4 hours of arrival to hospital</w:t>
            </w:r>
          </w:p>
        </w:tc>
        <w:tc>
          <w:tcPr>
            <w:tcW w:w="5035" w:type="dxa"/>
          </w:tcPr>
          <w:p w14:paraId="4F3F6E72" w14:textId="501FE001" w:rsidR="000159D3" w:rsidRPr="00F42D66" w:rsidRDefault="005D35E8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 xml:space="preserve">If the patient’s disposition from the ED was directly to the operating room, </w:t>
            </w:r>
            <w:r w:rsidR="00A61193">
              <w:rPr>
                <w:rFonts w:ascii="Times New Roman" w:hAnsi="Times New Roman" w:cs="Times New Roman"/>
                <w:i/>
                <w:iCs/>
              </w:rPr>
              <w:t>and</w:t>
            </w:r>
          </w:p>
          <w:p w14:paraId="4421A582" w14:textId="6CAD8E26" w:rsidR="005D35E8" w:rsidRPr="00F42D66" w:rsidRDefault="005D35E8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 xml:space="preserve">There was a record of an operation performed on the same day that the patient presented to the ED and the operation was classified as either ““General Surgery”, “Trauma”, “Neurosurgery”, “Cardiothoracic”, “Critical Care”, </w:t>
            </w:r>
            <w:proofErr w:type="spellStart"/>
            <w:r w:rsidRPr="00F42D66">
              <w:rPr>
                <w:rFonts w:ascii="Times New Roman" w:hAnsi="Times New Roman" w:cs="Times New Roman"/>
              </w:rPr>
              <w:t>Oromaxillo</w:t>
            </w:r>
            <w:proofErr w:type="spellEnd"/>
            <w:r w:rsidRPr="00F42D66">
              <w:rPr>
                <w:rFonts w:ascii="Times New Roman" w:hAnsi="Times New Roman" w:cs="Times New Roman"/>
              </w:rPr>
              <w:t>”, “”, “Vascular”, “Thoracic”, or “”</w:t>
            </w:r>
          </w:p>
        </w:tc>
      </w:tr>
      <w:tr w:rsidR="005D35E8" w:rsidRPr="000159D3" w14:paraId="2C09111E" w14:textId="77777777" w:rsidTr="005D35E8">
        <w:tc>
          <w:tcPr>
            <w:tcW w:w="5045" w:type="dxa"/>
          </w:tcPr>
          <w:p w14:paraId="07670BB8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Limb-conserving surgery performed within 4 hours of arrival at hospital on a limb that was found to be pulseless distal to the injury prior to surgery</w:t>
            </w:r>
          </w:p>
        </w:tc>
        <w:tc>
          <w:tcPr>
            <w:tcW w:w="5035" w:type="dxa"/>
          </w:tcPr>
          <w:p w14:paraId="528A2D3E" w14:textId="593338B8" w:rsidR="005D35E8" w:rsidRPr="00F42D66" w:rsidRDefault="005D35E8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 xml:space="preserve">If the patient’s disposition from the ED was directly to the operating room, </w:t>
            </w:r>
            <w:r w:rsidR="00A61193">
              <w:rPr>
                <w:rFonts w:ascii="Times New Roman" w:hAnsi="Times New Roman" w:cs="Times New Roman"/>
                <w:i/>
                <w:iCs/>
              </w:rPr>
              <w:t>and</w:t>
            </w:r>
          </w:p>
          <w:p w14:paraId="5F8C7FA0" w14:textId="63369D4F" w:rsidR="000159D3" w:rsidRPr="00F42D66" w:rsidRDefault="005D35E8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There was a record of an operation performed on the same day that the patient presented to the ED and the operation was classified as either “</w:t>
            </w:r>
            <w:r w:rsidR="00A61193">
              <w:rPr>
                <w:rFonts w:ascii="Times New Roman" w:hAnsi="Times New Roman" w:cs="Times New Roman"/>
              </w:rPr>
              <w:t>Orthopedics” or “Plastic Surgery”</w:t>
            </w:r>
            <w:r w:rsidRPr="00F42D66">
              <w:rPr>
                <w:rFonts w:ascii="Times New Roman" w:hAnsi="Times New Roman" w:cs="Times New Roman"/>
              </w:rPr>
              <w:t>”</w:t>
            </w:r>
          </w:p>
        </w:tc>
      </w:tr>
      <w:tr w:rsidR="005D35E8" w:rsidRPr="000159D3" w14:paraId="3AAEAAF2" w14:textId="77777777" w:rsidTr="005D35E8">
        <w:tc>
          <w:tcPr>
            <w:tcW w:w="5045" w:type="dxa"/>
          </w:tcPr>
          <w:p w14:paraId="727A2BA5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Escharotomy performed on a patient with burns within 2 hours of arrival at a hospital</w:t>
            </w:r>
          </w:p>
        </w:tc>
        <w:tc>
          <w:tcPr>
            <w:tcW w:w="5035" w:type="dxa"/>
          </w:tcPr>
          <w:p w14:paraId="53E95D57" w14:textId="0B57BC01" w:rsidR="000159D3" w:rsidRPr="00F42D66" w:rsidRDefault="005D35E8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If there was a record of the patient receiving an escharotomy at the referring hospital, or at the receiving trauma centre</w:t>
            </w:r>
          </w:p>
        </w:tc>
      </w:tr>
      <w:tr w:rsidR="005D35E8" w:rsidRPr="000159D3" w14:paraId="43002263" w14:textId="77777777" w:rsidTr="005D35E8">
        <w:tc>
          <w:tcPr>
            <w:tcW w:w="5045" w:type="dxa"/>
          </w:tcPr>
          <w:p w14:paraId="23D7D692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lastRenderedPageBreak/>
              <w:t>Chest tube placed within 2 hours of arrival at hospital</w:t>
            </w:r>
          </w:p>
        </w:tc>
        <w:tc>
          <w:tcPr>
            <w:tcW w:w="5035" w:type="dxa"/>
          </w:tcPr>
          <w:p w14:paraId="2A4F65C6" w14:textId="4DF97D25" w:rsidR="000159D3" w:rsidRPr="00F42D66" w:rsidRDefault="000A3A0E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If there was a record of the patient receiving a chest tube in either the prehospital setting, in the receiving hospital, or in the ED of the receiving trauma centre</w:t>
            </w:r>
          </w:p>
        </w:tc>
      </w:tr>
      <w:tr w:rsidR="005D35E8" w:rsidRPr="000159D3" w14:paraId="0A928838" w14:textId="77777777" w:rsidTr="005D35E8">
        <w:tc>
          <w:tcPr>
            <w:tcW w:w="5045" w:type="dxa"/>
          </w:tcPr>
          <w:p w14:paraId="24997C4B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An advanced airway intervention (e.g. intubation, LMA, surgical airway) performed in the pre-hospital setting or within 4 hours of arrival at hospital</w:t>
            </w:r>
          </w:p>
        </w:tc>
        <w:tc>
          <w:tcPr>
            <w:tcW w:w="5035" w:type="dxa"/>
          </w:tcPr>
          <w:p w14:paraId="7ABCB9FC" w14:textId="77777777" w:rsidR="000159D3" w:rsidRPr="00F42D66" w:rsidRDefault="00424875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 xml:space="preserve">If there was a record of the patient being intubated prehospital or at the referring facility, </w:t>
            </w:r>
            <w:r w:rsidRPr="00F42D66">
              <w:rPr>
                <w:rFonts w:ascii="Times New Roman" w:hAnsi="Times New Roman" w:cs="Times New Roman"/>
                <w:i/>
                <w:iCs/>
              </w:rPr>
              <w:t xml:space="preserve">or </w:t>
            </w:r>
          </w:p>
          <w:p w14:paraId="1F5492DA" w14:textId="66375398" w:rsidR="00424875" w:rsidRPr="00F42D66" w:rsidRDefault="00424875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If a</w:t>
            </w:r>
            <w:r w:rsidR="00C72109" w:rsidRPr="00F42D66">
              <w:rPr>
                <w:rFonts w:ascii="Times New Roman" w:hAnsi="Times New Roman" w:cs="Times New Roman"/>
              </w:rPr>
              <w:t>ny of the following</w:t>
            </w:r>
            <w:r w:rsidRPr="00F42D66">
              <w:rPr>
                <w:rFonts w:ascii="Times New Roman" w:hAnsi="Times New Roman" w:cs="Times New Roman"/>
              </w:rPr>
              <w:t xml:space="preserve"> </w:t>
            </w:r>
            <w:r w:rsidR="00C72109" w:rsidRPr="00F42D66">
              <w:rPr>
                <w:rFonts w:ascii="Times New Roman" w:hAnsi="Times New Roman" w:cs="Times New Roman"/>
              </w:rPr>
              <w:t xml:space="preserve">procedures were </w:t>
            </w:r>
            <w:r w:rsidRPr="00F42D66">
              <w:rPr>
                <w:rFonts w:ascii="Times New Roman" w:hAnsi="Times New Roman" w:cs="Times New Roman"/>
              </w:rPr>
              <w:t xml:space="preserve">performed </w:t>
            </w:r>
            <w:r w:rsidR="00C72109" w:rsidRPr="00F42D66">
              <w:rPr>
                <w:rFonts w:ascii="Times New Roman" w:hAnsi="Times New Roman" w:cs="Times New Roman"/>
              </w:rPr>
              <w:t>in the prehospital, referring facility or in the ED of the receiving trauma centre: “King LT”, “LMA”, “</w:t>
            </w:r>
            <w:proofErr w:type="spellStart"/>
            <w:r w:rsidR="00C72109" w:rsidRPr="00F42D66">
              <w:rPr>
                <w:rFonts w:ascii="Times New Roman" w:hAnsi="Times New Roman" w:cs="Times New Roman"/>
              </w:rPr>
              <w:t>Combitube</w:t>
            </w:r>
            <w:proofErr w:type="spellEnd"/>
            <w:r w:rsidR="00C72109" w:rsidRPr="00F42D66">
              <w:rPr>
                <w:rFonts w:ascii="Times New Roman" w:hAnsi="Times New Roman" w:cs="Times New Roman"/>
              </w:rPr>
              <w:t>”, “Oral Intubation”, “Raid Sequence Intubation”, or “Cricothyroidotomy”</w:t>
            </w:r>
          </w:p>
        </w:tc>
      </w:tr>
      <w:tr w:rsidR="005D35E8" w:rsidRPr="000159D3" w14:paraId="1BFB2578" w14:textId="77777777" w:rsidTr="005D35E8">
        <w:tc>
          <w:tcPr>
            <w:tcW w:w="5045" w:type="dxa"/>
          </w:tcPr>
          <w:p w14:paraId="082FDBE5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IV vasopressors administered within 2 hours of arrival at hospital</w:t>
            </w:r>
          </w:p>
        </w:tc>
        <w:tc>
          <w:tcPr>
            <w:tcW w:w="5035" w:type="dxa"/>
          </w:tcPr>
          <w:p w14:paraId="341F394D" w14:textId="067073B8" w:rsidR="00C72109" w:rsidRDefault="00C72109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</w:p>
          <w:p w14:paraId="2F138C53" w14:textId="36F811C7" w:rsidR="00A61193" w:rsidRPr="00F42D66" w:rsidRDefault="00A61193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use of IV vasopressors is not recorded in the ATR</w:t>
            </w:r>
          </w:p>
        </w:tc>
      </w:tr>
      <w:tr w:rsidR="005D35E8" w:rsidRPr="000159D3" w14:paraId="0A9CD4D0" w14:textId="77777777" w:rsidTr="005D35E8">
        <w:tc>
          <w:tcPr>
            <w:tcW w:w="5045" w:type="dxa"/>
          </w:tcPr>
          <w:p w14:paraId="03A70213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Arrived in the ED with uncontrolled haemorrhage</w:t>
            </w:r>
          </w:p>
        </w:tc>
        <w:tc>
          <w:tcPr>
            <w:tcW w:w="5035" w:type="dxa"/>
          </w:tcPr>
          <w:p w14:paraId="275D2FC5" w14:textId="15FB7B58" w:rsidR="00C72109" w:rsidRPr="00F42D66" w:rsidRDefault="00C72109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 xml:space="preserve">If the patient </w:t>
            </w:r>
            <w:r w:rsidR="00A61193">
              <w:rPr>
                <w:rFonts w:ascii="Times New Roman" w:hAnsi="Times New Roman" w:cs="Times New Roman"/>
              </w:rPr>
              <w:t xml:space="preserve">received 4 units or more of </w:t>
            </w:r>
            <w:r w:rsidRPr="00F42D66">
              <w:rPr>
                <w:rFonts w:ascii="Times New Roman" w:hAnsi="Times New Roman" w:cs="Times New Roman"/>
              </w:rPr>
              <w:t xml:space="preserve">blood products in the referring facility, </w:t>
            </w:r>
            <w:r w:rsidR="00A45C71">
              <w:rPr>
                <w:rFonts w:ascii="Times New Roman" w:hAnsi="Times New Roman" w:cs="Times New Roman"/>
              </w:rPr>
              <w:t>and/</w:t>
            </w:r>
            <w:r w:rsidRPr="00F42D66">
              <w:rPr>
                <w:rFonts w:ascii="Times New Roman" w:hAnsi="Times New Roman" w:cs="Times New Roman"/>
              </w:rPr>
              <w:t xml:space="preserve">or within the first 24h of presentation to the trauma centre, </w:t>
            </w:r>
            <w:r w:rsidRPr="00F42D66">
              <w:rPr>
                <w:rFonts w:ascii="Times New Roman" w:hAnsi="Times New Roman" w:cs="Times New Roman"/>
                <w:i/>
                <w:iCs/>
              </w:rPr>
              <w:t>or</w:t>
            </w:r>
          </w:p>
          <w:p w14:paraId="1C51C95F" w14:textId="77777777" w:rsidR="00F42D66" w:rsidRDefault="00C72109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If the patient had “surgery for hemorrhage control”</w:t>
            </w:r>
          </w:p>
          <w:p w14:paraId="6501A17B" w14:textId="79EB0D68" w:rsidR="000159D3" w:rsidRPr="00F42D66" w:rsidRDefault="000159D3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</w:p>
        </w:tc>
      </w:tr>
      <w:tr w:rsidR="005D35E8" w:rsidRPr="000159D3" w14:paraId="29B61A60" w14:textId="77777777" w:rsidTr="005D35E8">
        <w:tc>
          <w:tcPr>
            <w:tcW w:w="5045" w:type="dxa"/>
          </w:tcPr>
          <w:p w14:paraId="45D5F2C8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Patient who required EMS initiation of CPR (i.e. had a cardiac arrest) during transport, in the ED, or within 4 hours of arrival at a hospital</w:t>
            </w:r>
          </w:p>
        </w:tc>
        <w:tc>
          <w:tcPr>
            <w:tcW w:w="5035" w:type="dxa"/>
          </w:tcPr>
          <w:p w14:paraId="3BCFB095" w14:textId="1FC60D42" w:rsidR="000159D3" w:rsidRPr="00F42D66" w:rsidRDefault="000A3A0E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If there was a record of CPR being performed at either the referring hospital, or in the ED of the receiving trauma hospital</w:t>
            </w:r>
          </w:p>
        </w:tc>
      </w:tr>
      <w:tr w:rsidR="00F704F2" w:rsidRPr="000159D3" w14:paraId="54E96E0D" w14:textId="77777777" w:rsidTr="005D35E8">
        <w:tc>
          <w:tcPr>
            <w:tcW w:w="10080" w:type="dxa"/>
            <w:gridSpan w:val="2"/>
          </w:tcPr>
          <w:p w14:paraId="7C5B4816" w14:textId="4020A17B" w:rsidR="00F704F2" w:rsidRPr="00F42D66" w:rsidRDefault="00F704F2" w:rsidP="00F42D66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F42D66">
              <w:rPr>
                <w:rFonts w:ascii="Times New Roman" w:hAnsi="Times New Roman" w:cs="Times New Roman"/>
                <w:b/>
              </w:rPr>
              <w:t>PRIORITY 3 (MINIMAL)</w:t>
            </w:r>
          </w:p>
        </w:tc>
      </w:tr>
      <w:tr w:rsidR="005D35E8" w:rsidRPr="000159D3" w14:paraId="13B39D77" w14:textId="77777777" w:rsidTr="005D35E8">
        <w:tc>
          <w:tcPr>
            <w:tcW w:w="5045" w:type="dxa"/>
          </w:tcPr>
          <w:p w14:paraId="34ACA6F8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Discharged from the ED with no X-rays or an extremity X-ray that was negative or showed an uncomplicated fracture (i.e. a closed extremity fracture without significant displacement or neurovascular compromise); no laboratory testing; received only simple wound repair (single layer suturing only); and received no medications intravenously (does not include fluids), or inhaled (does not include oxygen) from EMS or in the hospital</w:t>
            </w:r>
          </w:p>
        </w:tc>
        <w:tc>
          <w:tcPr>
            <w:tcW w:w="5035" w:type="dxa"/>
          </w:tcPr>
          <w:p w14:paraId="5E8E49D7" w14:textId="56CC898F" w:rsidR="000159D3" w:rsidRPr="00F42D66" w:rsidRDefault="005D35E8" w:rsidP="00F42D66">
            <w:pPr>
              <w:ind w:left="-23"/>
              <w:rPr>
                <w:rFonts w:ascii="Times New Roman" w:hAnsi="Times New Roman" w:cs="Times New Roman"/>
                <w:i/>
              </w:rPr>
            </w:pPr>
            <w:r w:rsidRPr="00F42D66">
              <w:rPr>
                <w:rFonts w:ascii="Times New Roman" w:hAnsi="Times New Roman" w:cs="Times New Roman"/>
                <w:i/>
              </w:rPr>
              <w:t>Due to the ATR’s inclusion criteria for the ATR, it was deemed that all patients in the database would have injuries too significant to meet this definition</w:t>
            </w:r>
          </w:p>
        </w:tc>
      </w:tr>
      <w:tr w:rsidR="00F704F2" w:rsidRPr="000159D3" w14:paraId="1AC8B352" w14:textId="77777777" w:rsidTr="005D35E8">
        <w:tc>
          <w:tcPr>
            <w:tcW w:w="10080" w:type="dxa"/>
            <w:gridSpan w:val="2"/>
          </w:tcPr>
          <w:p w14:paraId="22B527E8" w14:textId="4B0D1A08" w:rsidR="00F704F2" w:rsidRPr="00F42D66" w:rsidRDefault="00F704F2" w:rsidP="00F42D66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F42D66">
              <w:rPr>
                <w:rFonts w:ascii="Times New Roman" w:hAnsi="Times New Roman" w:cs="Times New Roman"/>
                <w:b/>
              </w:rPr>
              <w:t>PRIORITY 2 (DELAYED)</w:t>
            </w:r>
          </w:p>
        </w:tc>
      </w:tr>
      <w:tr w:rsidR="005D35E8" w:rsidRPr="000159D3" w14:paraId="59B729A1" w14:textId="77777777" w:rsidTr="005D35E8">
        <w:tc>
          <w:tcPr>
            <w:tcW w:w="5045" w:type="dxa"/>
          </w:tcPr>
          <w:p w14:paraId="690CFB07" w14:textId="77777777" w:rsidR="000159D3" w:rsidRPr="000159D3" w:rsidRDefault="000159D3" w:rsidP="00B01D59">
            <w:pPr>
              <w:rPr>
                <w:rFonts w:ascii="Times New Roman" w:hAnsi="Times New Roman" w:cs="Times New Roman"/>
              </w:rPr>
            </w:pPr>
            <w:r w:rsidRPr="000159D3">
              <w:rPr>
                <w:rFonts w:ascii="Times New Roman" w:hAnsi="Times New Roman" w:cs="Times New Roman"/>
              </w:rPr>
              <w:t>All remaining</w:t>
            </w:r>
            <w:r w:rsidRPr="000159D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159D3">
              <w:rPr>
                <w:rFonts w:ascii="Times New Roman" w:hAnsi="Times New Roman" w:cs="Times New Roman"/>
              </w:rPr>
              <w:t>patients</w:t>
            </w:r>
          </w:p>
        </w:tc>
        <w:tc>
          <w:tcPr>
            <w:tcW w:w="5035" w:type="dxa"/>
          </w:tcPr>
          <w:p w14:paraId="32073634" w14:textId="67CB4D06" w:rsidR="000159D3" w:rsidRPr="00F42D66" w:rsidRDefault="005D35E8" w:rsidP="00F42D66">
            <w:pPr>
              <w:pStyle w:val="ListParagraph"/>
              <w:numPr>
                <w:ilvl w:val="0"/>
                <w:numId w:val="11"/>
              </w:numPr>
              <w:ind w:left="157" w:hanging="180"/>
              <w:rPr>
                <w:rFonts w:ascii="Times New Roman" w:hAnsi="Times New Roman" w:cs="Times New Roman"/>
              </w:rPr>
            </w:pPr>
            <w:r w:rsidRPr="00F42D66">
              <w:rPr>
                <w:rFonts w:ascii="Times New Roman" w:hAnsi="Times New Roman" w:cs="Times New Roman"/>
              </w:rPr>
              <w:t>All remaining patients</w:t>
            </w:r>
          </w:p>
        </w:tc>
      </w:tr>
    </w:tbl>
    <w:p w14:paraId="3DE76991" w14:textId="71C9AF52" w:rsidR="000159D3" w:rsidRDefault="000159D3"/>
    <w:p w14:paraId="6FC0B0F4" w14:textId="496E4551" w:rsidR="001F32E0" w:rsidRDefault="001F32E0">
      <w:bookmarkStart w:id="0" w:name="_GoBack"/>
      <w:bookmarkEnd w:id="0"/>
    </w:p>
    <w:sectPr w:rsidR="001F32E0" w:rsidSect="00081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A6B72"/>
    <w:multiLevelType w:val="hybridMultilevel"/>
    <w:tmpl w:val="8E94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5365"/>
    <w:multiLevelType w:val="hybridMultilevel"/>
    <w:tmpl w:val="2950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18B9"/>
    <w:multiLevelType w:val="hybridMultilevel"/>
    <w:tmpl w:val="46D48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4159A0"/>
    <w:multiLevelType w:val="hybridMultilevel"/>
    <w:tmpl w:val="50C8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020C"/>
    <w:multiLevelType w:val="hybridMultilevel"/>
    <w:tmpl w:val="8822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42598"/>
    <w:multiLevelType w:val="hybridMultilevel"/>
    <w:tmpl w:val="FF4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341F"/>
    <w:multiLevelType w:val="hybridMultilevel"/>
    <w:tmpl w:val="63CC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27DA"/>
    <w:multiLevelType w:val="hybridMultilevel"/>
    <w:tmpl w:val="8584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57027"/>
    <w:multiLevelType w:val="hybridMultilevel"/>
    <w:tmpl w:val="4068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95307"/>
    <w:multiLevelType w:val="hybridMultilevel"/>
    <w:tmpl w:val="D85C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D0FD5"/>
    <w:multiLevelType w:val="hybridMultilevel"/>
    <w:tmpl w:val="3D30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2A"/>
    <w:rsid w:val="000159D3"/>
    <w:rsid w:val="00047A68"/>
    <w:rsid w:val="000819AC"/>
    <w:rsid w:val="000A3A0E"/>
    <w:rsid w:val="000B569F"/>
    <w:rsid w:val="000D7D52"/>
    <w:rsid w:val="00105145"/>
    <w:rsid w:val="0018669C"/>
    <w:rsid w:val="001A67CF"/>
    <w:rsid w:val="001B52CE"/>
    <w:rsid w:val="001D4E8B"/>
    <w:rsid w:val="001F32E0"/>
    <w:rsid w:val="001F4FEF"/>
    <w:rsid w:val="00233C7D"/>
    <w:rsid w:val="00384FE5"/>
    <w:rsid w:val="00397289"/>
    <w:rsid w:val="00424875"/>
    <w:rsid w:val="004D41C7"/>
    <w:rsid w:val="0050222A"/>
    <w:rsid w:val="005955E4"/>
    <w:rsid w:val="005D35E8"/>
    <w:rsid w:val="005E653C"/>
    <w:rsid w:val="00632D97"/>
    <w:rsid w:val="00642776"/>
    <w:rsid w:val="006635F5"/>
    <w:rsid w:val="0068612C"/>
    <w:rsid w:val="00686D03"/>
    <w:rsid w:val="006918CE"/>
    <w:rsid w:val="00722926"/>
    <w:rsid w:val="007243B1"/>
    <w:rsid w:val="007444E3"/>
    <w:rsid w:val="00752C1A"/>
    <w:rsid w:val="007931FF"/>
    <w:rsid w:val="007A370B"/>
    <w:rsid w:val="007C00D6"/>
    <w:rsid w:val="0080561D"/>
    <w:rsid w:val="00807DC7"/>
    <w:rsid w:val="008D23AC"/>
    <w:rsid w:val="00930181"/>
    <w:rsid w:val="009A3112"/>
    <w:rsid w:val="009F3402"/>
    <w:rsid w:val="00A0662E"/>
    <w:rsid w:val="00A45C71"/>
    <w:rsid w:val="00A61193"/>
    <w:rsid w:val="00AD2D56"/>
    <w:rsid w:val="00B1525B"/>
    <w:rsid w:val="00B45814"/>
    <w:rsid w:val="00BD37A5"/>
    <w:rsid w:val="00BD77FA"/>
    <w:rsid w:val="00C00499"/>
    <w:rsid w:val="00C028FB"/>
    <w:rsid w:val="00C40C75"/>
    <w:rsid w:val="00C72109"/>
    <w:rsid w:val="00C77195"/>
    <w:rsid w:val="00C837E2"/>
    <w:rsid w:val="00C86040"/>
    <w:rsid w:val="00CE18C5"/>
    <w:rsid w:val="00D57F7E"/>
    <w:rsid w:val="00D92538"/>
    <w:rsid w:val="00DC0C6D"/>
    <w:rsid w:val="00DC3205"/>
    <w:rsid w:val="00DD2734"/>
    <w:rsid w:val="00E21DC1"/>
    <w:rsid w:val="00E2426D"/>
    <w:rsid w:val="00EC5326"/>
    <w:rsid w:val="00EE7864"/>
    <w:rsid w:val="00EF5CA7"/>
    <w:rsid w:val="00F31B95"/>
    <w:rsid w:val="00F42D66"/>
    <w:rsid w:val="00F50419"/>
    <w:rsid w:val="00F704F2"/>
    <w:rsid w:val="00F773FD"/>
    <w:rsid w:val="00F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A54BA"/>
  <w15:chartTrackingRefBased/>
  <w15:docId w15:val="{3EF5BE2A-9827-FD42-A1E0-40829722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0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C5326"/>
  </w:style>
  <w:style w:type="table" w:styleId="TableGrid">
    <w:name w:val="Table Grid"/>
    <w:basedOn w:val="TableNormal"/>
    <w:uiPriority w:val="39"/>
    <w:rsid w:val="0001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32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Jerome</dc:creator>
  <cp:keywords/>
  <dc:description/>
  <cp:lastModifiedBy>Dave Jerome</cp:lastModifiedBy>
  <cp:revision>3</cp:revision>
  <dcterms:created xsi:type="dcterms:W3CDTF">2025-02-22T04:27:00Z</dcterms:created>
  <dcterms:modified xsi:type="dcterms:W3CDTF">2025-03-02T18:52:00Z</dcterms:modified>
</cp:coreProperties>
</file>