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4EF" w:rsidRDefault="00EE74EF" w:rsidP="00EE74EF">
      <w:pPr>
        <w:rPr>
          <w:rFonts w:ascii="Calibri" w:hAnsi="Calibri"/>
          <w:sz w:val="22"/>
          <w:szCs w:val="22"/>
        </w:rPr>
      </w:pPr>
      <w:r>
        <w:rPr>
          <w:rFonts w:ascii="Calibri" w:hAnsi="Calibri"/>
          <w:sz w:val="22"/>
          <w:szCs w:val="22"/>
        </w:rPr>
        <w:t>Supplemental Table S1: Hemodynamic Vulnerability Score</w:t>
      </w:r>
    </w:p>
    <w:p w:rsidR="00EE74EF" w:rsidRDefault="00EE74EF" w:rsidP="00EE74EF">
      <w:pPr>
        <w:rPr>
          <w:rFonts w:ascii="Calibri" w:hAnsi="Calibri"/>
          <w:sz w:val="22"/>
          <w:szCs w:val="22"/>
        </w:rPr>
      </w:pPr>
      <w:r>
        <w:rPr>
          <w:noProof/>
        </w:rPr>
        <w:drawing>
          <wp:inline distT="0" distB="0" distL="0" distR="0" wp14:anchorId="2D76F206" wp14:editId="472FA1C7">
            <wp:extent cx="2960176" cy="2758482"/>
            <wp:effectExtent l="0" t="0" r="0" b="381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64396" cy="2762414"/>
                    </a:xfrm>
                    <a:prstGeom prst="rect">
                      <a:avLst/>
                    </a:prstGeom>
                    <a:noFill/>
                    <a:ln>
                      <a:noFill/>
                    </a:ln>
                  </pic:spPr>
                </pic:pic>
              </a:graphicData>
            </a:graphic>
          </wp:inline>
        </w:drawing>
      </w:r>
    </w:p>
    <w:p w:rsidR="00EE74EF" w:rsidRDefault="00EE74EF" w:rsidP="00EE74EF">
      <w:pPr>
        <w:rPr>
          <w:rFonts w:ascii="Calibri" w:hAnsi="Calibri"/>
          <w:sz w:val="22"/>
          <w:szCs w:val="22"/>
        </w:rPr>
      </w:pPr>
      <w:r>
        <w:rPr>
          <w:rFonts w:ascii="Calibri" w:hAnsi="Calibri"/>
          <w:sz w:val="22"/>
          <w:szCs w:val="22"/>
        </w:rPr>
        <w:t xml:space="preserve">Abbreviations: EDP = end diastolic pressure; PVR = Pulmonary Vascular Resistance. </w:t>
      </w:r>
    </w:p>
    <w:p w:rsidR="00EE74EF" w:rsidRDefault="00EE74EF" w:rsidP="00EE74EF">
      <w:pPr>
        <w:spacing w:after="200" w:line="276" w:lineRule="auto"/>
      </w:pPr>
    </w:p>
    <w:p w:rsidR="00EE74EF" w:rsidRDefault="00EE74EF" w:rsidP="00EE74EF">
      <w:pPr>
        <w:spacing w:after="200" w:line="276" w:lineRule="auto"/>
      </w:pPr>
      <w:r>
        <w:t xml:space="preserve">Supplemental Table S2: Adverse Event Severity Level Definitions </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675"/>
        <w:gridCol w:w="6735"/>
        <w:gridCol w:w="225"/>
      </w:tblGrid>
      <w:tr w:rsidR="00EE74EF" w:rsidRPr="00351655" w:rsidTr="00C53907">
        <w:trPr>
          <w:trHeight w:val="300"/>
        </w:trPr>
        <w:tc>
          <w:tcPr>
            <w:tcW w:w="1695" w:type="dxa"/>
            <w:tcBorders>
              <w:top w:val="dashed" w:sz="6" w:space="0" w:color="auto"/>
              <w:left w:val="nil"/>
              <w:bottom w:val="dashed" w:sz="6" w:space="0" w:color="auto"/>
              <w:right w:val="nil"/>
            </w:tcBorders>
            <w:shd w:val="clear" w:color="auto" w:fill="E7E6E6"/>
            <w:hideMark/>
          </w:tcPr>
          <w:p w:rsidR="00EE74EF" w:rsidRPr="00351655" w:rsidRDefault="00EE74EF" w:rsidP="00C53907">
            <w:pPr>
              <w:textAlignment w:val="baseline"/>
              <w:rPr>
                <w:rFonts w:ascii="Segoe UI" w:hAnsi="Segoe UI" w:cs="Segoe UI"/>
                <w:sz w:val="18"/>
                <w:szCs w:val="18"/>
              </w:rPr>
            </w:pPr>
            <w:r w:rsidRPr="00351655">
              <w:rPr>
                <w:rFonts w:ascii="Arial" w:hAnsi="Arial"/>
                <w:b/>
                <w:bCs/>
                <w:sz w:val="16"/>
                <w:szCs w:val="16"/>
              </w:rPr>
              <w:t>Level 3: Moderate</w:t>
            </w:r>
            <w:r w:rsidRPr="00351655">
              <w:rPr>
                <w:rFonts w:ascii="Arial" w:hAnsi="Arial"/>
                <w:sz w:val="16"/>
                <w:szCs w:val="16"/>
              </w:rPr>
              <w:t>  </w:t>
            </w:r>
          </w:p>
          <w:p w:rsidR="00EE74EF" w:rsidRPr="00351655" w:rsidRDefault="00EE74EF" w:rsidP="00C53907">
            <w:pPr>
              <w:textAlignment w:val="baseline"/>
              <w:rPr>
                <w:rFonts w:ascii="Segoe UI" w:hAnsi="Segoe UI" w:cs="Segoe UI"/>
                <w:sz w:val="18"/>
                <w:szCs w:val="18"/>
              </w:rPr>
            </w:pPr>
            <w:r w:rsidRPr="00351655">
              <w:rPr>
                <w:rFonts w:ascii="Arial" w:hAnsi="Arial"/>
                <w:sz w:val="16"/>
                <w:szCs w:val="16"/>
              </w:rPr>
              <w:t>  </w:t>
            </w:r>
          </w:p>
          <w:p w:rsidR="00EE74EF" w:rsidRPr="00351655" w:rsidRDefault="00EE74EF" w:rsidP="00C53907">
            <w:pPr>
              <w:jc w:val="right"/>
              <w:textAlignment w:val="baseline"/>
              <w:rPr>
                <w:rFonts w:ascii="Segoe UI" w:hAnsi="Segoe UI" w:cs="Segoe UI"/>
                <w:sz w:val="18"/>
                <w:szCs w:val="18"/>
              </w:rPr>
            </w:pPr>
            <w:r w:rsidRPr="00351655">
              <w:rPr>
                <w:rFonts w:ascii="Arial" w:hAnsi="Arial"/>
                <w:b/>
                <w:bCs/>
                <w:sz w:val="18"/>
                <w:szCs w:val="18"/>
              </w:rPr>
              <w:t>Tiers</w:t>
            </w:r>
            <w:r w:rsidRPr="00351655">
              <w:rPr>
                <w:rFonts w:ascii="Arial" w:hAnsi="Arial"/>
                <w:sz w:val="18"/>
                <w:szCs w:val="18"/>
              </w:rPr>
              <w:t>  </w:t>
            </w:r>
          </w:p>
        </w:tc>
        <w:tc>
          <w:tcPr>
            <w:tcW w:w="675" w:type="dxa"/>
            <w:tcBorders>
              <w:top w:val="dashed" w:sz="6" w:space="0" w:color="auto"/>
              <w:left w:val="nil"/>
              <w:bottom w:val="dashed" w:sz="6" w:space="0" w:color="auto"/>
              <w:right w:val="nil"/>
            </w:tcBorders>
            <w:shd w:val="clear" w:color="auto" w:fill="E7E6E6"/>
            <w:hideMark/>
          </w:tcPr>
          <w:p w:rsidR="00EE74EF" w:rsidRPr="00351655" w:rsidRDefault="00EE74EF" w:rsidP="00C53907">
            <w:pPr>
              <w:textAlignment w:val="baseline"/>
              <w:rPr>
                <w:rFonts w:ascii="Segoe UI" w:hAnsi="Segoe UI" w:cs="Segoe UI"/>
                <w:sz w:val="18"/>
                <w:szCs w:val="18"/>
              </w:rPr>
            </w:pPr>
            <w:r w:rsidRPr="00351655">
              <w:rPr>
                <w:rFonts w:ascii="Arial" w:hAnsi="Arial"/>
                <w:sz w:val="16"/>
                <w:szCs w:val="16"/>
              </w:rPr>
              <w:t>  </w:t>
            </w:r>
          </w:p>
        </w:tc>
        <w:tc>
          <w:tcPr>
            <w:tcW w:w="6960" w:type="dxa"/>
            <w:gridSpan w:val="2"/>
            <w:tcBorders>
              <w:top w:val="dashed" w:sz="6" w:space="0" w:color="auto"/>
              <w:left w:val="nil"/>
              <w:bottom w:val="dashed" w:sz="6" w:space="0" w:color="auto"/>
              <w:right w:val="nil"/>
            </w:tcBorders>
            <w:shd w:val="clear" w:color="auto" w:fill="auto"/>
            <w:hideMark/>
          </w:tcPr>
          <w:p w:rsidR="00EE74EF" w:rsidRPr="00351655" w:rsidRDefault="00EE74EF" w:rsidP="00C53907">
            <w:pPr>
              <w:textAlignment w:val="baseline"/>
              <w:rPr>
                <w:rFonts w:ascii="Segoe UI" w:hAnsi="Segoe UI" w:cs="Segoe UI"/>
                <w:sz w:val="18"/>
                <w:szCs w:val="18"/>
              </w:rPr>
            </w:pPr>
            <w:r w:rsidRPr="00351655">
              <w:rPr>
                <w:rFonts w:ascii="Arial" w:hAnsi="Arial"/>
                <w:sz w:val="16"/>
                <w:szCs w:val="16"/>
              </w:rPr>
              <w:t>Transient change in condition may be life-threatening if not treated, condition returns to baseline, required monitoring, required intervention such as reversal agent, additional medication, transfer to the intensive care unit for monitoring, or transcatheter intervention to correct condition.  </w:t>
            </w:r>
          </w:p>
        </w:tc>
      </w:tr>
      <w:tr w:rsidR="00EE74EF" w:rsidRPr="00351655" w:rsidTr="00C53907">
        <w:trPr>
          <w:trHeight w:val="300"/>
        </w:trPr>
        <w:tc>
          <w:tcPr>
            <w:tcW w:w="2370" w:type="dxa"/>
            <w:gridSpan w:val="2"/>
            <w:tcBorders>
              <w:top w:val="dashed" w:sz="6" w:space="0" w:color="auto"/>
              <w:left w:val="nil"/>
              <w:bottom w:val="dashed" w:sz="6" w:space="0" w:color="auto"/>
              <w:right w:val="nil"/>
            </w:tcBorders>
            <w:shd w:val="clear" w:color="auto" w:fill="D0CECE"/>
            <w:hideMark/>
          </w:tcPr>
          <w:p w:rsidR="00EE74EF" w:rsidRPr="00351655" w:rsidRDefault="00EE74EF" w:rsidP="00C53907">
            <w:pPr>
              <w:jc w:val="right"/>
              <w:textAlignment w:val="baseline"/>
              <w:rPr>
                <w:rFonts w:ascii="Segoe UI" w:hAnsi="Segoe UI" w:cs="Segoe UI"/>
                <w:sz w:val="18"/>
                <w:szCs w:val="18"/>
              </w:rPr>
            </w:pPr>
            <w:r w:rsidRPr="00351655">
              <w:rPr>
                <w:rFonts w:ascii="Arial" w:hAnsi="Arial"/>
                <w:sz w:val="16"/>
                <w:szCs w:val="16"/>
              </w:rPr>
              <w:t>  </w:t>
            </w:r>
          </w:p>
          <w:p w:rsidR="00EE74EF" w:rsidRPr="00351655" w:rsidRDefault="00EE74EF" w:rsidP="00C53907">
            <w:pPr>
              <w:jc w:val="right"/>
              <w:textAlignment w:val="baseline"/>
              <w:rPr>
                <w:rFonts w:ascii="Segoe UI" w:hAnsi="Segoe UI" w:cs="Segoe UI"/>
                <w:sz w:val="18"/>
                <w:szCs w:val="18"/>
              </w:rPr>
            </w:pPr>
            <w:r w:rsidRPr="00351655">
              <w:rPr>
                <w:rFonts w:ascii="Arial" w:hAnsi="Arial"/>
                <w:b/>
                <w:bCs/>
                <w:sz w:val="18"/>
                <w:szCs w:val="18"/>
                <w:u w:val="single"/>
              </w:rPr>
              <w:t>3a</w:t>
            </w:r>
            <w:r w:rsidRPr="00351655">
              <w:rPr>
                <w:rFonts w:ascii="Arial" w:hAnsi="Arial"/>
                <w:sz w:val="18"/>
                <w:szCs w:val="18"/>
              </w:rPr>
              <w:t>  </w:t>
            </w:r>
          </w:p>
        </w:tc>
        <w:tc>
          <w:tcPr>
            <w:tcW w:w="6735" w:type="dxa"/>
            <w:tcBorders>
              <w:top w:val="dashed" w:sz="6" w:space="0" w:color="auto"/>
              <w:left w:val="nil"/>
              <w:bottom w:val="dashed" w:sz="6" w:space="0" w:color="auto"/>
              <w:right w:val="nil"/>
            </w:tcBorders>
            <w:shd w:val="clear" w:color="auto" w:fill="auto"/>
            <w:hideMark/>
          </w:tcPr>
          <w:p w:rsidR="00EE74EF" w:rsidRPr="00351655" w:rsidRDefault="00EE74EF" w:rsidP="00C53907">
            <w:pPr>
              <w:ind w:left="360" w:hanging="360"/>
              <w:textAlignment w:val="baseline"/>
              <w:rPr>
                <w:rFonts w:ascii="Segoe UI" w:hAnsi="Segoe UI" w:cs="Segoe UI"/>
                <w:sz w:val="18"/>
                <w:szCs w:val="18"/>
              </w:rPr>
            </w:pPr>
            <w:r w:rsidRPr="00351655">
              <w:rPr>
                <w:rFonts w:ascii="Symbol" w:hAnsi="Symbol" w:cs="Segoe UI"/>
                <w:sz w:val="16"/>
                <w:szCs w:val="16"/>
              </w:rPr>
              <w:t></w:t>
            </w:r>
            <w:r w:rsidRPr="00351655">
              <w:rPr>
                <w:rFonts w:cs="Times New Roman"/>
                <w:sz w:val="14"/>
                <w:szCs w:val="14"/>
              </w:rPr>
              <w:t xml:space="preserve">       </w:t>
            </w:r>
            <w:r w:rsidRPr="00351655">
              <w:rPr>
                <w:rFonts w:ascii="Arial" w:hAnsi="Arial"/>
                <w:sz w:val="16"/>
                <w:szCs w:val="16"/>
              </w:rPr>
              <w:t>Event resulting in minimal impact to patient’s baseline hemodynamics and/or condition; requires minor medical and/or transcatheter therapy to completely reverse the condition with little risk of any long-term impact  </w:t>
            </w:r>
          </w:p>
          <w:p w:rsidR="00EE74EF" w:rsidRPr="00351655" w:rsidRDefault="00EE74EF" w:rsidP="00C53907">
            <w:pPr>
              <w:ind w:left="360" w:hanging="360"/>
              <w:textAlignment w:val="baseline"/>
              <w:rPr>
                <w:rFonts w:ascii="Segoe UI" w:hAnsi="Segoe UI" w:cs="Segoe UI"/>
                <w:sz w:val="18"/>
                <w:szCs w:val="18"/>
              </w:rPr>
            </w:pPr>
            <w:r w:rsidRPr="00351655">
              <w:rPr>
                <w:rFonts w:ascii="Symbol" w:hAnsi="Symbol" w:cs="Segoe UI"/>
                <w:sz w:val="16"/>
                <w:szCs w:val="16"/>
              </w:rPr>
              <w:t></w:t>
            </w:r>
            <w:r w:rsidRPr="00351655">
              <w:rPr>
                <w:rFonts w:cs="Times New Roman"/>
                <w:sz w:val="14"/>
                <w:szCs w:val="14"/>
              </w:rPr>
              <w:t xml:space="preserve">       </w:t>
            </w:r>
            <w:r w:rsidRPr="00351655">
              <w:rPr>
                <w:rFonts w:ascii="Arial" w:hAnsi="Arial"/>
                <w:sz w:val="16"/>
                <w:szCs w:val="16"/>
              </w:rPr>
              <w:t>Anticipated requirement for medical support during the intervention or in the immediate post-catheterization period necessary to treat the condition  </w:t>
            </w:r>
          </w:p>
          <w:p w:rsidR="00EE74EF" w:rsidRPr="00351655" w:rsidRDefault="00EE74EF" w:rsidP="00C53907">
            <w:pPr>
              <w:ind w:left="360" w:hanging="360"/>
              <w:textAlignment w:val="baseline"/>
              <w:rPr>
                <w:rFonts w:ascii="Segoe UI" w:hAnsi="Segoe UI" w:cs="Segoe UI"/>
                <w:sz w:val="18"/>
                <w:szCs w:val="18"/>
              </w:rPr>
            </w:pPr>
            <w:r w:rsidRPr="00351655">
              <w:rPr>
                <w:rFonts w:ascii="Symbol" w:hAnsi="Symbol" w:cs="Segoe UI"/>
                <w:sz w:val="16"/>
                <w:szCs w:val="16"/>
              </w:rPr>
              <w:t></w:t>
            </w:r>
            <w:r w:rsidRPr="00351655">
              <w:rPr>
                <w:rFonts w:cs="Times New Roman"/>
                <w:sz w:val="14"/>
                <w:szCs w:val="14"/>
              </w:rPr>
              <w:t xml:space="preserve">       </w:t>
            </w:r>
            <w:r w:rsidRPr="00351655">
              <w:rPr>
                <w:rFonts w:ascii="Arial" w:hAnsi="Arial"/>
                <w:sz w:val="16"/>
                <w:szCs w:val="16"/>
              </w:rPr>
              <w:t>Transient and treatable events related to patient’s underlying condition which are exacerbated by the procedure  </w:t>
            </w:r>
          </w:p>
        </w:tc>
        <w:tc>
          <w:tcPr>
            <w:tcW w:w="225" w:type="dxa"/>
            <w:tcBorders>
              <w:top w:val="nil"/>
              <w:left w:val="nil"/>
              <w:bottom w:val="nil"/>
              <w:right w:val="nil"/>
            </w:tcBorders>
            <w:shd w:val="clear" w:color="auto" w:fill="auto"/>
            <w:vAlign w:val="center"/>
            <w:hideMark/>
          </w:tcPr>
          <w:p w:rsidR="00EE74EF" w:rsidRPr="00351655" w:rsidRDefault="00EE74EF" w:rsidP="00C53907">
            <w:pPr>
              <w:textAlignment w:val="baseline"/>
              <w:rPr>
                <w:rFonts w:ascii="Segoe UI" w:hAnsi="Segoe UI" w:cs="Segoe UI"/>
                <w:sz w:val="18"/>
                <w:szCs w:val="18"/>
              </w:rPr>
            </w:pPr>
            <w:r w:rsidRPr="00351655">
              <w:rPr>
                <w:rFonts w:cs="Times New Roman"/>
              </w:rPr>
              <w:t>   </w:t>
            </w:r>
          </w:p>
        </w:tc>
      </w:tr>
      <w:tr w:rsidR="00EE74EF" w:rsidRPr="00351655" w:rsidTr="00C53907">
        <w:trPr>
          <w:trHeight w:val="300"/>
        </w:trPr>
        <w:tc>
          <w:tcPr>
            <w:tcW w:w="2370" w:type="dxa"/>
            <w:gridSpan w:val="2"/>
            <w:tcBorders>
              <w:top w:val="dashed" w:sz="6" w:space="0" w:color="auto"/>
              <w:left w:val="nil"/>
              <w:bottom w:val="dashed" w:sz="6" w:space="0" w:color="auto"/>
              <w:right w:val="nil"/>
            </w:tcBorders>
            <w:shd w:val="clear" w:color="auto" w:fill="D0CECE"/>
            <w:hideMark/>
          </w:tcPr>
          <w:p w:rsidR="00EE74EF" w:rsidRPr="00351655" w:rsidRDefault="00EE74EF" w:rsidP="00C53907">
            <w:pPr>
              <w:jc w:val="right"/>
              <w:textAlignment w:val="baseline"/>
              <w:rPr>
                <w:rFonts w:ascii="Segoe UI" w:hAnsi="Segoe UI" w:cs="Segoe UI"/>
                <w:sz w:val="18"/>
                <w:szCs w:val="18"/>
              </w:rPr>
            </w:pPr>
            <w:r w:rsidRPr="00351655">
              <w:rPr>
                <w:rFonts w:ascii="Arial" w:hAnsi="Arial"/>
                <w:sz w:val="16"/>
                <w:szCs w:val="16"/>
              </w:rPr>
              <w:t>  </w:t>
            </w:r>
          </w:p>
          <w:p w:rsidR="00EE74EF" w:rsidRPr="00351655" w:rsidRDefault="00EE74EF" w:rsidP="00C53907">
            <w:pPr>
              <w:jc w:val="right"/>
              <w:textAlignment w:val="baseline"/>
              <w:rPr>
                <w:rFonts w:ascii="Segoe UI" w:hAnsi="Segoe UI" w:cs="Segoe UI"/>
                <w:sz w:val="18"/>
                <w:szCs w:val="18"/>
              </w:rPr>
            </w:pPr>
            <w:r w:rsidRPr="00351655">
              <w:rPr>
                <w:rFonts w:ascii="Arial" w:hAnsi="Arial"/>
                <w:b/>
                <w:bCs/>
                <w:sz w:val="18"/>
                <w:szCs w:val="18"/>
                <w:u w:val="single"/>
              </w:rPr>
              <w:t>3b</w:t>
            </w:r>
            <w:r w:rsidRPr="00351655">
              <w:rPr>
                <w:rFonts w:ascii="Arial" w:hAnsi="Arial"/>
                <w:sz w:val="18"/>
                <w:szCs w:val="18"/>
              </w:rPr>
              <w:t>  </w:t>
            </w:r>
          </w:p>
        </w:tc>
        <w:tc>
          <w:tcPr>
            <w:tcW w:w="6735" w:type="dxa"/>
            <w:tcBorders>
              <w:top w:val="dashed" w:sz="6" w:space="0" w:color="auto"/>
              <w:left w:val="nil"/>
              <w:bottom w:val="dashed" w:sz="6" w:space="0" w:color="auto"/>
              <w:right w:val="nil"/>
            </w:tcBorders>
            <w:shd w:val="clear" w:color="auto" w:fill="auto"/>
            <w:hideMark/>
          </w:tcPr>
          <w:p w:rsidR="00EE74EF" w:rsidRPr="00351655" w:rsidRDefault="00EE74EF" w:rsidP="00C53907">
            <w:pPr>
              <w:ind w:left="360" w:hanging="360"/>
              <w:textAlignment w:val="baseline"/>
              <w:rPr>
                <w:rFonts w:ascii="Segoe UI" w:hAnsi="Segoe UI" w:cs="Segoe UI"/>
                <w:sz w:val="18"/>
                <w:szCs w:val="18"/>
              </w:rPr>
            </w:pPr>
            <w:r w:rsidRPr="00351655">
              <w:rPr>
                <w:rFonts w:ascii="Symbol" w:hAnsi="Symbol" w:cs="Segoe UI"/>
                <w:sz w:val="16"/>
                <w:szCs w:val="16"/>
              </w:rPr>
              <w:t></w:t>
            </w:r>
            <w:r w:rsidRPr="00351655">
              <w:rPr>
                <w:rFonts w:cs="Times New Roman"/>
                <w:sz w:val="14"/>
                <w:szCs w:val="14"/>
              </w:rPr>
              <w:t xml:space="preserve">       </w:t>
            </w:r>
            <w:r w:rsidRPr="00351655">
              <w:rPr>
                <w:rFonts w:ascii="Arial" w:hAnsi="Arial"/>
                <w:sz w:val="16"/>
                <w:szCs w:val="16"/>
              </w:rPr>
              <w:t>Transient event which results in moderate change in baseline hemodynamics and/or condition requiring moderate medical therapy or transcatheter intervention to treat the condition.  </w:t>
            </w:r>
          </w:p>
        </w:tc>
        <w:tc>
          <w:tcPr>
            <w:tcW w:w="225" w:type="dxa"/>
            <w:tcBorders>
              <w:top w:val="nil"/>
              <w:left w:val="nil"/>
              <w:bottom w:val="nil"/>
              <w:right w:val="nil"/>
            </w:tcBorders>
            <w:shd w:val="clear" w:color="auto" w:fill="auto"/>
            <w:vAlign w:val="center"/>
            <w:hideMark/>
          </w:tcPr>
          <w:p w:rsidR="00EE74EF" w:rsidRPr="00351655" w:rsidRDefault="00EE74EF" w:rsidP="00C53907">
            <w:pPr>
              <w:textAlignment w:val="baseline"/>
              <w:rPr>
                <w:rFonts w:ascii="Segoe UI" w:hAnsi="Segoe UI" w:cs="Segoe UI"/>
                <w:sz w:val="18"/>
                <w:szCs w:val="18"/>
              </w:rPr>
            </w:pPr>
            <w:r w:rsidRPr="00351655">
              <w:rPr>
                <w:rFonts w:cs="Times New Roman"/>
              </w:rPr>
              <w:t>   </w:t>
            </w:r>
          </w:p>
        </w:tc>
      </w:tr>
      <w:tr w:rsidR="00EE74EF" w:rsidRPr="00351655" w:rsidTr="00C53907">
        <w:trPr>
          <w:trHeight w:val="300"/>
        </w:trPr>
        <w:tc>
          <w:tcPr>
            <w:tcW w:w="2370" w:type="dxa"/>
            <w:gridSpan w:val="2"/>
            <w:tcBorders>
              <w:top w:val="dashed" w:sz="6" w:space="0" w:color="auto"/>
              <w:left w:val="nil"/>
              <w:bottom w:val="dashed" w:sz="6" w:space="0" w:color="auto"/>
              <w:right w:val="nil"/>
            </w:tcBorders>
            <w:shd w:val="clear" w:color="auto" w:fill="D0CECE"/>
            <w:hideMark/>
          </w:tcPr>
          <w:p w:rsidR="00EE74EF" w:rsidRPr="00351655" w:rsidRDefault="00EE74EF" w:rsidP="00C53907">
            <w:pPr>
              <w:textAlignment w:val="baseline"/>
              <w:rPr>
                <w:rFonts w:ascii="Segoe UI" w:hAnsi="Segoe UI" w:cs="Segoe UI"/>
                <w:sz w:val="18"/>
                <w:szCs w:val="18"/>
              </w:rPr>
            </w:pPr>
            <w:r w:rsidRPr="00351655">
              <w:rPr>
                <w:rFonts w:ascii="Arial" w:hAnsi="Arial"/>
                <w:sz w:val="16"/>
                <w:szCs w:val="16"/>
              </w:rPr>
              <w:t>  </w:t>
            </w:r>
          </w:p>
          <w:p w:rsidR="00EE74EF" w:rsidRPr="00351655" w:rsidRDefault="00EE74EF" w:rsidP="00C53907">
            <w:pPr>
              <w:jc w:val="right"/>
              <w:textAlignment w:val="baseline"/>
              <w:rPr>
                <w:rFonts w:ascii="Segoe UI" w:hAnsi="Segoe UI" w:cs="Segoe UI"/>
                <w:sz w:val="18"/>
                <w:szCs w:val="18"/>
              </w:rPr>
            </w:pPr>
            <w:r w:rsidRPr="00351655">
              <w:rPr>
                <w:rFonts w:ascii="Arial" w:hAnsi="Arial"/>
                <w:b/>
                <w:bCs/>
                <w:sz w:val="18"/>
                <w:szCs w:val="18"/>
                <w:u w:val="single"/>
              </w:rPr>
              <w:t>3c</w:t>
            </w:r>
            <w:r w:rsidRPr="00351655">
              <w:rPr>
                <w:rFonts w:ascii="Arial" w:hAnsi="Arial"/>
                <w:sz w:val="18"/>
                <w:szCs w:val="18"/>
              </w:rPr>
              <w:t>  </w:t>
            </w:r>
          </w:p>
        </w:tc>
        <w:tc>
          <w:tcPr>
            <w:tcW w:w="6735" w:type="dxa"/>
            <w:tcBorders>
              <w:top w:val="dashed" w:sz="6" w:space="0" w:color="auto"/>
              <w:left w:val="nil"/>
              <w:bottom w:val="dashed" w:sz="6" w:space="0" w:color="auto"/>
              <w:right w:val="nil"/>
            </w:tcBorders>
            <w:shd w:val="clear" w:color="auto" w:fill="auto"/>
            <w:hideMark/>
          </w:tcPr>
          <w:p w:rsidR="00EE74EF" w:rsidRPr="00351655" w:rsidRDefault="00EE74EF" w:rsidP="00C53907">
            <w:pPr>
              <w:ind w:left="360" w:hanging="360"/>
              <w:textAlignment w:val="baseline"/>
              <w:rPr>
                <w:rFonts w:ascii="Segoe UI" w:hAnsi="Segoe UI" w:cs="Segoe UI"/>
                <w:sz w:val="18"/>
                <w:szCs w:val="18"/>
              </w:rPr>
            </w:pPr>
            <w:r w:rsidRPr="00351655">
              <w:rPr>
                <w:rFonts w:ascii="Symbol" w:hAnsi="Symbol" w:cs="Segoe UI"/>
                <w:sz w:val="16"/>
                <w:szCs w:val="16"/>
              </w:rPr>
              <w:t></w:t>
            </w:r>
            <w:r w:rsidRPr="00351655">
              <w:rPr>
                <w:rFonts w:cs="Times New Roman"/>
                <w:sz w:val="14"/>
                <w:szCs w:val="14"/>
              </w:rPr>
              <w:t xml:space="preserve">       </w:t>
            </w:r>
            <w:r w:rsidRPr="00351655">
              <w:rPr>
                <w:rFonts w:ascii="Arial" w:hAnsi="Arial"/>
                <w:sz w:val="16"/>
                <w:szCs w:val="16"/>
              </w:rPr>
              <w:t>Event resulting in significant impact to patient’s baseline hemodynamics and/or condition requiring major medical therapy or complex transcatheter intervention.  </w:t>
            </w:r>
          </w:p>
          <w:p w:rsidR="00EE74EF" w:rsidRPr="00351655" w:rsidRDefault="00EE74EF" w:rsidP="00C53907">
            <w:pPr>
              <w:ind w:left="360" w:hanging="360"/>
              <w:textAlignment w:val="baseline"/>
              <w:rPr>
                <w:rFonts w:ascii="Segoe UI" w:hAnsi="Segoe UI" w:cs="Segoe UI"/>
                <w:sz w:val="18"/>
                <w:szCs w:val="18"/>
              </w:rPr>
            </w:pPr>
            <w:r w:rsidRPr="00351655">
              <w:rPr>
                <w:rFonts w:ascii="Symbol" w:hAnsi="Symbol" w:cs="Segoe UI"/>
                <w:sz w:val="16"/>
                <w:szCs w:val="16"/>
              </w:rPr>
              <w:t></w:t>
            </w:r>
            <w:r w:rsidRPr="00351655">
              <w:rPr>
                <w:rFonts w:cs="Times New Roman"/>
                <w:sz w:val="14"/>
                <w:szCs w:val="14"/>
              </w:rPr>
              <w:t xml:space="preserve">       </w:t>
            </w:r>
            <w:r w:rsidRPr="00351655">
              <w:rPr>
                <w:rFonts w:ascii="Arial" w:hAnsi="Arial"/>
                <w:sz w:val="16"/>
                <w:szCs w:val="16"/>
              </w:rPr>
              <w:t>May require intensive care unit admission for invasive monitoring or prolonged need for medical or ventilatory support, including follow-up testing and non-surgical procedures.  </w:t>
            </w:r>
          </w:p>
          <w:p w:rsidR="00EE74EF" w:rsidRPr="00351655" w:rsidRDefault="00EE74EF" w:rsidP="00C53907">
            <w:pPr>
              <w:ind w:left="360" w:hanging="360"/>
              <w:textAlignment w:val="baseline"/>
              <w:rPr>
                <w:rFonts w:ascii="Segoe UI" w:hAnsi="Segoe UI" w:cs="Segoe UI"/>
                <w:sz w:val="18"/>
                <w:szCs w:val="18"/>
              </w:rPr>
            </w:pPr>
            <w:r w:rsidRPr="00351655">
              <w:rPr>
                <w:rFonts w:ascii="Symbol" w:hAnsi="Symbol" w:cs="Segoe UI"/>
                <w:sz w:val="16"/>
                <w:szCs w:val="16"/>
              </w:rPr>
              <w:t></w:t>
            </w:r>
            <w:r w:rsidRPr="00351655">
              <w:rPr>
                <w:rFonts w:cs="Times New Roman"/>
                <w:sz w:val="14"/>
                <w:szCs w:val="14"/>
              </w:rPr>
              <w:t xml:space="preserve">       </w:t>
            </w:r>
            <w:r w:rsidRPr="00351655">
              <w:rPr>
                <w:rFonts w:ascii="Arial" w:hAnsi="Arial"/>
                <w:sz w:val="16"/>
                <w:szCs w:val="16"/>
              </w:rPr>
              <w:t>May result in a life-threatening event if intensive therapy is unable to promptly rescue the patient, preventing a major or catastrophic event from occurring  </w:t>
            </w:r>
          </w:p>
        </w:tc>
        <w:tc>
          <w:tcPr>
            <w:tcW w:w="225" w:type="dxa"/>
            <w:tcBorders>
              <w:top w:val="nil"/>
              <w:left w:val="nil"/>
              <w:bottom w:val="nil"/>
              <w:right w:val="nil"/>
            </w:tcBorders>
            <w:shd w:val="clear" w:color="auto" w:fill="auto"/>
            <w:vAlign w:val="center"/>
            <w:hideMark/>
          </w:tcPr>
          <w:p w:rsidR="00EE74EF" w:rsidRPr="00351655" w:rsidRDefault="00EE74EF" w:rsidP="00C53907">
            <w:pPr>
              <w:textAlignment w:val="baseline"/>
              <w:rPr>
                <w:rFonts w:ascii="Segoe UI" w:hAnsi="Segoe UI" w:cs="Segoe UI"/>
                <w:sz w:val="18"/>
                <w:szCs w:val="18"/>
              </w:rPr>
            </w:pPr>
            <w:r w:rsidRPr="00351655">
              <w:rPr>
                <w:rFonts w:cs="Times New Roman"/>
              </w:rPr>
              <w:t>   </w:t>
            </w:r>
          </w:p>
        </w:tc>
      </w:tr>
      <w:tr w:rsidR="00EE74EF" w:rsidRPr="00351655" w:rsidTr="00C53907">
        <w:trPr>
          <w:trHeight w:val="300"/>
        </w:trPr>
        <w:tc>
          <w:tcPr>
            <w:tcW w:w="1695" w:type="dxa"/>
            <w:tcBorders>
              <w:top w:val="dashed" w:sz="6" w:space="0" w:color="auto"/>
              <w:left w:val="nil"/>
              <w:bottom w:val="dashed" w:sz="6" w:space="0" w:color="auto"/>
              <w:right w:val="nil"/>
            </w:tcBorders>
            <w:shd w:val="clear" w:color="auto" w:fill="E7E6E6"/>
            <w:hideMark/>
          </w:tcPr>
          <w:p w:rsidR="00EE74EF" w:rsidRPr="00351655" w:rsidRDefault="00EE74EF" w:rsidP="00C53907">
            <w:pPr>
              <w:textAlignment w:val="baseline"/>
              <w:rPr>
                <w:rFonts w:ascii="Segoe UI" w:hAnsi="Segoe UI" w:cs="Segoe UI"/>
                <w:sz w:val="18"/>
                <w:szCs w:val="18"/>
              </w:rPr>
            </w:pPr>
            <w:r w:rsidRPr="00351655">
              <w:rPr>
                <w:rFonts w:ascii="Arial" w:hAnsi="Arial"/>
                <w:b/>
                <w:bCs/>
                <w:sz w:val="16"/>
                <w:szCs w:val="16"/>
              </w:rPr>
              <w:t>Level 4: Major</w:t>
            </w:r>
            <w:r w:rsidRPr="00351655">
              <w:rPr>
                <w:rFonts w:ascii="Arial" w:hAnsi="Arial"/>
                <w:sz w:val="16"/>
                <w:szCs w:val="16"/>
              </w:rPr>
              <w:t>  </w:t>
            </w:r>
          </w:p>
        </w:tc>
        <w:tc>
          <w:tcPr>
            <w:tcW w:w="675" w:type="dxa"/>
            <w:tcBorders>
              <w:top w:val="dashed" w:sz="6" w:space="0" w:color="auto"/>
              <w:left w:val="nil"/>
              <w:bottom w:val="dashed" w:sz="6" w:space="0" w:color="auto"/>
              <w:right w:val="nil"/>
            </w:tcBorders>
            <w:shd w:val="clear" w:color="auto" w:fill="E7E6E6"/>
            <w:hideMark/>
          </w:tcPr>
          <w:p w:rsidR="00EE74EF" w:rsidRPr="00351655" w:rsidRDefault="00EE74EF" w:rsidP="00C53907">
            <w:pPr>
              <w:textAlignment w:val="baseline"/>
              <w:rPr>
                <w:rFonts w:ascii="Segoe UI" w:hAnsi="Segoe UI" w:cs="Segoe UI"/>
                <w:sz w:val="18"/>
                <w:szCs w:val="18"/>
              </w:rPr>
            </w:pPr>
            <w:r w:rsidRPr="00351655">
              <w:rPr>
                <w:rFonts w:ascii="Arial" w:hAnsi="Arial"/>
                <w:sz w:val="16"/>
                <w:szCs w:val="16"/>
              </w:rPr>
              <w:t>  </w:t>
            </w:r>
          </w:p>
        </w:tc>
        <w:tc>
          <w:tcPr>
            <w:tcW w:w="6735" w:type="dxa"/>
            <w:tcBorders>
              <w:top w:val="dashed" w:sz="6" w:space="0" w:color="auto"/>
              <w:left w:val="nil"/>
              <w:bottom w:val="dashed" w:sz="6" w:space="0" w:color="auto"/>
              <w:right w:val="nil"/>
            </w:tcBorders>
            <w:shd w:val="clear" w:color="auto" w:fill="auto"/>
            <w:hideMark/>
          </w:tcPr>
          <w:p w:rsidR="00EE74EF" w:rsidRPr="00351655" w:rsidRDefault="00EE74EF" w:rsidP="00C53907">
            <w:pPr>
              <w:textAlignment w:val="baseline"/>
              <w:rPr>
                <w:rFonts w:ascii="Segoe UI" w:hAnsi="Segoe UI" w:cs="Segoe UI"/>
                <w:sz w:val="18"/>
                <w:szCs w:val="18"/>
              </w:rPr>
            </w:pPr>
            <w:r w:rsidRPr="00351655">
              <w:rPr>
                <w:rFonts w:ascii="Arial" w:hAnsi="Arial"/>
                <w:sz w:val="16"/>
                <w:szCs w:val="16"/>
              </w:rPr>
              <w:t>Change in the patient’s clinical condition, which is life-threatening and requires intense medical therapy, cardiopulmonary resuscitation, and/or major invasive transcatheter or urgent/emergent surgical intervention to treat the condition. These conditions may also result in the need for unplanned cardiopulmonary support in the form of heart-lung bypass (extracorporeal membrane oxygenation) to prevent a catastrophic event from occurring.  </w:t>
            </w:r>
          </w:p>
        </w:tc>
        <w:tc>
          <w:tcPr>
            <w:tcW w:w="225" w:type="dxa"/>
            <w:tcBorders>
              <w:top w:val="nil"/>
              <w:left w:val="nil"/>
              <w:bottom w:val="nil"/>
              <w:right w:val="nil"/>
            </w:tcBorders>
            <w:shd w:val="clear" w:color="auto" w:fill="auto"/>
            <w:vAlign w:val="center"/>
            <w:hideMark/>
          </w:tcPr>
          <w:p w:rsidR="00EE74EF" w:rsidRPr="00351655" w:rsidRDefault="00EE74EF" w:rsidP="00C53907">
            <w:pPr>
              <w:textAlignment w:val="baseline"/>
              <w:rPr>
                <w:rFonts w:ascii="Segoe UI" w:hAnsi="Segoe UI" w:cs="Segoe UI"/>
                <w:sz w:val="18"/>
                <w:szCs w:val="18"/>
              </w:rPr>
            </w:pPr>
            <w:r w:rsidRPr="00351655">
              <w:rPr>
                <w:rFonts w:cs="Times New Roman"/>
              </w:rPr>
              <w:t>   </w:t>
            </w:r>
          </w:p>
        </w:tc>
      </w:tr>
      <w:tr w:rsidR="00EE74EF" w:rsidRPr="00351655" w:rsidTr="00C53907">
        <w:trPr>
          <w:trHeight w:val="300"/>
        </w:trPr>
        <w:tc>
          <w:tcPr>
            <w:tcW w:w="1695" w:type="dxa"/>
            <w:tcBorders>
              <w:top w:val="dashed" w:sz="6" w:space="0" w:color="auto"/>
              <w:left w:val="nil"/>
              <w:bottom w:val="double" w:sz="6" w:space="0" w:color="auto"/>
              <w:right w:val="nil"/>
            </w:tcBorders>
            <w:shd w:val="clear" w:color="auto" w:fill="E7E6E6"/>
            <w:hideMark/>
          </w:tcPr>
          <w:p w:rsidR="00EE74EF" w:rsidRPr="00351655" w:rsidRDefault="00EE74EF" w:rsidP="00C53907">
            <w:pPr>
              <w:textAlignment w:val="baseline"/>
              <w:rPr>
                <w:rFonts w:ascii="Segoe UI" w:hAnsi="Segoe UI" w:cs="Segoe UI"/>
                <w:sz w:val="18"/>
                <w:szCs w:val="18"/>
              </w:rPr>
            </w:pPr>
            <w:r w:rsidRPr="00351655">
              <w:rPr>
                <w:rFonts w:ascii="Arial" w:hAnsi="Arial"/>
                <w:b/>
                <w:bCs/>
                <w:sz w:val="16"/>
                <w:szCs w:val="16"/>
              </w:rPr>
              <w:t>Level 5: Catastrophic</w:t>
            </w:r>
            <w:r w:rsidRPr="00351655">
              <w:rPr>
                <w:rFonts w:ascii="Arial" w:hAnsi="Arial"/>
                <w:sz w:val="16"/>
                <w:szCs w:val="16"/>
              </w:rPr>
              <w:t>  </w:t>
            </w:r>
          </w:p>
        </w:tc>
        <w:tc>
          <w:tcPr>
            <w:tcW w:w="675" w:type="dxa"/>
            <w:tcBorders>
              <w:top w:val="dashed" w:sz="6" w:space="0" w:color="auto"/>
              <w:left w:val="nil"/>
              <w:bottom w:val="double" w:sz="6" w:space="0" w:color="auto"/>
              <w:right w:val="nil"/>
            </w:tcBorders>
            <w:shd w:val="clear" w:color="auto" w:fill="E7E6E6"/>
            <w:hideMark/>
          </w:tcPr>
          <w:p w:rsidR="00EE74EF" w:rsidRPr="00351655" w:rsidRDefault="00EE74EF" w:rsidP="00C53907">
            <w:pPr>
              <w:textAlignment w:val="baseline"/>
              <w:rPr>
                <w:rFonts w:ascii="Segoe UI" w:hAnsi="Segoe UI" w:cs="Segoe UI"/>
                <w:sz w:val="18"/>
                <w:szCs w:val="18"/>
              </w:rPr>
            </w:pPr>
            <w:r w:rsidRPr="00351655">
              <w:rPr>
                <w:rFonts w:ascii="Arial" w:hAnsi="Arial"/>
                <w:sz w:val="16"/>
                <w:szCs w:val="16"/>
              </w:rPr>
              <w:t>  </w:t>
            </w:r>
          </w:p>
        </w:tc>
        <w:tc>
          <w:tcPr>
            <w:tcW w:w="6735" w:type="dxa"/>
            <w:tcBorders>
              <w:top w:val="dashed" w:sz="6" w:space="0" w:color="auto"/>
              <w:left w:val="nil"/>
              <w:bottom w:val="double" w:sz="6" w:space="0" w:color="auto"/>
              <w:right w:val="nil"/>
            </w:tcBorders>
            <w:shd w:val="clear" w:color="auto" w:fill="auto"/>
            <w:hideMark/>
          </w:tcPr>
          <w:p w:rsidR="00EE74EF" w:rsidRPr="00351655" w:rsidRDefault="00EE74EF" w:rsidP="00C53907">
            <w:pPr>
              <w:textAlignment w:val="baseline"/>
              <w:rPr>
                <w:rFonts w:ascii="Segoe UI" w:hAnsi="Segoe UI" w:cs="Segoe UI"/>
                <w:sz w:val="18"/>
                <w:szCs w:val="18"/>
              </w:rPr>
            </w:pPr>
            <w:r w:rsidRPr="00351655">
              <w:rPr>
                <w:rFonts w:ascii="Arial" w:hAnsi="Arial"/>
                <w:sz w:val="16"/>
                <w:szCs w:val="16"/>
              </w:rPr>
              <w:t>Any death, and emergent surgery or heart lung bypass support (ECMO) to prevent death with failure to wean from bypass support.  </w:t>
            </w:r>
          </w:p>
        </w:tc>
        <w:tc>
          <w:tcPr>
            <w:tcW w:w="225" w:type="dxa"/>
            <w:tcBorders>
              <w:top w:val="nil"/>
              <w:left w:val="nil"/>
              <w:bottom w:val="nil"/>
              <w:right w:val="nil"/>
            </w:tcBorders>
            <w:shd w:val="clear" w:color="auto" w:fill="auto"/>
            <w:vAlign w:val="center"/>
            <w:hideMark/>
          </w:tcPr>
          <w:p w:rsidR="00EE74EF" w:rsidRPr="00351655" w:rsidRDefault="00EE74EF" w:rsidP="00C53907">
            <w:pPr>
              <w:textAlignment w:val="baseline"/>
              <w:rPr>
                <w:rFonts w:ascii="Segoe UI" w:hAnsi="Segoe UI" w:cs="Segoe UI"/>
                <w:sz w:val="18"/>
                <w:szCs w:val="18"/>
              </w:rPr>
            </w:pPr>
            <w:r w:rsidRPr="00351655">
              <w:rPr>
                <w:rFonts w:cs="Times New Roman"/>
              </w:rPr>
              <w:t> </w:t>
            </w:r>
          </w:p>
        </w:tc>
      </w:tr>
    </w:tbl>
    <w:p w:rsidR="00EE74EF" w:rsidRDefault="00EE74EF" w:rsidP="00EE74EF">
      <w:pPr>
        <w:spacing w:after="200" w:line="276" w:lineRule="auto"/>
      </w:pPr>
    </w:p>
    <w:p w:rsidR="00EE74EF" w:rsidRDefault="00EE74EF" w:rsidP="00EE74EF"/>
    <w:p w:rsidR="00467843" w:rsidRDefault="00467843">
      <w:bookmarkStart w:id="0" w:name="_GoBack"/>
      <w:bookmarkEnd w:id="0"/>
    </w:p>
    <w:sectPr w:rsidR="00467843" w:rsidSect="00437EC9">
      <w:headerReference w:type="default" r:id="rId5"/>
      <w:footerReference w:type="default" r:id="rI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66B" w:rsidRDefault="00EE74EF" w:rsidP="0ED2B15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00B7566B" w:rsidTr="0ED2B159">
      <w:trPr>
        <w:trHeight w:val="300"/>
      </w:trPr>
      <w:tc>
        <w:tcPr>
          <w:tcW w:w="3600" w:type="dxa"/>
        </w:tcPr>
        <w:p w:rsidR="00B7566B" w:rsidRDefault="00EE74EF" w:rsidP="0ED2B159">
          <w:pPr>
            <w:pStyle w:val="Header"/>
            <w:ind w:left="-115"/>
          </w:pPr>
        </w:p>
      </w:tc>
      <w:tc>
        <w:tcPr>
          <w:tcW w:w="3600" w:type="dxa"/>
        </w:tcPr>
        <w:p w:rsidR="00B7566B" w:rsidRDefault="00EE74EF" w:rsidP="0ED2B159">
          <w:pPr>
            <w:pStyle w:val="Header"/>
            <w:jc w:val="center"/>
          </w:pPr>
        </w:p>
      </w:tc>
      <w:tc>
        <w:tcPr>
          <w:tcW w:w="3600" w:type="dxa"/>
        </w:tcPr>
        <w:p w:rsidR="00B7566B" w:rsidRDefault="00EE74EF" w:rsidP="0ED2B159">
          <w:pPr>
            <w:pStyle w:val="Header"/>
            <w:ind w:right="-115"/>
            <w:jc w:val="right"/>
          </w:pPr>
        </w:p>
      </w:tc>
    </w:tr>
  </w:tbl>
  <w:p w:rsidR="00B7566B" w:rsidRDefault="00EE74EF" w:rsidP="0ED2B1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4EF"/>
    <w:rsid w:val="00467843"/>
    <w:rsid w:val="00EE74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8EED2-0687-4308-B22B-18AEC05B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74EF"/>
    <w:pPr>
      <w:spacing w:after="0" w:line="240" w:lineRule="auto"/>
    </w:pPr>
    <w:rPr>
      <w:rFonts w:ascii="Times New Roman" w:eastAsia="Times New Roman" w:hAnsi="Times New Roman"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EE74EF"/>
  </w:style>
  <w:style w:type="paragraph" w:styleId="Header">
    <w:name w:val="header"/>
    <w:basedOn w:val="Normal"/>
    <w:link w:val="HeaderChar"/>
    <w:uiPriority w:val="99"/>
    <w:unhideWhenUsed/>
    <w:rsid w:val="00EE74EF"/>
    <w:pPr>
      <w:tabs>
        <w:tab w:val="center" w:pos="4680"/>
        <w:tab w:val="right" w:pos="9360"/>
      </w:tabs>
    </w:pPr>
    <w:rPr>
      <w:rFonts w:asciiTheme="minorHAnsi" w:eastAsiaTheme="minorHAnsi" w:hAnsiTheme="minorHAnsi" w:cstheme="minorBidi"/>
      <w:sz w:val="22"/>
      <w:szCs w:val="22"/>
      <w:lang w:val="en-IN"/>
    </w:rPr>
  </w:style>
  <w:style w:type="character" w:customStyle="1" w:styleId="HeaderChar1">
    <w:name w:val="Header Char1"/>
    <w:basedOn w:val="DefaultParagraphFont"/>
    <w:uiPriority w:val="99"/>
    <w:semiHidden/>
    <w:rsid w:val="00EE74EF"/>
    <w:rPr>
      <w:rFonts w:ascii="Times New Roman" w:eastAsia="Times New Roman" w:hAnsi="Times New Roman" w:cs="Arial"/>
      <w:sz w:val="24"/>
      <w:szCs w:val="24"/>
      <w:lang w:val="en-US"/>
    </w:rPr>
  </w:style>
  <w:style w:type="character" w:customStyle="1" w:styleId="FooterChar">
    <w:name w:val="Footer Char"/>
    <w:basedOn w:val="DefaultParagraphFont"/>
    <w:link w:val="Footer"/>
    <w:uiPriority w:val="99"/>
    <w:rsid w:val="00EE74EF"/>
  </w:style>
  <w:style w:type="paragraph" w:styleId="Footer">
    <w:name w:val="footer"/>
    <w:basedOn w:val="Normal"/>
    <w:link w:val="FooterChar"/>
    <w:uiPriority w:val="99"/>
    <w:unhideWhenUsed/>
    <w:rsid w:val="00EE74EF"/>
    <w:pPr>
      <w:tabs>
        <w:tab w:val="center" w:pos="4680"/>
        <w:tab w:val="right" w:pos="9360"/>
      </w:tabs>
    </w:pPr>
    <w:rPr>
      <w:rFonts w:asciiTheme="minorHAnsi" w:eastAsiaTheme="minorHAnsi" w:hAnsiTheme="minorHAnsi" w:cstheme="minorBidi"/>
      <w:sz w:val="22"/>
      <w:szCs w:val="22"/>
      <w:lang w:val="en-IN"/>
    </w:rPr>
  </w:style>
  <w:style w:type="character" w:customStyle="1" w:styleId="FooterChar1">
    <w:name w:val="Footer Char1"/>
    <w:basedOn w:val="DefaultParagraphFont"/>
    <w:uiPriority w:val="99"/>
    <w:semiHidden/>
    <w:rsid w:val="00EE74EF"/>
    <w:rPr>
      <w:rFonts w:ascii="Times New Roman" w:eastAsia="Times New Roman" w:hAnsi="Times New Roman"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ANGALESWARI M</dc:creator>
  <cp:keywords/>
  <dc:description/>
  <cp:lastModifiedBy>ANGALESWARI M</cp:lastModifiedBy>
  <cp:revision>1</cp:revision>
  <dcterms:created xsi:type="dcterms:W3CDTF">2025-01-17T06:00:00Z</dcterms:created>
  <dcterms:modified xsi:type="dcterms:W3CDTF">2025-01-17T06:01:00Z</dcterms:modified>
</cp:coreProperties>
</file>