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C491" w14:textId="77777777" w:rsidR="00D8778F" w:rsidRPr="006019F9" w:rsidRDefault="00D8778F" w:rsidP="00D8778F">
      <w:pPr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1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GB"/>
        </w:rPr>
        <w:t>Supplementary Figure S1.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>A</w:t>
      </w:r>
      <w:r w:rsidRPr="006019F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KONAR-MF™ VSD MFO device (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Lifetech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Scientific, Shenzhen</w:t>
      </w:r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) (A) and the option to mount it for antegrade or retrograde deployment using </w:t>
      </w:r>
      <w:proofErr w:type="gramStart"/>
      <w:r w:rsidRPr="006019F9">
        <w:rPr>
          <w:rFonts w:ascii="Times New Roman" w:hAnsi="Times New Roman" w:cs="Times New Roman"/>
          <w:sz w:val="20"/>
          <w:szCs w:val="20"/>
          <w:lang w:val="en-GB"/>
        </w:rPr>
        <w:t>either micro-</w:t>
      </w:r>
      <w:proofErr w:type="gramEnd"/>
      <w:r w:rsidRPr="006019F9">
        <w:rPr>
          <w:rFonts w:ascii="Times New Roman" w:hAnsi="Times New Roman" w:cs="Times New Roman"/>
          <w:sz w:val="20"/>
          <w:szCs w:val="20"/>
          <w:lang w:val="en-GB"/>
        </w:rPr>
        <w:t>screw on both sides (B).</w:t>
      </w:r>
    </w:p>
    <w:p w14:paraId="4735E822" w14:textId="77777777" w:rsidR="00D8778F" w:rsidRPr="006019F9" w:rsidRDefault="00D8778F" w:rsidP="00D8778F">
      <w:pPr>
        <w:spacing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7A174B1F" w14:textId="77777777" w:rsidR="00D8778F" w:rsidRPr="006019F9" w:rsidRDefault="00D8778F" w:rsidP="00D8778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1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GB"/>
        </w:rPr>
        <w:t>Supplementary Figure S2.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Pr="006019F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Flow chart of the systematic review. </w:t>
      </w:r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A comprehensive structured literature search was undergone for articles published until November 27th, </w:t>
      </w:r>
      <w:proofErr w:type="gramStart"/>
      <w:r w:rsidRPr="006019F9">
        <w:rPr>
          <w:rFonts w:ascii="Times New Roman" w:hAnsi="Times New Roman" w:cs="Times New Roman"/>
          <w:sz w:val="20"/>
          <w:szCs w:val="20"/>
          <w:lang w:val="en-GB"/>
        </w:rPr>
        <w:t>2023</w:t>
      </w:r>
      <w:proofErr w:type="gramEnd"/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 using PubMed (Medline) and Scopus with the keywords “</w:t>
      </w:r>
      <w:proofErr w:type="spellStart"/>
      <w:r w:rsidRPr="006019F9">
        <w:rPr>
          <w:rFonts w:ascii="Times New Roman" w:hAnsi="Times New Roman" w:cs="Times New Roman"/>
          <w:sz w:val="20"/>
          <w:szCs w:val="20"/>
          <w:lang w:val="en-GB"/>
        </w:rPr>
        <w:t>perimembranous</w:t>
      </w:r>
      <w:proofErr w:type="spellEnd"/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 AND ventricular septal defect AND (KONAR OR </w:t>
      </w:r>
      <w:proofErr w:type="spellStart"/>
      <w:r w:rsidRPr="006019F9">
        <w:rPr>
          <w:rFonts w:ascii="Times New Roman" w:hAnsi="Times New Roman" w:cs="Times New Roman"/>
          <w:sz w:val="20"/>
          <w:szCs w:val="20"/>
          <w:lang w:val="en-GB"/>
        </w:rPr>
        <w:t>Lifetech</w:t>
      </w:r>
      <w:proofErr w:type="spellEnd"/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)” in the article title, abstract, and/or keywords. All bibliographies of the identified articles were systematically studied for possible additional articles reporting on transcatheter </w:t>
      </w:r>
      <w:proofErr w:type="spellStart"/>
      <w:r w:rsidRPr="006019F9">
        <w:rPr>
          <w:rFonts w:ascii="Times New Roman" w:hAnsi="Times New Roman" w:cs="Times New Roman"/>
          <w:sz w:val="20"/>
          <w:szCs w:val="20"/>
          <w:lang w:val="en-GB"/>
        </w:rPr>
        <w:t>perimembranous</w:t>
      </w:r>
      <w:proofErr w:type="spellEnd"/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 ventricular septal defect (pmVSD) closure using the </w:t>
      </w:r>
      <w:r w:rsidRPr="006019F9">
        <w:rPr>
          <w:rFonts w:asciiTheme="majorBidi" w:hAnsiTheme="majorBidi" w:cstheme="majorBidi"/>
          <w:sz w:val="20"/>
          <w:szCs w:val="20"/>
          <w:lang w:val="en-GB"/>
        </w:rPr>
        <w:t>KONAR-MF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™ (MFO) device. </w:t>
      </w:r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All relevant data were extracted using a standard form by one reviewer and were verified by a second reviewer. Potential discrepancies were discussed and resolved by consensus when necessary. 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Eighteen studies were finally included 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en-GB"/>
        </w:rPr>
        <w:t>1-18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. </w:t>
      </w:r>
    </w:p>
    <w:p w14:paraId="6AA9DE3E" w14:textId="77777777" w:rsidR="00D8778F" w:rsidRPr="006019F9" w:rsidRDefault="00D8778F" w:rsidP="00D87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</w:pP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*All of these included 5 patients or less and no case of atrioventricular block was reported in the abstracts.</w:t>
      </w:r>
      <w:r w:rsidRPr="006019F9"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</w:t>
      </w:r>
    </w:p>
    <w:p w14:paraId="11BFE5A4" w14:textId="77777777" w:rsidR="00D8778F" w:rsidRPr="006019F9" w:rsidRDefault="00D8778F" w:rsidP="00D87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</w:pP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Godart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F et al. J Clin Med. 2023,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2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Haddad et al. Front Cardiovasc Med. 2023,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3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Yildiz et al.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Eur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Rev Med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Pharmacol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Sci. 2023,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4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Odemis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E et al.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Young. 2023,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</w:rPr>
        <w:t>5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Rodriguez et al. </w:t>
      </w:r>
      <w:proofErr w:type="gram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REC:</w:t>
      </w:r>
      <w:proofErr w:type="gram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Interventional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Cardiology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 2023,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</w:rPr>
        <w:t>6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Alvarez-Fuente et al. RECICE. 2022,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</w:rPr>
        <w:t>7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Kamali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et al.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Anatol J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. 2022,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8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Kuswiyanto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et al. Glob Heart. 2022,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9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Sadiq et al.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Young. 2022,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10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Roy et al.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Young. 2022,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11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Leong et al.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Young. 2021,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12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Parvez et al. Ann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Pediatr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. 2021,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13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Gozar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et al.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Young. 2021,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14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Tanidir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et al. Int J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. </w:t>
      </w:r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2020, </w:t>
      </w:r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15</w:t>
      </w:r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Soriano et al. </w:t>
      </w:r>
      <w:proofErr w:type="spellStart"/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Pediatr</w:t>
      </w:r>
      <w:proofErr w:type="spellEnd"/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Interv</w:t>
      </w:r>
      <w:proofErr w:type="spellEnd"/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Cardiol</w:t>
      </w:r>
      <w:proofErr w:type="spellEnd"/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Res update. </w:t>
      </w:r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2020, </w:t>
      </w:r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US"/>
        </w:rPr>
        <w:t>16</w:t>
      </w:r>
      <w:r w:rsidRPr="00D8778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 Barbosa et al.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Journal of Structural Heart Disease. 2019,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17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Schubert et al.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Eurointervention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. 2019, 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vertAlign w:val="superscript"/>
          <w:lang w:val="en-GB"/>
        </w:rPr>
        <w:t>18</w:t>
      </w:r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 xml:space="preserve"> Shrestha Catheter Cardiovasc 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Interv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GB"/>
        </w:rPr>
        <w:t>. 2019.</w:t>
      </w:r>
    </w:p>
    <w:p w14:paraId="09D97463" w14:textId="77777777" w:rsidR="00D8778F" w:rsidRPr="006019F9" w:rsidRDefault="00D8778F" w:rsidP="00D8778F">
      <w:pPr>
        <w:spacing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7652A917" w14:textId="77777777" w:rsidR="00D8778F" w:rsidRPr="006019F9" w:rsidRDefault="00D8778F" w:rsidP="00D8778F">
      <w:pPr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1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GB"/>
        </w:rPr>
        <w:t>Supplementary Figure S3.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Pr="006019F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Chest X-ray images a few hours after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device implantation for </w:t>
      </w:r>
      <w:proofErr w:type="spellStart"/>
      <w:r w:rsidRPr="006019F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>perimembranous</w:t>
      </w:r>
      <w:proofErr w:type="spellEnd"/>
      <w:r w:rsidRPr="006019F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 ventricular septal defect closure </w:t>
      </w:r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(A) and, 20 months later, 24 hours after epicardial pacemaker implantation (B). The blue arrows indicate on each chest X-ray the radio-opaque micro-screws of the 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KONAR-MF™ VSD MFO device (</w:t>
      </w:r>
      <w:proofErr w:type="spellStart"/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Lifetech</w:t>
      </w:r>
      <w:proofErr w:type="spellEnd"/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Scientific, Shenzhen</w:t>
      </w:r>
      <w:r w:rsidRPr="006019F9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14:paraId="5C2DE139" w14:textId="77777777" w:rsidR="00D8778F" w:rsidRPr="006019F9" w:rsidRDefault="00D8778F" w:rsidP="00D8778F">
      <w:pPr>
        <w:spacing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672629F0" w14:textId="77777777" w:rsidR="00D8778F" w:rsidRPr="00CF4BB2" w:rsidRDefault="00D8778F" w:rsidP="00D8778F">
      <w:pPr>
        <w:spacing w:line="259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1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GB"/>
        </w:rPr>
        <w:t>Supplementary Figure S4.</w:t>
      </w:r>
      <w:r w:rsidRPr="006019F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Long-axis transoesophageal ultrasound 2-dimension</w:t>
      </w:r>
      <w:r w:rsidRPr="006019F9">
        <w:rPr>
          <w:rFonts w:ascii="Times New Roman" w:hAnsi="Times New Roman" w:cs="Times New Roman"/>
          <w:sz w:val="20"/>
          <w:szCs w:val="20"/>
          <w:lang w:val="en-GB"/>
        </w:rPr>
        <w:t xml:space="preserve"> view </w:t>
      </w:r>
      <w:r w:rsidRPr="006019F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3 weeks </w:t>
      </w:r>
      <w:r w:rsidRPr="006019F9">
        <w:rPr>
          <w:rFonts w:ascii="Times New Roman" w:hAnsi="Times New Roman" w:cs="Times New Roman"/>
          <w:sz w:val="20"/>
          <w:szCs w:val="20"/>
          <w:lang w:val="en-GB"/>
        </w:rPr>
        <w:t>after pacemaker implantation. Note the similar device position as compared with Figure 1C.</w:t>
      </w:r>
    </w:p>
    <w:p w14:paraId="57B7CEE3" w14:textId="77777777" w:rsidR="00453432" w:rsidRPr="00D8778F" w:rsidRDefault="00453432">
      <w:pPr>
        <w:rPr>
          <w:lang w:val="en-GB"/>
        </w:rPr>
      </w:pPr>
    </w:p>
    <w:sectPr w:rsidR="00453432" w:rsidRPr="00D8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2"/>
    <w:rsid w:val="00453432"/>
    <w:rsid w:val="009D2E9B"/>
    <w:rsid w:val="00D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5D95E"/>
  <w15:chartTrackingRefBased/>
  <w15:docId w15:val="{F79028B2-383B-7E4A-B07D-968C3A8E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78F"/>
    <w:pPr>
      <w:spacing w:line="25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534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4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4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4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4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4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4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4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4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45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4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453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43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53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43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53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BICHALI, Said</dc:creator>
  <cp:keywords/>
  <dc:description/>
  <cp:lastModifiedBy>BICHALI, Said</cp:lastModifiedBy>
  <cp:revision>2</cp:revision>
  <dcterms:created xsi:type="dcterms:W3CDTF">2024-11-01T14:34:00Z</dcterms:created>
  <dcterms:modified xsi:type="dcterms:W3CDTF">2024-11-01T14:35:00Z</dcterms:modified>
</cp:coreProperties>
</file>