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B284C" w:rsidRDefault="00C31AE3">
      <w:r>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5D9C3386" wp14:editId="4C718DB8">
                <wp:simplePos x="0" y="0"/>
                <wp:positionH relativeFrom="column">
                  <wp:posOffset>161925</wp:posOffset>
                </wp:positionH>
                <wp:positionV relativeFrom="paragraph">
                  <wp:posOffset>-323215</wp:posOffset>
                </wp:positionV>
                <wp:extent cx="5404485" cy="1526540"/>
                <wp:effectExtent l="0" t="0" r="0" b="0"/>
                <wp:wrapNone/>
                <wp:docPr id="833608474" name="Text Box 10"/>
                <wp:cNvGraphicFramePr/>
                <a:graphic xmlns:a="http://schemas.openxmlformats.org/drawingml/2006/main">
                  <a:graphicData uri="http://schemas.microsoft.com/office/word/2010/wordprocessingShape">
                    <wps:wsp>
                      <wps:cNvSpPr txBox="1"/>
                      <wps:spPr>
                        <a:xfrm>
                          <a:off x="0" y="0"/>
                          <a:ext cx="5404485" cy="1526540"/>
                        </a:xfrm>
                        <a:prstGeom prst="rect">
                          <a:avLst/>
                        </a:prstGeom>
                        <a:noFill/>
                        <a:ln w="12700" cap="flat">
                          <a:noFill/>
                          <a:miter lim="400000"/>
                        </a:ln>
                        <a:effectLst/>
                        <a:sp3d/>
                      </wps:spPr>
                      <wps:style>
                        <a:lnRef idx="0">
                          <a:scrgbClr r="0" g="0" b="0"/>
                        </a:lnRef>
                        <a:fillRef idx="0">
                          <a:scrgbClr r="0" g="0" b="0"/>
                        </a:fillRef>
                        <a:effectRef idx="0">
                          <a:scrgbClr r="0" g="0" b="0"/>
                        </a:effectRef>
                        <a:fontRef idx="none"/>
                      </wps:style>
                      <wps:txbx>
                        <w:txbxContent>
                          <w:p w:rsidR="00C31AE3" w:rsidRPr="005B16E5" w:rsidRDefault="00C31AE3" w:rsidP="00C31AE3">
                            <w:pPr>
                              <w:pStyle w:val="Caption"/>
                              <w:keepNext/>
                              <w:rPr>
                                <w:i w:val="0"/>
                                <w:iCs w:val="0"/>
                                <w:color w:val="000000" w:themeColor="text1"/>
                                <w:sz w:val="24"/>
                                <w:szCs w:val="24"/>
                              </w:rPr>
                            </w:pPr>
                            <w:r>
                              <w:rPr>
                                <w:b/>
                                <w:bCs/>
                                <w:i w:val="0"/>
                                <w:iCs w:val="0"/>
                                <w:color w:val="000000" w:themeColor="text1"/>
                                <w:sz w:val="24"/>
                                <w:szCs w:val="24"/>
                              </w:rPr>
                              <w:t xml:space="preserve">Supplemental </w:t>
                            </w:r>
                            <w:r w:rsidRPr="005B16E5">
                              <w:rPr>
                                <w:b/>
                                <w:bCs/>
                                <w:i w:val="0"/>
                                <w:iCs w:val="0"/>
                                <w:color w:val="000000" w:themeColor="text1"/>
                                <w:sz w:val="24"/>
                                <w:szCs w:val="24"/>
                              </w:rPr>
                              <w:t>Figure 1.</w:t>
                            </w:r>
                            <w:r w:rsidRPr="005B16E5">
                              <w:rPr>
                                <w:i w:val="0"/>
                                <w:iCs w:val="0"/>
                                <w:color w:val="000000" w:themeColor="text1"/>
                                <w:sz w:val="24"/>
                                <w:szCs w:val="24"/>
                              </w:rPr>
                              <w:t xml:space="preserve"> Physiologic dead space fraction in survivors and non-survivors. AVDSf is significantly different on POD 1 and POD 3. Only complete cases were used in this analysis.</w:t>
                            </w:r>
                          </w:p>
                          <w:p w:rsidR="00C31AE3" w:rsidRPr="005B16E5" w:rsidRDefault="00C31AE3" w:rsidP="00C31AE3">
                            <w:pPr>
                              <w:rPr>
                                <w:rFonts w:ascii="Times New Roman" w:hAnsi="Times New Roman" w:cs="Times New Roman"/>
                              </w:rPr>
                            </w:pPr>
                            <w:r w:rsidRPr="005B16E5">
                              <w:rPr>
                                <w:rFonts w:ascii="Times New Roman" w:hAnsi="Times New Roman" w:cs="Times New Roman"/>
                              </w:rPr>
                              <w:t xml:space="preserve">The lower and upper borders of the box represent the lower and upper quartiles (25th percentile and 75th percentile). The middle horizontal line represents the median. The lower and upper whiskers represent the minimum and maximum values of non- outliers. Extra dots represent outliers. </w:t>
                            </w:r>
                          </w:p>
                          <w:p w:rsidR="00C31AE3" w:rsidRPr="005B16E5" w:rsidRDefault="00C31AE3" w:rsidP="00C31AE3">
                            <w:pPr>
                              <w:rPr>
                                <w:rFonts w:ascii="Times New Roman" w:hAnsi="Times New Roman" w:cs="Times New Roman"/>
                              </w:rPr>
                            </w:pPr>
                          </w:p>
                          <w:p w:rsidR="00C31AE3" w:rsidRPr="005B16E5" w:rsidRDefault="00C31AE3" w:rsidP="00C31AE3">
                            <w:pPr>
                              <w:rPr>
                                <w:rFonts w:ascii="Times New Roman" w:hAnsi="Times New Roman" w:cs="Times New Roman"/>
                              </w:rPr>
                            </w:pPr>
                            <w:r w:rsidRPr="005B16E5">
                              <w:rPr>
                                <w:rFonts w:ascii="Times New Roman" w:hAnsi="Times New Roman" w:cs="Times New Roman"/>
                              </w:rPr>
                              <w:t>CTICU = cardiothoracic ICU, POD = post-operative day</w:t>
                            </w:r>
                          </w:p>
                        </w:txbxContent>
                      </wps:txbx>
                      <wps:bodyPr rot="0" spcFirstLastPara="1" vertOverflow="overflow" horzOverflow="overflow" vert="horz" wrap="square" lIns="50800" tIns="50800" rIns="50800" bIns="50800" numCol="1" spcCol="38100" rtlCol="0" fromWordArt="0" anchor="t" anchorCtr="0" forceAA="0" compatLnSpc="1">
                        <a:prstTxWarp prst="textNoShape">
                          <a:avLst/>
                        </a:prstTxWarp>
                        <a:spAutoFit/>
                      </wps:bodyPr>
                    </wps:wsp>
                  </a:graphicData>
                </a:graphic>
              </wp:anchor>
            </w:drawing>
          </mc:Choice>
          <mc:Fallback>
            <w:pict>
              <v:shapetype w14:anchorId="5D9C3386" id="_x0000_t202" coordsize="21600,21600" o:spt="202" path="m,l,21600r21600,l21600,xe">
                <v:stroke joinstyle="miter"/>
                <v:path gradientshapeok="t" o:connecttype="rect"/>
              </v:shapetype>
              <v:shape id="Text Box 10" o:spid="_x0000_s1026" type="#_x0000_t202" style="position:absolute;margin-left:12.75pt;margin-top:-25.45pt;width:425.55pt;height:120.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" filled="f" stroked="f" strokeweight="1pt">
                <v:stroke miterlimit="4"/>
                <v:textbox style="mso-fit-shape-to-text:t" inset="4pt,4pt,4pt,4pt">
                  <w:txbxContent>
                    <w:p w:rsidR="00C31AE3" w:rsidRPr="005B16E5" w:rsidRDefault="00C31AE3" w:rsidP="00C31AE3">
                      <w:pPr>
                        <w:pStyle w:val="Caption"/>
                        <w:keepNext/>
                        <w:rPr>
                          <w:i w:val="0"/>
                          <w:iCs w:val="0"/>
                          <w:color w:val="000000" w:themeColor="text1"/>
                          <w:sz w:val="24"/>
                          <w:szCs w:val="24"/>
                        </w:rPr>
                      </w:pPr>
                      <w:r>
                        <w:rPr>
                          <w:b/>
                          <w:bCs/>
                          <w:i w:val="0"/>
                          <w:iCs w:val="0"/>
                          <w:color w:val="000000" w:themeColor="text1"/>
                          <w:sz w:val="24"/>
                          <w:szCs w:val="24"/>
                        </w:rPr>
                        <w:t xml:space="preserve">Supplemental </w:t>
                      </w:r>
                      <w:r w:rsidRPr="005B16E5">
                        <w:rPr>
                          <w:b/>
                          <w:bCs/>
                          <w:i w:val="0"/>
                          <w:iCs w:val="0"/>
                          <w:color w:val="000000" w:themeColor="text1"/>
                          <w:sz w:val="24"/>
                          <w:szCs w:val="24"/>
                        </w:rPr>
                        <w:t>Figure 1.</w:t>
                      </w:r>
                      <w:r w:rsidRPr="005B16E5">
                        <w:rPr>
                          <w:i w:val="0"/>
                          <w:iCs w:val="0"/>
                          <w:color w:val="000000" w:themeColor="text1"/>
                          <w:sz w:val="24"/>
                          <w:szCs w:val="24"/>
                        </w:rPr>
                        <w:t xml:space="preserve"> Physiologic dead space fraction in survivors and non-survivors. AVDSf is significantly different on POD 1 and POD 3. Only complete cases were used in this analysis.</w:t>
                      </w:r>
                    </w:p>
                    <w:p w:rsidR="00C31AE3" w:rsidRPr="005B16E5" w:rsidRDefault="00C31AE3" w:rsidP="00C31AE3">
                      <w:pPr>
                        <w:rPr>
                          <w:rFonts w:ascii="Times New Roman" w:hAnsi="Times New Roman" w:cs="Times New Roman"/>
                        </w:rPr>
                      </w:pPr>
                      <w:r w:rsidRPr="005B16E5">
                        <w:rPr>
                          <w:rFonts w:ascii="Times New Roman" w:hAnsi="Times New Roman" w:cs="Times New Roman"/>
                        </w:rPr>
                        <w:t xml:space="preserve">The lower and upper borders of the box represent the lower and upper quartiles (25th percentile and 75th percentile). The middle horizontal line represents the median. The lower and upper whiskers represent the minimum and maximum values of non- outliers. Extra dots represent outliers. </w:t>
                      </w:r>
                    </w:p>
                    <w:p w:rsidR="00C31AE3" w:rsidRPr="005B16E5" w:rsidRDefault="00C31AE3" w:rsidP="00C31AE3">
                      <w:pPr>
                        <w:rPr>
                          <w:rFonts w:ascii="Times New Roman" w:hAnsi="Times New Roman" w:cs="Times New Roman"/>
                        </w:rPr>
                      </w:pPr>
                    </w:p>
                    <w:p w:rsidR="00C31AE3" w:rsidRPr="005B16E5" w:rsidRDefault="00C31AE3" w:rsidP="00C31AE3">
                      <w:pPr>
                        <w:rPr>
                          <w:rFonts w:ascii="Times New Roman" w:hAnsi="Times New Roman" w:cs="Times New Roman"/>
                        </w:rPr>
                      </w:pPr>
                      <w:r w:rsidRPr="005B16E5">
                        <w:rPr>
                          <w:rFonts w:ascii="Times New Roman" w:hAnsi="Times New Roman" w:cs="Times New Roman"/>
                        </w:rPr>
                        <w:t>CTICU = cardiothoracic ICU, POD = post-operative day</w:t>
                      </w:r>
                    </w:p>
                  </w:txbxContent>
                </v:textbox>
              </v:shape>
            </w:pict>
          </mc:Fallback>
        </mc:AlternateContent>
      </w:r>
    </w:p>
    <w:sectPr w:rsidR="004B28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AE3"/>
    <w:rsid w:val="00312B77"/>
    <w:rsid w:val="004B284C"/>
    <w:rsid w:val="005145EE"/>
    <w:rsid w:val="008770BA"/>
    <w:rsid w:val="00C31AE3"/>
    <w:rsid w:val="00CA43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6B8B4379-3224-5E42-91DF-894C94407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1A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C31AE3"/>
    <w:pPr>
      <w:pBdr>
        <w:top w:val="nil"/>
        <w:left w:val="nil"/>
        <w:bottom w:val="nil"/>
        <w:right w:val="nil"/>
        <w:between w:val="nil"/>
        <w:bar w:val="nil"/>
      </w:pBdr>
      <w:spacing w:after="200"/>
    </w:pPr>
    <w:rPr>
      <w:rFonts w:ascii="Times New Roman" w:eastAsia="Arial Unicode MS" w:hAnsi="Times New Roman" w:cs="Times New Roman"/>
      <w:i/>
      <w:iCs/>
      <w:color w:val="44546A" w:themeColor="text2"/>
      <w:kern w:val="0"/>
      <w:sz w:val="18"/>
      <w:szCs w:val="18"/>
      <w:bdr w:val="ni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1</Characters>
  <Application>Microsoft Office Word</Application>
  <DocSecurity>0</DocSecurity>
  <Lines>1</Lines>
  <Paragraphs>1</Paragraphs>
  <ScaleCrop>false</ScaleCrop>
  <Company/>
  <LinksUpToDate>false</LinksUpToDate>
  <CharactersWithSpaces>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Dariya Hardisky</dc:creator>
  <cp:keywords/>
  <dc:description/>
  <cp:lastModifiedBy>Dariya Hardisky</cp:lastModifiedBy>
  <cp:revision>1</cp:revision>
  <dcterms:created xsi:type="dcterms:W3CDTF">2024-01-16T01:53:00Z</dcterms:created>
  <dcterms:modified xsi:type="dcterms:W3CDTF">2024-01-16T01:53:00Z</dcterms:modified>
</cp:coreProperties>
</file>