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ADAF1" w14:textId="77777777" w:rsidR="00075112" w:rsidRPr="00075112" w:rsidRDefault="00075112" w:rsidP="00075112">
      <w:pPr>
        <w:spacing w:line="480" w:lineRule="auto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075112">
        <w:rPr>
          <w:rFonts w:ascii="Times New Roman" w:hAnsi="Times New Roman" w:cs="Times New Roman"/>
          <w:b/>
          <w:bCs/>
          <w:sz w:val="32"/>
          <w:szCs w:val="32"/>
          <w:lang w:val="en-GB"/>
        </w:rPr>
        <w:t>Supplementary Materials</w:t>
      </w:r>
    </w:p>
    <w:p w14:paraId="7CDE1AF7" w14:textId="5AE55AF1" w:rsidR="009D385F" w:rsidRDefault="005B7E78" w:rsidP="009D385F">
      <w:pPr>
        <w:pStyle w:val="Liststycke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Results</w:t>
      </w:r>
      <w:proofErr w:type="spellEnd"/>
    </w:p>
    <w:p w14:paraId="30FE5FA9" w14:textId="611141A8" w:rsidR="00E71A99" w:rsidRDefault="00E71A99" w:rsidP="009D385F">
      <w:pPr>
        <w:spacing w:line="480" w:lineRule="auto"/>
        <w:ind w:left="360"/>
        <w:rPr>
          <w:rFonts w:ascii="Times" w:hAnsi="Times"/>
          <w:color w:val="000000"/>
          <w:sz w:val="24"/>
          <w:szCs w:val="24"/>
          <w:lang w:val="en-US"/>
        </w:rPr>
      </w:pP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A statistically significant difference was observed between patients with </w:t>
      </w:r>
      <w:proofErr w:type="spellStart"/>
      <w:r w:rsidRPr="00E71A99">
        <w:rPr>
          <w:rFonts w:ascii="Times" w:hAnsi="Times"/>
          <w:color w:val="000000"/>
          <w:sz w:val="24"/>
          <w:szCs w:val="24"/>
          <w:lang w:val="en-US"/>
        </w:rPr>
        <w:t>M</w:t>
      </w:r>
      <w:r w:rsidR="007D1AD3">
        <w:rPr>
          <w:rFonts w:ascii="Times" w:hAnsi="Times"/>
          <w:color w:val="000000"/>
          <w:sz w:val="24"/>
          <w:szCs w:val="24"/>
          <w:lang w:val="en-US"/>
        </w:rPr>
        <w:t>arfan</w:t>
      </w:r>
      <w:proofErr w:type="spellEnd"/>
      <w:r w:rsidR="007D1AD3">
        <w:rPr>
          <w:rFonts w:ascii="Times" w:hAnsi="Times"/>
          <w:color w:val="000000"/>
          <w:sz w:val="24"/>
          <w:szCs w:val="24"/>
          <w:lang w:val="en-US"/>
        </w:rPr>
        <w:t xml:space="preserve"> syndrome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 and healthy reference values regarding the </w:t>
      </w:r>
      <w:r w:rsidR="00C422F7" w:rsidRPr="00C422F7">
        <w:rPr>
          <w:rFonts w:ascii="Times New Roman" w:hAnsi="Times New Roman" w:cs="Times New Roman"/>
          <w:sz w:val="24"/>
          <w:szCs w:val="24"/>
          <w:lang w:val="en-US"/>
        </w:rPr>
        <w:t>Mental Component Summary</w:t>
      </w:r>
      <w:r w:rsidRPr="00C422F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 both women and men, as shown in Supplementary Table </w:t>
      </w:r>
      <w:r w:rsidR="007D593D">
        <w:rPr>
          <w:rFonts w:ascii="Times" w:hAnsi="Times"/>
          <w:color w:val="000000"/>
          <w:sz w:val="24"/>
          <w:szCs w:val="24"/>
          <w:lang w:val="en-US"/>
        </w:rPr>
        <w:t>S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1. </w:t>
      </w:r>
      <w:r w:rsidR="004F5B33"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SF-36</w:t>
      </w:r>
      <w:r w:rsidR="004F5B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4F5B33"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subscales and summary measures</w:t>
      </w:r>
      <w:r w:rsidR="004F5B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</w:t>
      </w:r>
      <w:r w:rsidR="004F5B33">
        <w:rPr>
          <w:rFonts w:ascii="Times" w:hAnsi="Times"/>
          <w:color w:val="000000"/>
          <w:sz w:val="24"/>
          <w:szCs w:val="24"/>
          <w:lang w:val="en-US"/>
        </w:rPr>
        <w:t>re displayed in Supplementary Table S2.</w:t>
      </w:r>
      <w:r w:rsidR="004F5B33">
        <w:rPr>
          <w:rFonts w:ascii="Times" w:hAnsi="Times"/>
          <w:color w:val="000000"/>
          <w:sz w:val="24"/>
          <w:szCs w:val="24"/>
          <w:lang w:val="en-US"/>
        </w:rPr>
        <w:t xml:space="preserve"> 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The percentage difference between women and men with </w:t>
      </w:r>
      <w:proofErr w:type="spellStart"/>
      <w:r w:rsidRPr="00E71A99">
        <w:rPr>
          <w:rFonts w:ascii="Times" w:hAnsi="Times"/>
          <w:color w:val="000000"/>
          <w:sz w:val="24"/>
          <w:szCs w:val="24"/>
          <w:lang w:val="en-US"/>
        </w:rPr>
        <w:t>M</w:t>
      </w:r>
      <w:r w:rsidR="007D1AD3">
        <w:rPr>
          <w:rFonts w:ascii="Times" w:hAnsi="Times"/>
          <w:color w:val="000000"/>
          <w:sz w:val="24"/>
          <w:szCs w:val="24"/>
          <w:lang w:val="en-US"/>
        </w:rPr>
        <w:t>arfan</w:t>
      </w:r>
      <w:proofErr w:type="spellEnd"/>
      <w:r w:rsidR="007D1AD3">
        <w:rPr>
          <w:rFonts w:ascii="Times" w:hAnsi="Times"/>
          <w:color w:val="000000"/>
          <w:sz w:val="24"/>
          <w:szCs w:val="24"/>
          <w:lang w:val="en-US"/>
        </w:rPr>
        <w:t xml:space="preserve"> syndrome 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and healthy reference values is shown in Supplementary Figure </w:t>
      </w:r>
      <w:r w:rsidR="007D593D">
        <w:rPr>
          <w:rFonts w:ascii="Times" w:hAnsi="Times"/>
          <w:color w:val="000000"/>
          <w:sz w:val="24"/>
          <w:szCs w:val="24"/>
          <w:lang w:val="en-US"/>
        </w:rPr>
        <w:t>S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>1. The cumulative distribution of the V</w:t>
      </w:r>
      <w:r w:rsidR="007D1AD3">
        <w:rPr>
          <w:rFonts w:ascii="Times" w:hAnsi="Times"/>
          <w:color w:val="000000"/>
          <w:sz w:val="24"/>
          <w:szCs w:val="24"/>
          <w:lang w:val="en-US"/>
        </w:rPr>
        <w:t>itality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 xml:space="preserve"> subscale for women and men in relation to healthy reference values is shown in Supplementary Figure </w:t>
      </w:r>
      <w:r w:rsidR="007D593D">
        <w:rPr>
          <w:rFonts w:ascii="Times" w:hAnsi="Times"/>
          <w:color w:val="000000"/>
          <w:sz w:val="24"/>
          <w:szCs w:val="24"/>
          <w:lang w:val="en-US"/>
        </w:rPr>
        <w:t>S</w:t>
      </w:r>
      <w:r w:rsidRPr="00E71A99">
        <w:rPr>
          <w:rFonts w:ascii="Times" w:hAnsi="Times"/>
          <w:color w:val="000000"/>
          <w:sz w:val="24"/>
          <w:szCs w:val="24"/>
          <w:lang w:val="en-US"/>
        </w:rPr>
        <w:t>2.</w:t>
      </w:r>
    </w:p>
    <w:p w14:paraId="3356FB91" w14:textId="2AFDC790" w:rsidR="00E71A99" w:rsidRDefault="00E71A99" w:rsidP="009D385F">
      <w:pPr>
        <w:spacing w:line="480" w:lineRule="auto"/>
        <w:ind w:left="360"/>
        <w:rPr>
          <w:rFonts w:ascii="Times" w:hAnsi="Times"/>
          <w:color w:val="000000"/>
          <w:sz w:val="24"/>
          <w:szCs w:val="24"/>
          <w:lang w:val="en-US"/>
        </w:rPr>
      </w:pPr>
    </w:p>
    <w:p w14:paraId="64DDA9A4" w14:textId="6232F4C3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E849F6B" w14:textId="50E4A077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DECD1D7" w14:textId="313B126D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EBA09" w14:textId="7B73CE52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4BF24F0" w14:textId="53F8DC7C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D2F5DF6" w14:textId="6D3462D5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DC075A0" w14:textId="2B6D3280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3714E5" w14:textId="470795A9" w:rsid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905501C" w14:textId="77777777" w:rsidR="00A11C9F" w:rsidRDefault="00A11C9F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4825BF27" w14:textId="77777777" w:rsidR="00E71A99" w:rsidRPr="00E71A99" w:rsidRDefault="00E71A99" w:rsidP="00E71A99">
      <w:pPr>
        <w:spacing w:line="48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139AE50" w14:textId="45E33301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lastRenderedPageBreak/>
        <w:t xml:space="preserve">Supplementary Table </w:t>
      </w:r>
      <w:r w:rsidR="00417E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</w:t>
      </w: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1. </w:t>
      </w: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Percentage of healthy reference values for women and men with MFS concerning summary measures</w:t>
      </w: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 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098"/>
        <w:gridCol w:w="798"/>
        <w:gridCol w:w="913"/>
        <w:gridCol w:w="1101"/>
        <w:gridCol w:w="1276"/>
        <w:gridCol w:w="709"/>
        <w:gridCol w:w="992"/>
        <w:gridCol w:w="850"/>
      </w:tblGrid>
      <w:tr w:rsidR="00547344" w:rsidRPr="00E71A99" w14:paraId="5AED5D26" w14:textId="77777777" w:rsidTr="00B772CA">
        <w:trPr>
          <w:trHeight w:val="300"/>
        </w:trPr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173D" w14:textId="77777777" w:rsidR="00547344" w:rsidRPr="00E71A99" w:rsidRDefault="00547344" w:rsidP="00E71A99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SF-36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579BE" w14:textId="77777777" w:rsidR="00547344" w:rsidRPr="00E71A99" w:rsidRDefault="00547344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Women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C4E27" w14:textId="550A14DC" w:rsidR="00547344" w:rsidRPr="00E71A99" w:rsidRDefault="00547344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% of ref.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F3018" w14:textId="0C603933" w:rsidR="00547344" w:rsidRPr="00E71A99" w:rsidRDefault="00547344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p-value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3C05D18" w14:textId="0E6A7428" w:rsidR="00547344" w:rsidRPr="00E71A99" w:rsidRDefault="00547344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Men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65BB2" w14:textId="646323AF" w:rsidR="00547344" w:rsidRPr="00E71A99" w:rsidRDefault="00547344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% of ref.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C744B9" w14:textId="706F1AF8" w:rsidR="00547344" w:rsidRPr="00E71A99" w:rsidRDefault="00547344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p-value</w:t>
            </w:r>
          </w:p>
        </w:tc>
      </w:tr>
      <w:tr w:rsidR="001602C8" w:rsidRPr="00E71A99" w14:paraId="03CDCA60" w14:textId="77777777" w:rsidTr="001602C8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F1B588A" w14:textId="77777777" w:rsidR="001602C8" w:rsidRPr="00E71A99" w:rsidRDefault="001602C8" w:rsidP="00E71A99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2088E4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With MFS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63055BC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Ref.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756155E" w14:textId="7ECF172E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C7E8B97" w14:textId="627F18EA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8F14CE" w14:textId="61DDD02D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With MFS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80B3BC" w14:textId="7962C1FA" w:rsidR="001602C8" w:rsidRPr="001602C8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Ref.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01E9B0" w14:textId="4A5CEF94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B45229" w14:textId="77777777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1602C8" w:rsidRPr="00E71A99" w14:paraId="2517827C" w14:textId="77777777" w:rsidTr="001602C8">
        <w:trPr>
          <w:trHeight w:val="300"/>
        </w:trPr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6493" w14:textId="77777777" w:rsidR="001602C8" w:rsidRPr="00E71A99" w:rsidRDefault="001602C8" w:rsidP="00E71A99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PCS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0883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50.1 </w:t>
            </w:r>
          </w:p>
        </w:tc>
        <w:tc>
          <w:tcPr>
            <w:tcW w:w="7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74A68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52.7 </w:t>
            </w:r>
          </w:p>
        </w:tc>
        <w:tc>
          <w:tcPr>
            <w:tcW w:w="9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E2FD3" w14:textId="69B9490D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95.1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DACC3" w14:textId="40EBBC79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0.110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D1A3B9" w14:textId="1F1A8E46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53.2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C81311" w14:textId="4EAEF58D" w:rsidR="001602C8" w:rsidRPr="001602C8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53.9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6E8FB" w14:textId="6A5FD608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98.7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FC5E5B" w14:textId="7064B04F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0.158</w:t>
            </w:r>
            <w:proofErr w:type="gramEnd"/>
          </w:p>
        </w:tc>
      </w:tr>
      <w:tr w:rsidR="001602C8" w:rsidRPr="00E71A99" w14:paraId="7641E5AD" w14:textId="77777777" w:rsidTr="001602C8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1F58F0A" w14:textId="77777777" w:rsidR="001602C8" w:rsidRPr="00E71A99" w:rsidRDefault="001602C8" w:rsidP="00E71A99">
            <w:pPr>
              <w:spacing w:after="0" w:line="48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MCS</w:t>
            </w:r>
            <w:r w:rsidRPr="00E71A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7D2AC2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48.1 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DE09D4" w14:textId="77777777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53.1 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2BCA15" w14:textId="043475FB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90.5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7F446B9" w14:textId="2EAA4447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E7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0.008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F4FCE" w14:textId="7D72B5A6" w:rsidR="001602C8" w:rsidRPr="00E71A99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E96A72" w14:textId="019D6998" w:rsidR="001602C8" w:rsidRPr="001602C8" w:rsidRDefault="001602C8" w:rsidP="00E71A99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84E46AB" w14:textId="79A2E5DE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71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89.4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4C709" w14:textId="27644675" w:rsidR="001602C8" w:rsidRPr="00E71A99" w:rsidRDefault="001602C8" w:rsidP="001602C8">
            <w:pPr>
              <w:spacing w:after="0"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&lt;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0.001</w:t>
            </w:r>
            <w:proofErr w:type="gramEnd"/>
          </w:p>
        </w:tc>
      </w:tr>
    </w:tbl>
    <w:p w14:paraId="1834C13C" w14:textId="18AEBC2E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E71A9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Data are median. MFS, Marfan syndrome; SF-36, 36-item Short-Form Health Survey; ref., reference value; PCS, Physical Component Summary; MCS, Mental Component Summary</w:t>
      </w: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. 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3AE5D132" w14:textId="12035C23" w:rsidR="00E71A99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Bold p-value, </w:t>
      </w: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statistically significant with one-sample Wilcoxon signed-rank test.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25F272B9" w14:textId="6127EC09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53970463" w14:textId="6390321D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2DDF6ECF" w14:textId="6FAAC0BB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04B0B55B" w14:textId="0A2A1B6F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0C6B2DB8" w14:textId="06C5AEC2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68CE03D1" w14:textId="427563BC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2C7FF1F9" w14:textId="4372ACA8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215682A6" w14:textId="0EDED713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15EDB34B" w14:textId="5B041159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461A59A6" w14:textId="7BEE18BB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7837BF8E" w14:textId="0DBCB415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1B554919" w14:textId="31E1F1CA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4405A494" w14:textId="2787A592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19E7A9C8" w14:textId="67692C07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48CB0898" w14:textId="30159952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47A79A0F" w14:textId="03CDFEEE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10B99CE6" w14:textId="3BC4CC04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07D39298" w14:textId="5AAB7C3A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7FC9A0F2" w14:textId="753068FC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5D387C2A" w14:textId="5B003165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2160D096" w14:textId="3194A8F9" w:rsidR="006C6A19" w:rsidRPr="006C6A19" w:rsidRDefault="002B77CF" w:rsidP="006C6A1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lastRenderedPageBreak/>
        <w:t xml:space="preserve">Supplementary </w:t>
      </w:r>
      <w:r w:rsidR="006C6A19" w:rsidRPr="006C6A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S2</w:t>
      </w:r>
      <w:r w:rsidR="006C6A19" w:rsidRPr="006C6A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. </w:t>
      </w:r>
      <w:r w:rsidR="006C6A19"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SF-36 subscales and summary measures for patients with MFS in age groups ≤ median or &gt; median </w:t>
      </w:r>
    </w:p>
    <w:tbl>
      <w:tblPr>
        <w:tblStyle w:val="Tabellrutnt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851"/>
        <w:gridCol w:w="1984"/>
        <w:gridCol w:w="1928"/>
        <w:gridCol w:w="794"/>
        <w:gridCol w:w="2041"/>
        <w:gridCol w:w="1984"/>
        <w:gridCol w:w="794"/>
      </w:tblGrid>
      <w:tr w:rsidR="006C6A19" w:rsidRPr="006C6A19" w14:paraId="6877B9F2" w14:textId="77777777" w:rsidTr="0053638D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ED0DA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SF-36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042E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Women</w:t>
            </w:r>
            <w:proofErr w:type="spellEnd"/>
          </w:p>
          <w:p w14:paraId="0820090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18–32</w:t>
            </w:r>
          </w:p>
          <w:p w14:paraId="5007A48A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n=6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02F27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Women</w:t>
            </w:r>
            <w:proofErr w:type="spellEnd"/>
          </w:p>
          <w:p w14:paraId="495DD005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33–63</w:t>
            </w:r>
          </w:p>
          <w:p w14:paraId="2F023C6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n=5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38360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p-</w:t>
            </w:r>
          </w:p>
          <w:p w14:paraId="6463B272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value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19E92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Men</w:t>
            </w:r>
          </w:p>
          <w:p w14:paraId="21ED3B1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18–32</w:t>
            </w:r>
          </w:p>
          <w:p w14:paraId="25013C26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n=11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D404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Men</w:t>
            </w:r>
          </w:p>
          <w:p w14:paraId="69474EF6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33–63</w:t>
            </w:r>
          </w:p>
          <w:p w14:paraId="6FAD208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n=11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61A8F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p-</w:t>
            </w:r>
          </w:p>
          <w:p w14:paraId="4DF5C447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value</w:t>
            </w:r>
            <w:proofErr w:type="spellEnd"/>
          </w:p>
        </w:tc>
      </w:tr>
      <w:tr w:rsidR="006C6A19" w:rsidRPr="006C6A19" w14:paraId="0ECBCEDF" w14:textId="77777777" w:rsidTr="0053638D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425772B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PF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C5988EF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 (83.8–100.0)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14:paraId="51E70A45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 (52.5–85.0)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2781E3EA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0.030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</w:tcBorders>
            <w:shd w:val="clear" w:color="auto" w:fill="auto"/>
          </w:tcPr>
          <w:p w14:paraId="3D11629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 (90.0–100.0)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F005236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95 (55.0–95.0)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2A5EB82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0.151</w:t>
            </w:r>
            <w:proofErr w:type="gramEnd"/>
          </w:p>
        </w:tc>
      </w:tr>
      <w:tr w:rsidR="006C6A19" w:rsidRPr="006C6A19" w14:paraId="26AD2FE3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3BCBE98C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RP</w:t>
            </w:r>
          </w:p>
        </w:tc>
        <w:tc>
          <w:tcPr>
            <w:tcW w:w="1984" w:type="dxa"/>
            <w:shd w:val="clear" w:color="auto" w:fill="auto"/>
          </w:tcPr>
          <w:p w14:paraId="18CB83F7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(68.8–100.0)</w:t>
            </w:r>
          </w:p>
        </w:tc>
        <w:tc>
          <w:tcPr>
            <w:tcW w:w="1928" w:type="dxa"/>
            <w:shd w:val="clear" w:color="auto" w:fill="auto"/>
          </w:tcPr>
          <w:p w14:paraId="529267F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 (0.0–87.5)</w:t>
            </w:r>
          </w:p>
        </w:tc>
        <w:tc>
          <w:tcPr>
            <w:tcW w:w="794" w:type="dxa"/>
            <w:shd w:val="clear" w:color="auto" w:fill="auto"/>
          </w:tcPr>
          <w:p w14:paraId="55ABEC70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0.177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3F9A5FE0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(100.0–100.0)</w:t>
            </w:r>
          </w:p>
        </w:tc>
        <w:tc>
          <w:tcPr>
            <w:tcW w:w="1984" w:type="dxa"/>
            <w:shd w:val="clear" w:color="auto" w:fill="auto"/>
          </w:tcPr>
          <w:p w14:paraId="205CF06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 (0.0–100.0)</w:t>
            </w:r>
          </w:p>
        </w:tc>
        <w:tc>
          <w:tcPr>
            <w:tcW w:w="794" w:type="dxa"/>
            <w:shd w:val="clear" w:color="auto" w:fill="auto"/>
          </w:tcPr>
          <w:p w14:paraId="287EE1E7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0.040</w:t>
            </w:r>
            <w:proofErr w:type="gramEnd"/>
          </w:p>
        </w:tc>
      </w:tr>
      <w:tr w:rsidR="006C6A19" w:rsidRPr="006C6A19" w14:paraId="0B5849A7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5D12F08E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BP</w:t>
            </w:r>
          </w:p>
        </w:tc>
        <w:tc>
          <w:tcPr>
            <w:tcW w:w="1984" w:type="dxa"/>
            <w:shd w:val="clear" w:color="auto" w:fill="auto"/>
          </w:tcPr>
          <w:p w14:paraId="3AA3504D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 (71.0–88.0)</w:t>
            </w:r>
          </w:p>
        </w:tc>
        <w:tc>
          <w:tcPr>
            <w:tcW w:w="1928" w:type="dxa"/>
            <w:shd w:val="clear" w:color="auto" w:fill="auto"/>
          </w:tcPr>
          <w:p w14:paraId="264C7636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62 (36.5–87.0)</w:t>
            </w:r>
          </w:p>
        </w:tc>
        <w:tc>
          <w:tcPr>
            <w:tcW w:w="794" w:type="dxa"/>
            <w:shd w:val="clear" w:color="auto" w:fill="auto"/>
          </w:tcPr>
          <w:p w14:paraId="5E5FC018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0.177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1A5947B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84 (72.0–100.0)</w:t>
            </w:r>
          </w:p>
        </w:tc>
        <w:tc>
          <w:tcPr>
            <w:tcW w:w="1984" w:type="dxa"/>
            <w:shd w:val="clear" w:color="auto" w:fill="auto"/>
          </w:tcPr>
          <w:p w14:paraId="6E200526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 (41.0–84.0)</w:t>
            </w:r>
          </w:p>
        </w:tc>
        <w:tc>
          <w:tcPr>
            <w:tcW w:w="794" w:type="dxa"/>
            <w:shd w:val="clear" w:color="auto" w:fill="auto"/>
          </w:tcPr>
          <w:p w14:paraId="5D72775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0.133</w:t>
            </w:r>
            <w:proofErr w:type="gramEnd"/>
          </w:p>
        </w:tc>
      </w:tr>
      <w:tr w:rsidR="006C6A19" w:rsidRPr="006C6A19" w14:paraId="3C609C38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550E3C5F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GH</w:t>
            </w:r>
          </w:p>
        </w:tc>
        <w:tc>
          <w:tcPr>
            <w:tcW w:w="1984" w:type="dxa"/>
            <w:shd w:val="clear" w:color="auto" w:fill="auto"/>
          </w:tcPr>
          <w:p w14:paraId="1E2EE4E7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74.8 (18.8–84.5)</w:t>
            </w:r>
          </w:p>
        </w:tc>
        <w:tc>
          <w:tcPr>
            <w:tcW w:w="1928" w:type="dxa"/>
            <w:shd w:val="clear" w:color="auto" w:fill="auto"/>
          </w:tcPr>
          <w:p w14:paraId="081023F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 (27.5–76.0)</w:t>
            </w:r>
          </w:p>
        </w:tc>
        <w:tc>
          <w:tcPr>
            <w:tcW w:w="794" w:type="dxa"/>
            <w:shd w:val="clear" w:color="auto" w:fill="auto"/>
          </w:tcPr>
          <w:p w14:paraId="6E40C7D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0.662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463E9E4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82 (72.0–90.0)</w:t>
            </w:r>
          </w:p>
        </w:tc>
        <w:tc>
          <w:tcPr>
            <w:tcW w:w="1984" w:type="dxa"/>
            <w:shd w:val="clear" w:color="auto" w:fill="auto"/>
          </w:tcPr>
          <w:p w14:paraId="6B49EADE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52 (37.5–62.0)</w:t>
            </w:r>
          </w:p>
        </w:tc>
        <w:tc>
          <w:tcPr>
            <w:tcW w:w="794" w:type="dxa"/>
            <w:shd w:val="clear" w:color="auto" w:fill="auto"/>
          </w:tcPr>
          <w:p w14:paraId="0DC43CE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0.002</w:t>
            </w:r>
            <w:proofErr w:type="gramEnd"/>
          </w:p>
        </w:tc>
      </w:tr>
      <w:tr w:rsidR="006C6A19" w:rsidRPr="006C6A19" w14:paraId="396CED7D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6155DC52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VT</w:t>
            </w:r>
          </w:p>
        </w:tc>
        <w:tc>
          <w:tcPr>
            <w:tcW w:w="1984" w:type="dxa"/>
            <w:shd w:val="clear" w:color="auto" w:fill="auto"/>
          </w:tcPr>
          <w:p w14:paraId="35F216AC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 (7.5–75.0)</w:t>
            </w:r>
          </w:p>
        </w:tc>
        <w:tc>
          <w:tcPr>
            <w:tcW w:w="1928" w:type="dxa"/>
            <w:shd w:val="clear" w:color="auto" w:fill="auto"/>
          </w:tcPr>
          <w:p w14:paraId="235C990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20.0 (7.5–42.5)</w:t>
            </w:r>
          </w:p>
        </w:tc>
        <w:tc>
          <w:tcPr>
            <w:tcW w:w="794" w:type="dxa"/>
            <w:shd w:val="clear" w:color="auto" w:fill="auto"/>
          </w:tcPr>
          <w:p w14:paraId="32669102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0.329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23D5C4CF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70 (50.0–80.0)</w:t>
            </w:r>
          </w:p>
        </w:tc>
        <w:tc>
          <w:tcPr>
            <w:tcW w:w="1984" w:type="dxa"/>
            <w:shd w:val="clear" w:color="auto" w:fill="auto"/>
          </w:tcPr>
          <w:p w14:paraId="5AEBECD3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 (40.0–65.0)</w:t>
            </w:r>
          </w:p>
        </w:tc>
        <w:tc>
          <w:tcPr>
            <w:tcW w:w="794" w:type="dxa"/>
            <w:shd w:val="clear" w:color="auto" w:fill="auto"/>
          </w:tcPr>
          <w:p w14:paraId="27E93A43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0.065</w:t>
            </w:r>
            <w:proofErr w:type="gramEnd"/>
          </w:p>
        </w:tc>
      </w:tr>
      <w:tr w:rsidR="006C6A19" w:rsidRPr="006C6A19" w14:paraId="192E46CF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22DFA363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SF</w:t>
            </w:r>
          </w:p>
        </w:tc>
        <w:tc>
          <w:tcPr>
            <w:tcW w:w="1984" w:type="dxa"/>
            <w:shd w:val="clear" w:color="auto" w:fill="auto"/>
          </w:tcPr>
          <w:p w14:paraId="788BD1AC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87.5 (71.9–100.0)</w:t>
            </w:r>
          </w:p>
        </w:tc>
        <w:tc>
          <w:tcPr>
            <w:tcW w:w="1928" w:type="dxa"/>
            <w:shd w:val="clear" w:color="auto" w:fill="auto"/>
          </w:tcPr>
          <w:p w14:paraId="26F7A2F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75 (62.5–100.0)</w:t>
            </w:r>
          </w:p>
        </w:tc>
        <w:tc>
          <w:tcPr>
            <w:tcW w:w="794" w:type="dxa"/>
            <w:shd w:val="clear" w:color="auto" w:fill="auto"/>
          </w:tcPr>
          <w:p w14:paraId="0534357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0.792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3EF35472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(62.5–100.0)</w:t>
            </w:r>
          </w:p>
        </w:tc>
        <w:tc>
          <w:tcPr>
            <w:tcW w:w="1984" w:type="dxa"/>
            <w:shd w:val="clear" w:color="auto" w:fill="auto"/>
          </w:tcPr>
          <w:p w14:paraId="17FB60D3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87.5 (50.0–100.0)</w:t>
            </w:r>
          </w:p>
        </w:tc>
        <w:tc>
          <w:tcPr>
            <w:tcW w:w="794" w:type="dxa"/>
            <w:shd w:val="clear" w:color="auto" w:fill="auto"/>
          </w:tcPr>
          <w:p w14:paraId="21BE361A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0.401</w:t>
            </w:r>
            <w:proofErr w:type="gramEnd"/>
          </w:p>
        </w:tc>
      </w:tr>
      <w:tr w:rsidR="006C6A19" w:rsidRPr="006C6A19" w14:paraId="1EB90C31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1F5F31FE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RE</w:t>
            </w:r>
          </w:p>
        </w:tc>
        <w:tc>
          <w:tcPr>
            <w:tcW w:w="1984" w:type="dxa"/>
            <w:shd w:val="clear" w:color="auto" w:fill="auto"/>
          </w:tcPr>
          <w:p w14:paraId="220D98FE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(66.7–100.0)</w:t>
            </w:r>
          </w:p>
        </w:tc>
        <w:tc>
          <w:tcPr>
            <w:tcW w:w="1928" w:type="dxa"/>
            <w:shd w:val="clear" w:color="auto" w:fill="auto"/>
          </w:tcPr>
          <w:p w14:paraId="7EB3193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(33.3–100.0)</w:t>
            </w:r>
          </w:p>
        </w:tc>
        <w:tc>
          <w:tcPr>
            <w:tcW w:w="794" w:type="dxa"/>
            <w:shd w:val="clear" w:color="auto" w:fill="auto"/>
          </w:tcPr>
          <w:p w14:paraId="37DA739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0.662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529185B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(33.3–100.0)</w:t>
            </w:r>
          </w:p>
        </w:tc>
        <w:tc>
          <w:tcPr>
            <w:tcW w:w="1984" w:type="dxa"/>
            <w:shd w:val="clear" w:color="auto" w:fill="auto"/>
          </w:tcPr>
          <w:p w14:paraId="33C425E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100 (66.7–100.0)</w:t>
            </w:r>
          </w:p>
        </w:tc>
        <w:tc>
          <w:tcPr>
            <w:tcW w:w="794" w:type="dxa"/>
            <w:shd w:val="clear" w:color="auto" w:fill="auto"/>
          </w:tcPr>
          <w:p w14:paraId="06EF205C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1.000</w:t>
            </w:r>
            <w:proofErr w:type="gramEnd"/>
          </w:p>
        </w:tc>
      </w:tr>
      <w:tr w:rsidR="006C6A19" w:rsidRPr="006C6A19" w14:paraId="1DE1D429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3C157211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984" w:type="dxa"/>
            <w:shd w:val="clear" w:color="auto" w:fill="auto"/>
          </w:tcPr>
          <w:p w14:paraId="1DC5CDD8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78 (63.5–83.0)</w:t>
            </w:r>
          </w:p>
        </w:tc>
        <w:tc>
          <w:tcPr>
            <w:tcW w:w="1928" w:type="dxa"/>
            <w:shd w:val="clear" w:color="auto" w:fill="auto"/>
          </w:tcPr>
          <w:p w14:paraId="48769EE0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64 (60.0–80.0)</w:t>
            </w:r>
          </w:p>
        </w:tc>
        <w:tc>
          <w:tcPr>
            <w:tcW w:w="794" w:type="dxa"/>
            <w:shd w:val="clear" w:color="auto" w:fill="auto"/>
          </w:tcPr>
          <w:p w14:paraId="09B9D530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0.537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393455CC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80 (56.0–92.0)</w:t>
            </w:r>
          </w:p>
        </w:tc>
        <w:tc>
          <w:tcPr>
            <w:tcW w:w="1984" w:type="dxa"/>
            <w:shd w:val="clear" w:color="auto" w:fill="auto"/>
          </w:tcPr>
          <w:p w14:paraId="27CC5844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72 (68.0–88.0)</w:t>
            </w:r>
          </w:p>
        </w:tc>
        <w:tc>
          <w:tcPr>
            <w:tcW w:w="794" w:type="dxa"/>
            <w:shd w:val="clear" w:color="auto" w:fill="auto"/>
          </w:tcPr>
          <w:p w14:paraId="6562E46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0.217</w:t>
            </w:r>
            <w:proofErr w:type="gramEnd"/>
          </w:p>
        </w:tc>
      </w:tr>
      <w:tr w:rsidR="006C6A19" w:rsidRPr="006C6A19" w14:paraId="387029A7" w14:textId="77777777" w:rsidTr="0053638D">
        <w:trPr>
          <w:trHeight w:val="300"/>
        </w:trPr>
        <w:tc>
          <w:tcPr>
            <w:tcW w:w="851" w:type="dxa"/>
            <w:shd w:val="clear" w:color="auto" w:fill="auto"/>
          </w:tcPr>
          <w:p w14:paraId="7B94E2F6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PCS</w:t>
            </w:r>
          </w:p>
        </w:tc>
        <w:tc>
          <w:tcPr>
            <w:tcW w:w="1984" w:type="dxa"/>
            <w:shd w:val="clear" w:color="auto" w:fill="auto"/>
          </w:tcPr>
          <w:p w14:paraId="19D3EECE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53.3 (45.5–55.8)</w:t>
            </w:r>
          </w:p>
        </w:tc>
        <w:tc>
          <w:tcPr>
            <w:tcW w:w="1928" w:type="dxa"/>
            <w:shd w:val="clear" w:color="auto" w:fill="auto"/>
          </w:tcPr>
          <w:p w14:paraId="727D1CFD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 (29.7–47.4)</w:t>
            </w:r>
          </w:p>
        </w:tc>
        <w:tc>
          <w:tcPr>
            <w:tcW w:w="794" w:type="dxa"/>
            <w:shd w:val="clear" w:color="auto" w:fill="auto"/>
          </w:tcPr>
          <w:p w14:paraId="44CE130A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0.082</w:t>
            </w:r>
            <w:proofErr w:type="gramEnd"/>
          </w:p>
        </w:tc>
        <w:tc>
          <w:tcPr>
            <w:tcW w:w="2041" w:type="dxa"/>
            <w:shd w:val="clear" w:color="auto" w:fill="auto"/>
          </w:tcPr>
          <w:p w14:paraId="30BD4DA9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55.2 (54.0–57.0)</w:t>
            </w:r>
          </w:p>
        </w:tc>
        <w:tc>
          <w:tcPr>
            <w:tcW w:w="1984" w:type="dxa"/>
            <w:shd w:val="clear" w:color="auto" w:fill="auto"/>
          </w:tcPr>
          <w:p w14:paraId="69591CDE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46.9 (31.7–52.5)</w:t>
            </w:r>
          </w:p>
        </w:tc>
        <w:tc>
          <w:tcPr>
            <w:tcW w:w="794" w:type="dxa"/>
            <w:shd w:val="clear" w:color="auto" w:fill="auto"/>
          </w:tcPr>
          <w:p w14:paraId="1AB54DA3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0.007</w:t>
            </w:r>
            <w:proofErr w:type="gramEnd"/>
          </w:p>
        </w:tc>
      </w:tr>
      <w:tr w:rsidR="006C6A19" w:rsidRPr="006C6A19" w14:paraId="1352E192" w14:textId="77777777" w:rsidTr="0053638D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1FAB16D" w14:textId="77777777" w:rsidR="006C6A19" w:rsidRPr="006C6A19" w:rsidRDefault="006C6A19" w:rsidP="0053638D">
            <w:pPr>
              <w:spacing w:line="48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MCS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75808F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48.8 (36.9–51.8)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</w:tcPr>
          <w:p w14:paraId="3BD1BF3F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48.1 (31.8–52.1)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78A2B0C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0.931</w:t>
            </w:r>
            <w:proofErr w:type="gramEnd"/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14:paraId="146564F1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45.6 (39.4–54.6)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0DE3B82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48.7 (36.4–53.0)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89DA86B" w14:textId="77777777" w:rsidR="006C6A19" w:rsidRPr="006C6A19" w:rsidRDefault="006C6A19" w:rsidP="0053638D">
            <w:pPr>
              <w:spacing w:line="48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gramStart"/>
            <w:r w:rsidRPr="006C6A1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0.898</w:t>
            </w:r>
            <w:proofErr w:type="gramEnd"/>
          </w:p>
        </w:tc>
      </w:tr>
    </w:tbl>
    <w:p w14:paraId="6DA46990" w14:textId="77777777" w:rsidR="006C6A19" w:rsidRPr="006C6A19" w:rsidRDefault="006C6A19" w:rsidP="006C6A1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Data are median (interquartile range, 25th-75th percentile). MFS, </w:t>
      </w:r>
      <w:proofErr w:type="spellStart"/>
      <w:r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Marfan</w:t>
      </w:r>
      <w:proofErr w:type="spellEnd"/>
      <w:r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syndrome; SF-36, 36-item Short-form Health Survey; PF, Physical Functioning; RP, Role-Physical; BP, Bodily Pain; GH, General Health; VT, Vitality; SF, Social Functioning; RE, Role-Emotional; M, Mental Health; PCS, Physical Component Summary; MCS, Mental Component Summary. </w:t>
      </w:r>
    </w:p>
    <w:p w14:paraId="5772BD1C" w14:textId="77777777" w:rsidR="006C6A19" w:rsidRPr="006C6A19" w:rsidRDefault="006C6A19" w:rsidP="006C6A1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C6A1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Bold p-value, </w:t>
      </w:r>
      <w:r w:rsidRPr="006C6A1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statistically significant with Mann-Whitney U-test </w:t>
      </w:r>
    </w:p>
    <w:p w14:paraId="67CDC87D" w14:textId="77777777" w:rsidR="006C6A19" w:rsidRPr="006C6A19" w:rsidRDefault="006C6A19" w:rsidP="006C6A19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916423" w14:textId="77777777" w:rsidR="006C6A19" w:rsidRPr="006C6A19" w:rsidRDefault="006C6A19" w:rsidP="006C6A1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0BB6ECD" w14:textId="77777777" w:rsidR="006C6A19" w:rsidRDefault="006C6A19" w:rsidP="006C6A19">
      <w:pPr>
        <w:spacing w:after="0" w:line="360" w:lineRule="auto"/>
        <w:rPr>
          <w:b/>
          <w:bCs/>
          <w:sz w:val="36"/>
          <w:szCs w:val="36"/>
          <w:lang w:val="en-US"/>
        </w:rPr>
      </w:pPr>
    </w:p>
    <w:p w14:paraId="3173DD3D" w14:textId="44FB3611" w:rsidR="006C6A19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7455F9E6" w14:textId="77777777" w:rsidR="006C6A19" w:rsidRPr="004E5957" w:rsidRDefault="006C6A1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61D50B26" w14:textId="6B230F9C" w:rsidR="00E71A99" w:rsidRPr="00E71A99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5A8CB02E" wp14:editId="473BF501">
            <wp:extent cx="5731510" cy="2974340"/>
            <wp:effectExtent l="0" t="0" r="0" b="0"/>
            <wp:docPr id="320025106" name="Picture 320025106" descr="A graph of different men and wom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71100" name="Picture 3" descr="A graph of different men and wom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99090" w14:textId="39BA949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Supplementary Figure </w:t>
      </w:r>
      <w:r w:rsidR="00417E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</w:t>
      </w: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1. </w:t>
      </w: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Bar chart of percentage difference between women and men with MFS and healthy reference values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00CBC367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SF-36, 36-item Short-form Health Survey; PF, Physical Functioning; RP, Role-Physical; BP, Bodily Pain; GH, General Health; VT, Vitality; SF, Social Functioning; RE, Role-Emotional; MH, Mental Health.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2413E6CA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2A8998D8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7BB9640E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12405D85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4A506CE4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0A6E3BCD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41F8DA33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02D7AF3F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276AB9C3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44653852" w14:textId="7777777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6526F733" w14:textId="6C239097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</w:p>
    <w:p w14:paraId="5054B388" w14:textId="77777777" w:rsidR="00F60B20" w:rsidRDefault="00F60B20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0F389E0A" w14:textId="41F0B227" w:rsidR="00F60B20" w:rsidRDefault="00F60B20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F60B20">
        <w:rPr>
          <w:noProof/>
        </w:rPr>
        <w:lastRenderedPageBreak/>
        <w:drawing>
          <wp:inline distT="0" distB="0" distL="0" distR="0" wp14:anchorId="0E1B0153" wp14:editId="2BCE1BBD">
            <wp:extent cx="5731510" cy="380831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54F1" w14:textId="38289883" w:rsidR="00E71A99" w:rsidRPr="004E5957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Supplementary Figure </w:t>
      </w:r>
      <w:r w:rsidR="00417E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</w:t>
      </w:r>
      <w:r w:rsidRPr="00E71A9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2.</w:t>
      </w:r>
      <w:r w:rsidRPr="00E71A9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/>
        </w:rPr>
        <w:t xml:space="preserve"> </w:t>
      </w: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Cumulative distribution of VT subscale (1.0=reference value) for women and men versus healthy reference values</w:t>
      </w:r>
      <w:r w:rsidRPr="004E5957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14:paraId="79556D3A" w14:textId="77777777" w:rsidR="00E71A99" w:rsidRPr="00E71A99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E71A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VT, Vitality.</w:t>
      </w:r>
      <w:r w:rsidRPr="00E71A9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D4C3571" w14:textId="77777777" w:rsidR="00E71A99" w:rsidRPr="00E71A99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E71A9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4FAB1521" w14:textId="77777777" w:rsidR="00E71A99" w:rsidRPr="00E71A99" w:rsidRDefault="00E71A99" w:rsidP="00E71A99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E71A9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329033B" w14:textId="77777777" w:rsidR="00E71A99" w:rsidRPr="00E71A99" w:rsidRDefault="00E71A99" w:rsidP="009D385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47DC9B33" w14:textId="77777777" w:rsidR="00E71A99" w:rsidRDefault="00E71A99" w:rsidP="009D385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F9A9A8B" w14:textId="204BC9EE" w:rsidR="00596E0C" w:rsidRDefault="00596E0C" w:rsidP="009D385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68E6DBB" w14:textId="77777777" w:rsidR="00E71A99" w:rsidRDefault="00E71A99" w:rsidP="009D385F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6D5025C4" w14:textId="77777777" w:rsidR="009B19C7" w:rsidRPr="00965398" w:rsidRDefault="009B19C7" w:rsidP="009B19C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C5D01B" w14:textId="77777777" w:rsidR="009B19C7" w:rsidRPr="00965398" w:rsidRDefault="009B19C7" w:rsidP="009B19C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8C0DDA6" w14:textId="77777777" w:rsidR="009B19C7" w:rsidRPr="00965398" w:rsidRDefault="009B19C7" w:rsidP="00D617F3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8E96DDC" w14:textId="77777777" w:rsidR="00D617F3" w:rsidRPr="00965398" w:rsidRDefault="00D617F3" w:rsidP="00065BFA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sectPr w:rsidR="00D617F3" w:rsidRPr="00965398"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34DA" w14:textId="77777777" w:rsidR="00FA06AE" w:rsidRDefault="00FA06AE" w:rsidP="00FA06AE">
      <w:pPr>
        <w:spacing w:after="0" w:line="240" w:lineRule="auto"/>
      </w:pPr>
      <w:r>
        <w:separator/>
      </w:r>
    </w:p>
  </w:endnote>
  <w:endnote w:type="continuationSeparator" w:id="0">
    <w:p w14:paraId="0A9BA10E" w14:textId="77777777" w:rsidR="00FA06AE" w:rsidRDefault="00FA06AE" w:rsidP="00FA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6353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FD9C87" w14:textId="06016EA1" w:rsidR="00FA06AE" w:rsidRPr="00FA06AE" w:rsidRDefault="00FA06AE">
        <w:pPr>
          <w:pStyle w:val="Sidfot"/>
          <w:jc w:val="right"/>
          <w:rPr>
            <w:rFonts w:ascii="Times New Roman" w:hAnsi="Times New Roman" w:cs="Times New Roman"/>
          </w:rPr>
        </w:pPr>
        <w:r w:rsidRPr="00FA06AE">
          <w:rPr>
            <w:rFonts w:ascii="Times New Roman" w:hAnsi="Times New Roman" w:cs="Times New Roman"/>
          </w:rPr>
          <w:fldChar w:fldCharType="begin"/>
        </w:r>
        <w:r w:rsidRPr="00FA06AE">
          <w:rPr>
            <w:rFonts w:ascii="Times New Roman" w:hAnsi="Times New Roman" w:cs="Times New Roman"/>
          </w:rPr>
          <w:instrText>PAGE   \* MERGEFORMAT</w:instrText>
        </w:r>
        <w:r w:rsidRPr="00FA06AE">
          <w:rPr>
            <w:rFonts w:ascii="Times New Roman" w:hAnsi="Times New Roman" w:cs="Times New Roman"/>
          </w:rPr>
          <w:fldChar w:fldCharType="separate"/>
        </w:r>
        <w:r w:rsidRPr="00FA06AE">
          <w:rPr>
            <w:rFonts w:ascii="Times New Roman" w:hAnsi="Times New Roman" w:cs="Times New Roman"/>
          </w:rPr>
          <w:t>2</w:t>
        </w:r>
        <w:r w:rsidRPr="00FA06AE">
          <w:rPr>
            <w:rFonts w:ascii="Times New Roman" w:hAnsi="Times New Roman" w:cs="Times New Roman"/>
          </w:rPr>
          <w:fldChar w:fldCharType="end"/>
        </w:r>
      </w:p>
    </w:sdtContent>
  </w:sdt>
  <w:p w14:paraId="08F8BCF8" w14:textId="77777777" w:rsidR="00FA06AE" w:rsidRDefault="00FA06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1E4B9" w14:textId="77777777" w:rsidR="00FA06AE" w:rsidRDefault="00FA06AE" w:rsidP="00FA06AE">
      <w:pPr>
        <w:spacing w:after="0" w:line="240" w:lineRule="auto"/>
      </w:pPr>
      <w:r>
        <w:separator/>
      </w:r>
    </w:p>
  </w:footnote>
  <w:footnote w:type="continuationSeparator" w:id="0">
    <w:p w14:paraId="6D93C333" w14:textId="77777777" w:rsidR="00FA06AE" w:rsidRDefault="00FA06AE" w:rsidP="00FA0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E6586"/>
    <w:multiLevelType w:val="hybridMultilevel"/>
    <w:tmpl w:val="B2E21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004340"/>
    <w:rsid w:val="00020F2B"/>
    <w:rsid w:val="00065BFA"/>
    <w:rsid w:val="0006783B"/>
    <w:rsid w:val="00075112"/>
    <w:rsid w:val="000C22B1"/>
    <w:rsid w:val="000D4658"/>
    <w:rsid w:val="001602C8"/>
    <w:rsid w:val="00161BF5"/>
    <w:rsid w:val="0016497F"/>
    <w:rsid w:val="00181231"/>
    <w:rsid w:val="001A5EC8"/>
    <w:rsid w:val="001E30D9"/>
    <w:rsid w:val="002A3E81"/>
    <w:rsid w:val="002B77CF"/>
    <w:rsid w:val="003617C7"/>
    <w:rsid w:val="00417E33"/>
    <w:rsid w:val="00474867"/>
    <w:rsid w:val="00491D92"/>
    <w:rsid w:val="004E5957"/>
    <w:rsid w:val="004F2372"/>
    <w:rsid w:val="004F5B33"/>
    <w:rsid w:val="00547344"/>
    <w:rsid w:val="00596E0C"/>
    <w:rsid w:val="005B7E78"/>
    <w:rsid w:val="0063685E"/>
    <w:rsid w:val="00661EF7"/>
    <w:rsid w:val="006C6A19"/>
    <w:rsid w:val="007D1AD3"/>
    <w:rsid w:val="007D593D"/>
    <w:rsid w:val="00842842"/>
    <w:rsid w:val="008C3919"/>
    <w:rsid w:val="00965398"/>
    <w:rsid w:val="0099637B"/>
    <w:rsid w:val="009B0196"/>
    <w:rsid w:val="009B19C7"/>
    <w:rsid w:val="009D12FE"/>
    <w:rsid w:val="009D385F"/>
    <w:rsid w:val="00A11C9F"/>
    <w:rsid w:val="00A33E3E"/>
    <w:rsid w:val="00A5515D"/>
    <w:rsid w:val="00A60BCD"/>
    <w:rsid w:val="00A7420A"/>
    <w:rsid w:val="00AC66CE"/>
    <w:rsid w:val="00AE5E2A"/>
    <w:rsid w:val="00B3158D"/>
    <w:rsid w:val="00C422F7"/>
    <w:rsid w:val="00C547E7"/>
    <w:rsid w:val="00C6303F"/>
    <w:rsid w:val="00C8367B"/>
    <w:rsid w:val="00CA5A50"/>
    <w:rsid w:val="00CF76C0"/>
    <w:rsid w:val="00D617F3"/>
    <w:rsid w:val="00DF1D54"/>
    <w:rsid w:val="00E62C8D"/>
    <w:rsid w:val="00E71A99"/>
    <w:rsid w:val="00F457B7"/>
    <w:rsid w:val="00F57C61"/>
    <w:rsid w:val="00F60B20"/>
    <w:rsid w:val="00FA06AE"/>
    <w:rsid w:val="00FD3934"/>
    <w:rsid w:val="5EE6A836"/>
    <w:rsid w:val="63F47967"/>
    <w:rsid w:val="6C00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4340"/>
  <w15:chartTrackingRefBased/>
  <w15:docId w15:val="{D4C4EA48-6180-45C4-8D23-56ECAE7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065BFA"/>
  </w:style>
  <w:style w:type="table" w:styleId="Tabellrutnt">
    <w:name w:val="Table Grid"/>
    <w:basedOn w:val="Normaltabell"/>
    <w:uiPriority w:val="39"/>
    <w:rsid w:val="009B1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rdstycketeckensnitt"/>
    <w:rsid w:val="009B19C7"/>
  </w:style>
  <w:style w:type="paragraph" w:styleId="Liststycke">
    <w:name w:val="List Paragraph"/>
    <w:basedOn w:val="Normal"/>
    <w:uiPriority w:val="34"/>
    <w:qFormat/>
    <w:rsid w:val="005B7E78"/>
    <w:pPr>
      <w:ind w:left="720"/>
      <w:contextualSpacing/>
    </w:pPr>
  </w:style>
  <w:style w:type="paragraph" w:customStyle="1" w:styleId="paragraph">
    <w:name w:val="paragraph"/>
    <w:basedOn w:val="Normal"/>
    <w:rsid w:val="00E7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idhuvud">
    <w:name w:val="header"/>
    <w:basedOn w:val="Normal"/>
    <w:link w:val="SidhuvudChar"/>
    <w:uiPriority w:val="99"/>
    <w:unhideWhenUsed/>
    <w:rsid w:val="00FA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A06AE"/>
  </w:style>
  <w:style w:type="paragraph" w:styleId="Sidfot">
    <w:name w:val="footer"/>
    <w:basedOn w:val="Normal"/>
    <w:link w:val="SidfotChar"/>
    <w:uiPriority w:val="99"/>
    <w:unhideWhenUsed/>
    <w:rsid w:val="00FA0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0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52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3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3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0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1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499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Stanek Sörner</dc:creator>
  <cp:keywords/>
  <dc:description/>
  <cp:lastModifiedBy>Linda Ashman Kröönström</cp:lastModifiedBy>
  <cp:revision>20</cp:revision>
  <dcterms:created xsi:type="dcterms:W3CDTF">2023-09-28T17:59:00Z</dcterms:created>
  <dcterms:modified xsi:type="dcterms:W3CDTF">2024-04-09T16:47:00Z</dcterms:modified>
</cp:coreProperties>
</file>