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C5E" w:rsidRPr="00016E1E" w:rsidRDefault="00982C5E" w:rsidP="00982C5E">
      <w:pPr>
        <w:pStyle w:val="Geenafstand"/>
        <w:spacing w:line="480" w:lineRule="auto"/>
        <w:rPr>
          <w:rFonts w:cstheme="minorHAnsi"/>
          <w:b/>
          <w:sz w:val="20"/>
          <w:szCs w:val="20"/>
          <w:lang w:val="en-US"/>
        </w:rPr>
      </w:pPr>
      <w:bookmarkStart w:id="0" w:name="_GoBack"/>
      <w:r w:rsidRPr="00016E1E">
        <w:rPr>
          <w:rFonts w:cstheme="minorHAnsi"/>
          <w:b/>
          <w:sz w:val="20"/>
          <w:szCs w:val="20"/>
          <w:lang w:val="en-US"/>
        </w:rPr>
        <w:t>Supplementary material</w:t>
      </w:r>
    </w:p>
    <w:p w:rsidR="00982C5E" w:rsidRPr="00016E1E" w:rsidRDefault="00982C5E" w:rsidP="008C70D6">
      <w:pPr>
        <w:spacing w:line="480" w:lineRule="auto"/>
        <w:rPr>
          <w:rFonts w:cstheme="minorHAnsi"/>
          <w:b/>
          <w:sz w:val="20"/>
          <w:szCs w:val="20"/>
          <w:lang w:val="en-US"/>
        </w:rPr>
      </w:pPr>
      <w:r w:rsidRPr="00016E1E">
        <w:rPr>
          <w:rFonts w:cstheme="minorHAnsi"/>
          <w:b/>
          <w:sz w:val="20"/>
          <w:szCs w:val="20"/>
          <w:lang w:val="en-US"/>
        </w:rPr>
        <w:t xml:space="preserve">Table S1. </w:t>
      </w:r>
      <w:r w:rsidRPr="00016E1E">
        <w:rPr>
          <w:rFonts w:cstheme="minorHAnsi"/>
          <w:sz w:val="20"/>
          <w:szCs w:val="20"/>
          <w:lang w:val="en-US"/>
        </w:rPr>
        <w:t>Patient characteristics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21"/>
        <w:gridCol w:w="2114"/>
        <w:gridCol w:w="2627"/>
      </w:tblGrid>
      <w:tr w:rsidR="00982C5E" w:rsidRPr="00B450D3" w:rsidTr="00B85E99">
        <w:tc>
          <w:tcPr>
            <w:tcW w:w="0" w:type="auto"/>
            <w:shd w:val="clear" w:color="auto" w:fill="BFBFBF" w:themeFill="background1" w:themeFillShade="BF"/>
          </w:tcPr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982C5E" w:rsidRPr="00C57CAE" w:rsidRDefault="00982C5E" w:rsidP="00B85E99">
            <w:pPr>
              <w:pStyle w:val="Geenafstand"/>
              <w:spacing w:line="48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b/>
                <w:sz w:val="18"/>
                <w:szCs w:val="18"/>
                <w:lang w:val="en-US"/>
              </w:rPr>
              <w:t>MIS-</w:t>
            </w:r>
            <w:proofErr w:type="spellStart"/>
            <w:r w:rsidRPr="00C57CAE">
              <w:rPr>
                <w:rFonts w:cstheme="minorHAnsi"/>
                <w:b/>
                <w:sz w:val="18"/>
                <w:szCs w:val="18"/>
                <w:lang w:val="en-US"/>
              </w:rPr>
              <w:t>C</w:t>
            </w:r>
            <w:r w:rsidRPr="00C57CAE">
              <w:rPr>
                <w:rFonts w:cstheme="minorHAnsi"/>
                <w:b/>
                <w:sz w:val="18"/>
                <w:szCs w:val="18"/>
                <w:vertAlign w:val="superscript"/>
                <w:lang w:val="en-US"/>
              </w:rPr>
              <w:t>b</w:t>
            </w:r>
            <w:proofErr w:type="spellEnd"/>
            <w:r w:rsidRPr="00C57CAE">
              <w:rPr>
                <w:rFonts w:cstheme="minorHAnsi"/>
                <w:b/>
                <w:sz w:val="18"/>
                <w:szCs w:val="18"/>
                <w:lang w:val="en-US"/>
              </w:rPr>
              <w:t xml:space="preserve"> (n = 48)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982C5E" w:rsidRPr="00C57CAE" w:rsidRDefault="00982C5E" w:rsidP="00B85E99">
            <w:pPr>
              <w:pStyle w:val="Geenafstand"/>
              <w:spacing w:line="48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b/>
                <w:sz w:val="18"/>
                <w:szCs w:val="18"/>
                <w:lang w:val="en-US"/>
              </w:rPr>
              <w:t>Normal range laboratory values</w:t>
            </w:r>
          </w:p>
        </w:tc>
      </w:tr>
      <w:tr w:rsidR="00982C5E" w:rsidRPr="00B450D3" w:rsidTr="00B85E99"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Age at diagnosis (years)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11.9 (6.9-14.5)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Sex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Female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Male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20 (41.7%)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28 (58.3%)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vertAlign w:val="superscript"/>
                <w:lang w:val="en-US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Symptoms</w:t>
            </w:r>
            <w:r w:rsidRPr="00C57CAE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vertAlign w:val="superscript"/>
                <w:lang w:val="en-US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Fever</w:t>
            </w:r>
            <w:r w:rsidRPr="00C57CAE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c</w:t>
            </w:r>
            <w:proofErr w:type="spellEnd"/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Rash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Conjunctivitis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Oral changes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Cervical lymphadenopathy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vertAlign w:val="superscript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Changes of the 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extremities</w:t>
            </w:r>
            <w:r w:rsidRPr="00C57CAE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Respiratory symptoms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Gastro-intestinal symptoms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Neurological symptoms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48 (100%)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29 (60.4%)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34 (70.8%)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28 (58.3%)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24 (50.0%)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21 (43.8%)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12 (25.0%)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44 (91.7%)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27 (56.3%)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Complete KD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32 (66.7%)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Complications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vertAlign w:val="superscript"/>
                <w:lang w:val="en-US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Shock</w:t>
            </w:r>
            <w:r w:rsidRPr="00C57CAE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d</w:t>
            </w:r>
            <w:proofErr w:type="spellEnd"/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O2 therapy required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High flow O2 therapy required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Consolidations chest radiography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Acute kidney injury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Appendectomy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28 (58.3%)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6 (12.5%)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10 (20.8%)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11 (22.9%)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13 (27.1%)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3 (6.3%) 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Laboratory findings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CRP (mg/L)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Leukocytes (x109/L)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Thrombocytes (x109/L)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Hemoglobin (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mmol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>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Albumin (g/L)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</w:rPr>
            </w:pPr>
            <w:r w:rsidRPr="00C57CAE">
              <w:rPr>
                <w:rFonts w:cstheme="minorHAnsi"/>
                <w:sz w:val="18"/>
                <w:szCs w:val="18"/>
              </w:rPr>
              <w:lastRenderedPageBreak/>
              <w:t>ASAT (U/L)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</w:rPr>
            </w:pPr>
            <w:r w:rsidRPr="00C57CAE">
              <w:rPr>
                <w:rFonts w:cstheme="minorHAnsi"/>
                <w:sz w:val="18"/>
                <w:szCs w:val="18"/>
              </w:rPr>
              <w:t>ALAT (U/L)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</w:rPr>
            </w:pPr>
            <w:r w:rsidRPr="00C57CAE">
              <w:rPr>
                <w:rFonts w:cstheme="minorHAnsi"/>
                <w:sz w:val="18"/>
                <w:szCs w:val="18"/>
              </w:rPr>
              <w:t>BSE (mm/U)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</w:rPr>
            </w:pPr>
            <w:r w:rsidRPr="00C57CAE">
              <w:rPr>
                <w:rFonts w:cstheme="minorHAnsi"/>
                <w:sz w:val="18"/>
                <w:szCs w:val="18"/>
              </w:rPr>
              <w:t>NT-pro-BNP (</w:t>
            </w:r>
            <w:proofErr w:type="spellStart"/>
            <w:r w:rsidRPr="00C57CAE">
              <w:rPr>
                <w:rFonts w:cstheme="minorHAnsi"/>
                <w:sz w:val="18"/>
                <w:szCs w:val="18"/>
              </w:rPr>
              <w:t>ng</w:t>
            </w:r>
            <w:proofErr w:type="spellEnd"/>
            <w:r w:rsidRPr="00C57CAE">
              <w:rPr>
                <w:rFonts w:cstheme="minorHAnsi"/>
                <w:sz w:val="18"/>
                <w:szCs w:val="18"/>
              </w:rPr>
              <w:t>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</w:rPr>
              <w:t>Troponin</w:t>
            </w:r>
            <w:proofErr w:type="spellEnd"/>
            <w:r w:rsidRPr="00C57CAE">
              <w:rPr>
                <w:rFonts w:cstheme="minorHAnsi"/>
                <w:sz w:val="18"/>
                <w:szCs w:val="18"/>
              </w:rPr>
              <w:t xml:space="preserve"> T (</w:t>
            </w:r>
            <w:proofErr w:type="spellStart"/>
            <w:r w:rsidRPr="00C57CAE">
              <w:rPr>
                <w:rFonts w:cstheme="minorHAnsi"/>
                <w:sz w:val="18"/>
                <w:szCs w:val="18"/>
              </w:rPr>
              <w:t>ng</w:t>
            </w:r>
            <w:proofErr w:type="spellEnd"/>
            <w:r w:rsidRPr="00C57CAE">
              <w:rPr>
                <w:rFonts w:cstheme="minorHAnsi"/>
                <w:sz w:val="18"/>
                <w:szCs w:val="18"/>
              </w:rPr>
              <w:t>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Urea (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mmol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>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Creatinin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 (µ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mol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>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Sodium (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mmol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>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Potassium (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mmol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>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Neutrophils (x109/L)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Lymphocytes (x109/L)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Triglycerides (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mmol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>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</w:rPr>
            </w:pPr>
            <w:r w:rsidRPr="00C57CAE">
              <w:rPr>
                <w:rFonts w:cstheme="minorHAnsi"/>
                <w:sz w:val="18"/>
                <w:szCs w:val="18"/>
              </w:rPr>
              <w:t>D-</w:t>
            </w:r>
            <w:proofErr w:type="spellStart"/>
            <w:r w:rsidRPr="00C57CAE">
              <w:rPr>
                <w:rFonts w:cstheme="minorHAnsi"/>
                <w:sz w:val="18"/>
                <w:szCs w:val="18"/>
              </w:rPr>
              <w:t>dimer</w:t>
            </w:r>
            <w:proofErr w:type="spellEnd"/>
            <w:r w:rsidRPr="00C57CAE">
              <w:rPr>
                <w:rFonts w:cstheme="minorHAnsi"/>
                <w:sz w:val="18"/>
                <w:szCs w:val="18"/>
              </w:rPr>
              <w:t xml:space="preserve"> (mg/L)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</w:rPr>
              <w:t>Fibrinogen</w:t>
            </w:r>
            <w:proofErr w:type="spellEnd"/>
            <w:r w:rsidRPr="00C57CAE">
              <w:rPr>
                <w:rFonts w:cstheme="minorHAnsi"/>
                <w:sz w:val="18"/>
                <w:szCs w:val="18"/>
              </w:rPr>
              <w:t xml:space="preserve"> (g/L)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Ferritin (µ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mol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>/L)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187.9 (134.0-270.0)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16.8 (11.7-22.3)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348.5 (207.5-541.0)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6.5 (5.7-7.2)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28.5 (25.0-36.0)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lastRenderedPageBreak/>
              <w:t>39.0 (28.0-58.0)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30.0 (19.0-54.5)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57.0 (33.5-109.0)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4299.5 (1942.0-12064.3)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62.0 (15.0-101.5)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7.5 (4.8-10.3)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50.5 (34.0-63.5)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131.0 (128.0-134.0)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3.8 (3.3-4.5)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11.2 (7.7-15.8)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1.5 (0.7-2.6)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2.0 (1.4-3.0)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2.6 (1.9-4.1)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6.9 (5.9-7.8)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750.5 (433.5-1129.8)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0.0-5.0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4.0-14.0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150.0-450.0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6.5-10.0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37.0-55.0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lastRenderedPageBreak/>
              <w:t>0.0-40.0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0.0-45.0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0.0-20.0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&lt;125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0.0-14.0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1.8-6.4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46.0-83.0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135.0-145.0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3.5-5.0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1.5-8.0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1.0-5.0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&lt;2.0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0.0-0.5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2.0-3.9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15.0-150.0</w:t>
            </w:r>
          </w:p>
        </w:tc>
      </w:tr>
      <w:tr w:rsidR="00982C5E" w:rsidRPr="00C57CAE" w:rsidTr="00B85E99"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lastRenderedPageBreak/>
              <w:t xml:space="preserve">Treatment 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IVIG 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IVIG &lt;10 days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Second dose of IVIG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Corticosteroids 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Methylprednisolone pulse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Milrinone</w:t>
            </w:r>
            <w:proofErr w:type="spellEnd"/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Noradrenaline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Anakinra</w:t>
            </w:r>
            <w:proofErr w:type="spellEnd"/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45 (93.8%)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43 (95.6%)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9 (20.0%)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39 (81.3%)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30 (62.5%)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16 (33.3%)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18 (37.5%)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8 (16.7%)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ICU admission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24 (50.0%)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Second KD-episode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0 (0%)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rPr>
                <w:rFonts w:cstheme="minorHAnsi"/>
                <w:sz w:val="18"/>
                <w:szCs w:val="18"/>
                <w:lang w:val="en-GB"/>
              </w:rPr>
            </w:pPr>
            <w:r w:rsidRPr="00C57CAE">
              <w:rPr>
                <w:rFonts w:cstheme="minorHAnsi"/>
                <w:sz w:val="18"/>
                <w:szCs w:val="18"/>
                <w:lang w:val="en-GB"/>
              </w:rPr>
              <w:t>Coronary artery aneurysms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rPr>
                <w:rFonts w:cstheme="minorHAnsi"/>
                <w:sz w:val="18"/>
                <w:szCs w:val="18"/>
                <w:lang w:val="en-GB"/>
              </w:rPr>
            </w:pPr>
            <w:r w:rsidRPr="00C57CAE">
              <w:rPr>
                <w:rFonts w:cstheme="minorHAnsi"/>
                <w:sz w:val="18"/>
                <w:szCs w:val="18"/>
                <w:lang w:val="en-GB"/>
              </w:rPr>
              <w:t>None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rPr>
                <w:rFonts w:cstheme="minorHAnsi"/>
                <w:sz w:val="18"/>
                <w:szCs w:val="18"/>
                <w:lang w:val="en-GB"/>
              </w:rPr>
            </w:pPr>
            <w:r w:rsidRPr="00C57CAE">
              <w:rPr>
                <w:rFonts w:cstheme="minorHAnsi"/>
                <w:sz w:val="18"/>
                <w:szCs w:val="18"/>
                <w:lang w:val="en-GB"/>
              </w:rPr>
              <w:t>Z score ≥2.5 to &lt;5.0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rPr>
                <w:rFonts w:cstheme="minorHAnsi"/>
                <w:sz w:val="18"/>
                <w:szCs w:val="18"/>
                <w:lang w:val="en-GB"/>
              </w:rPr>
            </w:pPr>
            <w:r w:rsidRPr="00C57CAE">
              <w:rPr>
                <w:rFonts w:cstheme="minorHAnsi"/>
                <w:sz w:val="18"/>
                <w:szCs w:val="18"/>
                <w:lang w:val="en-GB"/>
              </w:rPr>
              <w:t>Z score ≥5 to &lt;10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ind w:left="708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GB"/>
              </w:rPr>
              <w:t>Z score ≥10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42 (87.5%)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4 (8.3%)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1 (2.1%)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0 (0%)</w:t>
            </w:r>
          </w:p>
        </w:tc>
        <w:tc>
          <w:tcPr>
            <w:tcW w:w="0" w:type="auto"/>
          </w:tcPr>
          <w:p w:rsidR="00982C5E" w:rsidRPr="00C57CAE" w:rsidRDefault="00982C5E" w:rsidP="00B85E99">
            <w:pPr>
              <w:pStyle w:val="Geenafstand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8C70D6" w:rsidTr="00B85E99">
        <w:tc>
          <w:tcPr>
            <w:tcW w:w="0" w:type="auto"/>
            <w:gridSpan w:val="3"/>
          </w:tcPr>
          <w:p w:rsidR="00982C5E" w:rsidRPr="00C57CAE" w:rsidRDefault="00982C5E" w:rsidP="00B85E99">
            <w:pPr>
              <w:pStyle w:val="Geenafstand"/>
              <w:spacing w:line="480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lastRenderedPageBreak/>
              <w:t>Data are n (%) or median (interquartile range)</w:t>
            </w:r>
          </w:p>
        </w:tc>
      </w:tr>
      <w:tr w:rsidR="00982C5E" w:rsidRPr="008C70D6" w:rsidTr="00B85E99">
        <w:tc>
          <w:tcPr>
            <w:tcW w:w="0" w:type="auto"/>
            <w:gridSpan w:val="3"/>
          </w:tcPr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a</w:t>
            </w:r>
            <w:r w:rsidRPr="00C57CAE">
              <w:rPr>
                <w:rFonts w:cstheme="minorHAnsi"/>
                <w:sz w:val="18"/>
                <w:szCs w:val="18"/>
                <w:lang w:val="en-US"/>
              </w:rPr>
              <w:t>American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 Heart Association criteria for the definition of Kawasaki disease (KD) is to have persistent fever and 4 of the following 5 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mucocutaneous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 features: erythema and cracking of lips, strawberry tongue, and/or erythema of oral and pharyngeal mucosa; bilateral bulbar conjunctival injection without exudate; rash (maculopapular, diffuse erythroderma); erythema and edema of the hands and feet in acute phase and/or 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periungual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 desquamation in subacute phase; and cervical lymphadenopathy (&gt;1.5 cm diameter). Incomplete KD was defined by at least 2 clinical criteria compatible with KD and additional laboratory or cardiac criteria.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b</w:t>
            </w:r>
            <w:r w:rsidRPr="00C57CAE">
              <w:rPr>
                <w:rFonts w:cstheme="minorHAnsi"/>
                <w:sz w:val="18"/>
                <w:szCs w:val="18"/>
                <w:lang w:val="en-US"/>
              </w:rPr>
              <w:t>MIS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>-C according to criteria by Centers for Disease Control and Prevention (CDC) and World Health Organization (WHO)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c</w:t>
            </w:r>
            <w:r w:rsidRPr="00C57CAE">
              <w:rPr>
                <w:rFonts w:cstheme="minorHAnsi"/>
                <w:sz w:val="18"/>
                <w:szCs w:val="18"/>
                <w:lang w:val="en-US"/>
              </w:rPr>
              <w:t>Fever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 &gt;38 °C</w:t>
            </w:r>
          </w:p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vertAlign w:val="superscript"/>
                <w:lang w:val="en-US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d</w:t>
            </w:r>
            <w:r w:rsidRPr="00C57CAE">
              <w:rPr>
                <w:rFonts w:cstheme="minorHAnsi"/>
                <w:sz w:val="18"/>
                <w:szCs w:val="18"/>
                <w:lang w:val="en-US"/>
              </w:rPr>
              <w:t>Shock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 defined as needing inotropic support or fluid 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rescuscitation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 &gt;20 ml/kg</w:t>
            </w:r>
          </w:p>
        </w:tc>
      </w:tr>
      <w:tr w:rsidR="00982C5E" w:rsidRPr="008C70D6" w:rsidTr="00B85E99">
        <w:tc>
          <w:tcPr>
            <w:tcW w:w="0" w:type="auto"/>
            <w:gridSpan w:val="3"/>
          </w:tcPr>
          <w:p w:rsidR="00982C5E" w:rsidRPr="00C57CAE" w:rsidRDefault="00982C5E" w:rsidP="00B85E99">
            <w:pPr>
              <w:pStyle w:val="Geenafstand"/>
              <w:spacing w:line="480" w:lineRule="auto"/>
              <w:jc w:val="both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Abbreviations: KD = Kawasaki disease, MIS-C = Multisystem Inflammatory Syndrome in Children, IVIG = intravenous immune globulin, ICU = intensive care unit.</w:t>
            </w:r>
          </w:p>
        </w:tc>
      </w:tr>
    </w:tbl>
    <w:p w:rsidR="00982C5E" w:rsidRDefault="00982C5E" w:rsidP="00982C5E">
      <w:pPr>
        <w:rPr>
          <w:rFonts w:cstheme="minorHAnsi"/>
          <w:b/>
          <w:sz w:val="20"/>
          <w:szCs w:val="20"/>
          <w:lang w:val="en-US"/>
        </w:rPr>
      </w:pPr>
      <w:r>
        <w:rPr>
          <w:rFonts w:cstheme="minorHAnsi"/>
          <w:b/>
          <w:sz w:val="20"/>
          <w:szCs w:val="20"/>
          <w:lang w:val="en-US"/>
        </w:rPr>
        <w:br w:type="page"/>
      </w:r>
    </w:p>
    <w:p w:rsidR="00982C5E" w:rsidRPr="00016E1E" w:rsidRDefault="00982C5E" w:rsidP="00982C5E">
      <w:pPr>
        <w:spacing w:line="480" w:lineRule="auto"/>
        <w:rPr>
          <w:rFonts w:cstheme="minorHAnsi"/>
          <w:sz w:val="20"/>
          <w:szCs w:val="20"/>
          <w:lang w:val="en-US"/>
        </w:rPr>
      </w:pPr>
      <w:r>
        <w:rPr>
          <w:rFonts w:cstheme="minorHAnsi"/>
          <w:b/>
          <w:sz w:val="20"/>
          <w:szCs w:val="20"/>
          <w:lang w:val="en-US"/>
        </w:rPr>
        <w:lastRenderedPageBreak/>
        <w:t>Figure S</w:t>
      </w:r>
      <w:r w:rsidR="00B450D3">
        <w:rPr>
          <w:rFonts w:cstheme="minorHAnsi"/>
          <w:b/>
          <w:sz w:val="20"/>
          <w:szCs w:val="20"/>
          <w:lang w:val="en-US"/>
        </w:rPr>
        <w:t>1</w:t>
      </w:r>
      <w:r w:rsidRPr="00016E1E">
        <w:rPr>
          <w:rFonts w:cstheme="minorHAnsi"/>
          <w:b/>
          <w:sz w:val="20"/>
          <w:szCs w:val="20"/>
          <w:lang w:val="en-US"/>
        </w:rPr>
        <w:t xml:space="preserve">. </w:t>
      </w:r>
      <w:r w:rsidRPr="00016E1E">
        <w:rPr>
          <w:rFonts w:cstheme="minorHAnsi"/>
          <w:sz w:val="20"/>
          <w:szCs w:val="20"/>
          <w:lang w:val="en-US"/>
        </w:rPr>
        <w:t>Example of speckle tracking results of a patient with a normal LVEF, but abnormal GLS at initial presentation ([A] GLS = -7.8%, LVEF = 50%) that persisted at 2 months of follow-up ([B] GLS = -15.8%, LVEF = 50%) and normalized before the last visit 6 months post-admission ([C] GLS = -21.8%, LVEF = 51%)</w:t>
      </w:r>
    </w:p>
    <w:p w:rsidR="00982C5E" w:rsidRPr="00016E1E" w:rsidRDefault="00982C5E" w:rsidP="00982C5E">
      <w:pPr>
        <w:rPr>
          <w:rFonts w:cstheme="minorHAnsi"/>
          <w:b/>
          <w:sz w:val="20"/>
          <w:szCs w:val="20"/>
          <w:lang w:val="en-US"/>
        </w:rPr>
      </w:pPr>
      <w:r w:rsidRPr="00016E1E">
        <w:rPr>
          <w:noProof/>
          <w:sz w:val="20"/>
          <w:szCs w:val="20"/>
          <w:lang w:eastAsia="nl-NL"/>
        </w:rPr>
        <w:drawing>
          <wp:inline distT="0" distB="0" distL="0" distR="0" wp14:anchorId="40FDBED1" wp14:editId="618E30DD">
            <wp:extent cx="5760720" cy="4411345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E1E">
        <w:rPr>
          <w:rFonts w:cstheme="minorHAnsi"/>
          <w:b/>
          <w:sz w:val="20"/>
          <w:szCs w:val="20"/>
          <w:lang w:val="en-US"/>
        </w:rPr>
        <w:br w:type="page"/>
      </w:r>
    </w:p>
    <w:p w:rsidR="00982C5E" w:rsidRPr="00016E1E" w:rsidRDefault="00982C5E" w:rsidP="00982C5E">
      <w:pPr>
        <w:autoSpaceDE w:val="0"/>
        <w:autoSpaceDN w:val="0"/>
        <w:adjustRightInd w:val="0"/>
        <w:spacing w:line="480" w:lineRule="auto"/>
        <w:rPr>
          <w:rFonts w:cstheme="minorHAnsi"/>
          <w:sz w:val="20"/>
          <w:szCs w:val="20"/>
          <w:lang w:val="en-US"/>
        </w:rPr>
      </w:pPr>
      <w:r w:rsidRPr="00016E1E">
        <w:rPr>
          <w:rFonts w:cstheme="minorHAnsi"/>
          <w:b/>
          <w:sz w:val="20"/>
          <w:szCs w:val="20"/>
          <w:lang w:val="en-US"/>
        </w:rPr>
        <w:lastRenderedPageBreak/>
        <w:t>Table S2.</w:t>
      </w:r>
      <w:r w:rsidRPr="00016E1E">
        <w:rPr>
          <w:rFonts w:cstheme="minorHAnsi"/>
          <w:sz w:val="20"/>
          <w:szCs w:val="20"/>
          <w:lang w:val="en-US"/>
        </w:rPr>
        <w:t xml:space="preserve"> Over-time changes of LVEF, FS and GLS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74"/>
        <w:gridCol w:w="2196"/>
        <w:gridCol w:w="2196"/>
        <w:gridCol w:w="2196"/>
      </w:tblGrid>
      <w:tr w:rsidR="00982C5E" w:rsidRPr="00C57CAE" w:rsidTr="00B85E99">
        <w:tc>
          <w:tcPr>
            <w:tcW w:w="2474" w:type="dxa"/>
            <w:shd w:val="clear" w:color="auto" w:fill="BFBFBF" w:themeFill="background1" w:themeFillShade="BF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7CAE">
              <w:rPr>
                <w:rFonts w:cstheme="minorHAnsi"/>
                <w:b/>
                <w:sz w:val="18"/>
                <w:szCs w:val="18"/>
              </w:rPr>
              <w:t>Parameter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7CAE">
              <w:rPr>
                <w:rFonts w:cstheme="minorHAnsi"/>
                <w:b/>
                <w:sz w:val="18"/>
                <w:szCs w:val="18"/>
              </w:rPr>
              <w:t>Timeframe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57CAE">
              <w:rPr>
                <w:rFonts w:cstheme="minorHAnsi"/>
                <w:b/>
                <w:sz w:val="18"/>
                <w:szCs w:val="18"/>
              </w:rPr>
              <w:t>Median</w:t>
            </w:r>
            <w:proofErr w:type="spellEnd"/>
            <w:r w:rsidRPr="00C57CAE">
              <w:rPr>
                <w:rFonts w:cstheme="minorHAnsi"/>
                <w:b/>
                <w:sz w:val="18"/>
                <w:szCs w:val="18"/>
              </w:rPr>
              <w:t xml:space="preserve"> (IQR)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theme="minorHAnsi"/>
                <w:b/>
                <w:sz w:val="18"/>
                <w:szCs w:val="18"/>
                <w:vertAlign w:val="superscript"/>
              </w:rPr>
            </w:pPr>
            <w:r w:rsidRPr="00C57CAE">
              <w:rPr>
                <w:rFonts w:cstheme="minorHAnsi"/>
                <w:b/>
                <w:sz w:val="18"/>
                <w:szCs w:val="18"/>
              </w:rPr>
              <w:t xml:space="preserve">Overall </w:t>
            </w:r>
            <w:proofErr w:type="spellStart"/>
            <w:r w:rsidRPr="00C57CAE">
              <w:rPr>
                <w:rFonts w:cstheme="minorHAnsi"/>
                <w:b/>
                <w:sz w:val="18"/>
                <w:szCs w:val="18"/>
              </w:rPr>
              <w:t>significance</w:t>
            </w:r>
            <w:proofErr w:type="spellEnd"/>
            <w:r w:rsidRPr="00C57CAE">
              <w:rPr>
                <w:rFonts w:cstheme="minorHAnsi"/>
                <w:b/>
                <w:sz w:val="18"/>
                <w:szCs w:val="18"/>
              </w:rPr>
              <w:t xml:space="preserve">, </w:t>
            </w:r>
            <w:r w:rsidRPr="00C57CAE">
              <w:rPr>
                <w:rFonts w:cstheme="minorHAnsi"/>
                <w:b/>
                <w:i/>
                <w:sz w:val="18"/>
                <w:szCs w:val="18"/>
              </w:rPr>
              <w:t>P</w:t>
            </w:r>
            <w:r w:rsidRPr="00C57CAE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C57CAE">
              <w:rPr>
                <w:rFonts w:cstheme="minorHAnsi"/>
                <w:b/>
                <w:sz w:val="18"/>
                <w:szCs w:val="18"/>
              </w:rPr>
              <w:t>value</w:t>
            </w:r>
            <w:r w:rsidRPr="00C57CAE">
              <w:rPr>
                <w:rFonts w:cstheme="minorHAnsi"/>
                <w:b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982C5E" w:rsidRPr="00C57CAE" w:rsidTr="00B85E99">
        <w:tc>
          <w:tcPr>
            <w:tcW w:w="2474" w:type="dxa"/>
            <w:vMerge w:val="restart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57CAE">
              <w:rPr>
                <w:rFonts w:cstheme="minorHAnsi"/>
                <w:sz w:val="18"/>
                <w:szCs w:val="18"/>
              </w:rPr>
              <w:t>LVEF (%), n = 41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</w:rPr>
            </w:pPr>
            <w:r w:rsidRPr="00C57CAE">
              <w:rPr>
                <w:rFonts w:cstheme="minorHAnsi"/>
                <w:sz w:val="18"/>
                <w:szCs w:val="18"/>
              </w:rPr>
              <w:t>Acute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39.0 (33.0-49.0)</w:t>
            </w:r>
          </w:p>
        </w:tc>
        <w:tc>
          <w:tcPr>
            <w:tcW w:w="2196" w:type="dxa"/>
            <w:vMerge w:val="restart"/>
            <w:vAlign w:val="bottom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&lt; 0.001</w:t>
            </w:r>
          </w:p>
        </w:tc>
      </w:tr>
      <w:tr w:rsidR="00982C5E" w:rsidRPr="00C57CAE" w:rsidTr="00B85E99">
        <w:tc>
          <w:tcPr>
            <w:tcW w:w="2474" w:type="dxa"/>
            <w:vMerge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6 weeks post-onset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52.0 (50.0-56.0)</w:t>
            </w:r>
          </w:p>
        </w:tc>
        <w:tc>
          <w:tcPr>
            <w:tcW w:w="2196" w:type="dxa"/>
            <w:vMerge/>
            <w:vAlign w:val="bottom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2474" w:type="dxa"/>
            <w:vMerge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6 months post-onset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56.0 (51.0-58.8)</w:t>
            </w:r>
          </w:p>
        </w:tc>
        <w:tc>
          <w:tcPr>
            <w:tcW w:w="2196" w:type="dxa"/>
            <w:vMerge/>
            <w:vAlign w:val="bottom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2474" w:type="dxa"/>
            <w:vMerge w:val="restart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FS (%), n = 37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Acute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26.9 (21.3-32.0)</w:t>
            </w:r>
          </w:p>
        </w:tc>
        <w:tc>
          <w:tcPr>
            <w:tcW w:w="2196" w:type="dxa"/>
            <w:vMerge w:val="restart"/>
            <w:vAlign w:val="bottom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&lt; 0.001</w:t>
            </w:r>
          </w:p>
        </w:tc>
      </w:tr>
      <w:tr w:rsidR="00982C5E" w:rsidRPr="00C57CAE" w:rsidTr="00B85E99">
        <w:tc>
          <w:tcPr>
            <w:tcW w:w="2474" w:type="dxa"/>
            <w:vMerge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6 weeks post-onset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36.9 (33.3-39.0)</w:t>
            </w:r>
          </w:p>
        </w:tc>
        <w:tc>
          <w:tcPr>
            <w:tcW w:w="2196" w:type="dxa"/>
            <w:vMerge/>
            <w:vAlign w:val="bottom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2474" w:type="dxa"/>
            <w:vMerge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6 months post-onset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38.7 (35.8-40.8)</w:t>
            </w:r>
          </w:p>
        </w:tc>
        <w:tc>
          <w:tcPr>
            <w:tcW w:w="2196" w:type="dxa"/>
            <w:vMerge/>
            <w:vAlign w:val="bottom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2474" w:type="dxa"/>
            <w:vMerge w:val="restart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GLS (%), n = 36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Acute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-12.5 ([-15.5]-[-8.8])</w:t>
            </w:r>
          </w:p>
        </w:tc>
        <w:tc>
          <w:tcPr>
            <w:tcW w:w="2196" w:type="dxa"/>
            <w:vMerge w:val="restart"/>
            <w:vAlign w:val="bottom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&lt; 0.001</w:t>
            </w:r>
          </w:p>
        </w:tc>
      </w:tr>
      <w:tr w:rsidR="00982C5E" w:rsidRPr="00C57CAE" w:rsidTr="00B85E99">
        <w:tc>
          <w:tcPr>
            <w:tcW w:w="2474" w:type="dxa"/>
            <w:vMerge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6 weeks post-onset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-16.4 ([-18.4]-[-14.7])</w:t>
            </w:r>
          </w:p>
        </w:tc>
        <w:tc>
          <w:tcPr>
            <w:tcW w:w="2196" w:type="dxa"/>
            <w:vMerge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C57CAE" w:rsidTr="00B85E99">
        <w:tc>
          <w:tcPr>
            <w:tcW w:w="2474" w:type="dxa"/>
            <w:vMerge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6 months post-onset</w:t>
            </w:r>
          </w:p>
        </w:tc>
        <w:tc>
          <w:tcPr>
            <w:tcW w:w="2196" w:type="dxa"/>
            <w:vAlign w:val="center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jc w:val="right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-17.3 ([-19.7]-[15.6])</w:t>
            </w:r>
          </w:p>
        </w:tc>
        <w:tc>
          <w:tcPr>
            <w:tcW w:w="2196" w:type="dxa"/>
            <w:vMerge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982C5E" w:rsidRPr="008C70D6" w:rsidTr="00B85E99">
        <w:tc>
          <w:tcPr>
            <w:tcW w:w="9062" w:type="dxa"/>
            <w:gridSpan w:val="4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C57CAE">
              <w:rPr>
                <w:rFonts w:cstheme="minorHAnsi"/>
                <w:sz w:val="18"/>
                <w:szCs w:val="18"/>
                <w:vertAlign w:val="superscript"/>
                <w:lang w:val="en-US"/>
              </w:rPr>
              <w:t>a</w:t>
            </w:r>
            <w:r w:rsidRPr="00C57CAE">
              <w:rPr>
                <w:rFonts w:cstheme="minorHAnsi"/>
                <w:sz w:val="18"/>
                <w:szCs w:val="18"/>
                <w:lang w:val="en-US"/>
              </w:rPr>
              <w:t>Based</w:t>
            </w:r>
            <w:proofErr w:type="spellEnd"/>
            <w:r w:rsidRPr="00C57CAE">
              <w:rPr>
                <w:rFonts w:cstheme="minorHAnsi"/>
                <w:sz w:val="18"/>
                <w:szCs w:val="18"/>
                <w:lang w:val="en-US"/>
              </w:rPr>
              <w:t xml:space="preserve"> on Friedman test for patient series with complete data in all three </w:t>
            </w:r>
            <w:proofErr w:type="spellStart"/>
            <w:r w:rsidRPr="00C57CAE">
              <w:rPr>
                <w:rFonts w:cstheme="minorHAnsi"/>
                <w:sz w:val="18"/>
                <w:szCs w:val="18"/>
                <w:lang w:val="en-US"/>
              </w:rPr>
              <w:t>timepoints</w:t>
            </w:r>
            <w:proofErr w:type="spellEnd"/>
          </w:p>
        </w:tc>
      </w:tr>
      <w:tr w:rsidR="00982C5E" w:rsidRPr="008C70D6" w:rsidTr="00B85E99">
        <w:tc>
          <w:tcPr>
            <w:tcW w:w="9062" w:type="dxa"/>
            <w:gridSpan w:val="4"/>
          </w:tcPr>
          <w:p w:rsidR="00982C5E" w:rsidRPr="00C57CAE" w:rsidRDefault="00982C5E" w:rsidP="00B85E99">
            <w:pPr>
              <w:autoSpaceDE w:val="0"/>
              <w:autoSpaceDN w:val="0"/>
              <w:adjustRightInd w:val="0"/>
              <w:spacing w:line="480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C57CAE">
              <w:rPr>
                <w:rFonts w:cstheme="minorHAnsi"/>
                <w:sz w:val="18"/>
                <w:szCs w:val="18"/>
                <w:lang w:val="en-US"/>
              </w:rPr>
              <w:t>Abbreviations: IQR = interquartile range, LVEF = left ventricle ejection fraction, FS = fractional shortening, GLS = global longitudinal strain</w:t>
            </w:r>
          </w:p>
        </w:tc>
      </w:tr>
    </w:tbl>
    <w:p w:rsidR="00982C5E" w:rsidRPr="00016E1E" w:rsidRDefault="00982C5E" w:rsidP="00982C5E">
      <w:pPr>
        <w:rPr>
          <w:rFonts w:cstheme="minorHAnsi"/>
          <w:b/>
          <w:sz w:val="20"/>
          <w:szCs w:val="20"/>
          <w:lang w:val="en-US"/>
        </w:rPr>
      </w:pPr>
      <w:r w:rsidRPr="00016E1E">
        <w:rPr>
          <w:rFonts w:cstheme="minorHAnsi"/>
          <w:b/>
          <w:sz w:val="20"/>
          <w:szCs w:val="20"/>
          <w:lang w:val="en-US"/>
        </w:rPr>
        <w:br w:type="page"/>
      </w:r>
    </w:p>
    <w:p w:rsidR="00982C5E" w:rsidRPr="00016E1E" w:rsidRDefault="00982C5E" w:rsidP="00982C5E">
      <w:pPr>
        <w:spacing w:line="480" w:lineRule="auto"/>
        <w:rPr>
          <w:rFonts w:cstheme="minorHAnsi"/>
          <w:sz w:val="20"/>
          <w:szCs w:val="20"/>
          <w:lang w:val="en-US"/>
        </w:rPr>
      </w:pPr>
      <w:r w:rsidRPr="00016E1E">
        <w:rPr>
          <w:rFonts w:cstheme="minorHAnsi"/>
          <w:b/>
          <w:sz w:val="20"/>
          <w:szCs w:val="20"/>
          <w:lang w:val="en-US"/>
        </w:rPr>
        <w:lastRenderedPageBreak/>
        <w:t>Figure S</w:t>
      </w:r>
      <w:r w:rsidR="00B450D3">
        <w:rPr>
          <w:rFonts w:cstheme="minorHAnsi"/>
          <w:b/>
          <w:sz w:val="20"/>
          <w:szCs w:val="20"/>
          <w:lang w:val="en-US"/>
        </w:rPr>
        <w:t>2</w:t>
      </w:r>
      <w:r w:rsidRPr="00016E1E">
        <w:rPr>
          <w:rFonts w:cstheme="minorHAnsi"/>
          <w:b/>
          <w:sz w:val="20"/>
          <w:szCs w:val="20"/>
          <w:lang w:val="en-US"/>
        </w:rPr>
        <w:t>.</w:t>
      </w:r>
      <w:r w:rsidRPr="00016E1E">
        <w:rPr>
          <w:rFonts w:cstheme="minorHAnsi"/>
          <w:sz w:val="20"/>
          <w:szCs w:val="20"/>
          <w:lang w:val="en-US"/>
        </w:rPr>
        <w:t xml:space="preserve"> Correlation of EF, FS and GLS values (Spearman)</w:t>
      </w:r>
    </w:p>
    <w:p w:rsidR="00B10A62" w:rsidRDefault="00982C5E" w:rsidP="00982C5E">
      <w:r w:rsidRPr="00016E1E">
        <w:rPr>
          <w:noProof/>
          <w:sz w:val="20"/>
          <w:szCs w:val="20"/>
          <w:lang w:eastAsia="nl-NL"/>
        </w:rPr>
        <w:drawing>
          <wp:inline distT="0" distB="0" distL="0" distR="0" wp14:anchorId="26F57F6E" wp14:editId="33265D14">
            <wp:extent cx="5760720" cy="404304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0A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5E"/>
    <w:rsid w:val="002003A7"/>
    <w:rsid w:val="00304E8D"/>
    <w:rsid w:val="007A5F95"/>
    <w:rsid w:val="008C70D6"/>
    <w:rsid w:val="00982C5E"/>
    <w:rsid w:val="00B450D3"/>
    <w:rsid w:val="00B5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6213E2-E306-4E24-881E-19BD50433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82C5E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982C5E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982C5E"/>
  </w:style>
  <w:style w:type="table" w:styleId="Tabelraster">
    <w:name w:val="Table Grid"/>
    <w:basedOn w:val="Standaardtabel"/>
    <w:uiPriority w:val="59"/>
    <w:rsid w:val="00982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450D3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50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636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AMC</Company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Netea, S.A. (Stejara)</dc:creator>
  <cp:keywords/>
  <dc:description/>
  <cp:lastModifiedBy>Netea, S.A. (Stejara)</cp:lastModifiedBy>
  <cp:revision>3</cp:revision>
  <dcterms:created xsi:type="dcterms:W3CDTF">2024-01-26T16:59:00Z</dcterms:created>
  <dcterms:modified xsi:type="dcterms:W3CDTF">2024-01-26T16:59:00Z</dcterms:modified>
</cp:coreProperties>
</file>