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7223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Table 2 suppl. Comparison between competitive and recreational subgroups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Competitive N=29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Recreational N=80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p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Age (y), median (IQR)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14(13-16)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13(11-17)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BMI, median(IQR)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21(18-21)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19(16-21)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0,32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Males, N(%)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21(72)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51(64)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0,4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Great  complexity defects, N(%)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12(41)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54(67)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Residual defects, N(%)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9(31)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41(51)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0,06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RER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1.16(1.1-1.21)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1.10(1.06-1.18)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0,01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Maximal Workload (W) median(IQR)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151(120-220)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133(99-156)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0,003</w:t>
            </w: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Workload maxi predicted % W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97(85-114)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81(6-97)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&lt;0.001</w:t>
            </w:r>
          </w:p>
        </w:tc>
      </w:tr>
      <w:tr>
        <w:tblPrEx>
          <w:shd w:val="clear" w:color="auto" w:fill="auto"/>
        </w:tblPrEx>
        <w:trPr>
          <w:trHeight w:val="621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Maximal VO2 (ml/kg/min), median(IQR)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41(36-46)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36(28-41)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0,001</w:t>
            </w:r>
          </w:p>
        </w:tc>
      </w:tr>
      <w:tr>
        <w:tblPrEx>
          <w:shd w:val="clear" w:color="auto" w:fill="auto"/>
        </w:tblPrEx>
        <w:trPr>
          <w:trHeight w:val="716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Maximal VO2 % predicted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95(83-103)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87(76-97)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0,006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VE/VCO2 slope, median(IQR)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28(26-30)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rtl w:val="0"/>
              </w:rPr>
              <w:t>31(28-33)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0,001</w:t>
            </w:r>
          </w:p>
        </w:tc>
      </w:tr>
    </w:tbl>
    <w:p>
      <w:pPr>
        <w:pStyle w:val="Di defaul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