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center"/>
        <w:rPr>
          <w:rFonts w:ascii="Times New Roman" w:cs="Times New Roman" w:hAnsi="Times New Roman" w:eastAsia="Times New Roman"/>
          <w:b w:val="1"/>
          <w:bCs w:val="1"/>
        </w:rPr>
      </w:pPr>
      <w:r>
        <w:rPr>
          <w:rFonts w:ascii="Times New Roman" w:hAnsi="Times New Roman"/>
          <w:b w:val="1"/>
          <w:bCs w:val="1"/>
          <w:rtl w:val="0"/>
          <w:lang w:val="en-US"/>
        </w:rPr>
        <w:t>ILLUSTRATIVE CASE</w:t>
      </w:r>
    </w:p>
    <w:p>
      <w:pPr>
        <w:pStyle w:val="Corpo A"/>
        <w:rPr>
          <w:b w:val="1"/>
          <w:bCs w:val="1"/>
        </w:rPr>
      </w:pPr>
    </w:p>
    <w:p>
      <w:pPr>
        <w:pStyle w:val="Corpo A"/>
        <w:rPr>
          <w:rFonts w:ascii="Times New Roman" w:cs="Times New Roman" w:hAnsi="Times New Roman" w:eastAsia="Times New Roman"/>
          <w:b w:val="1"/>
          <w:bCs w:val="1"/>
        </w:rPr>
      </w:pPr>
      <w:r>
        <w:rPr>
          <w:rFonts w:ascii="Times New Roman" w:hAnsi="Times New Roman"/>
          <w:b w:val="1"/>
          <w:bCs w:val="1"/>
          <w:rtl w:val="0"/>
          <w:lang w:val="en-US"/>
        </w:rPr>
        <w:t>Demographic and past medical history</w:t>
      </w:r>
    </w:p>
    <w:p>
      <w:pPr>
        <w:pStyle w:val="List Paragraph"/>
        <w:numPr>
          <w:ilvl w:val="0"/>
          <w:numId w:val="2"/>
        </w:numPr>
        <w:bidi w:val="0"/>
        <w:spacing w:line="480" w:lineRule="auto"/>
        <w:ind w:right="0"/>
        <w:jc w:val="left"/>
        <w:rPr>
          <w:rFonts w:ascii="Times New Roman" w:hAnsi="Times New Roman"/>
          <w:rtl w:val="0"/>
          <w:lang w:val="it-IT"/>
        </w:rPr>
      </w:pPr>
      <w:r>
        <w:rPr>
          <w:rFonts w:ascii="Times New Roman" w:hAnsi="Times New Roman"/>
          <w:rtl w:val="0"/>
          <w:lang w:val="it-IT"/>
        </w:rPr>
        <w:t>Female.  Date of birth: 15/12/1998</w:t>
      </w:r>
    </w:p>
    <w:p>
      <w:pPr>
        <w:pStyle w:val="List Paragraph"/>
        <w:numPr>
          <w:ilvl w:val="0"/>
          <w:numId w:val="2"/>
        </w:numPr>
        <w:bidi w:val="0"/>
        <w:spacing w:line="480" w:lineRule="auto"/>
        <w:ind w:right="0"/>
        <w:jc w:val="left"/>
        <w:rPr>
          <w:rFonts w:ascii="Times New Roman" w:hAnsi="Times New Roman"/>
          <w:rtl w:val="0"/>
          <w:lang w:val="it-IT"/>
        </w:rPr>
      </w:pPr>
      <w:r>
        <w:rPr>
          <w:rFonts w:ascii="Times New Roman" w:hAnsi="Times New Roman"/>
          <w:rtl w:val="0"/>
          <w:lang w:val="it-IT"/>
        </w:rPr>
        <w:t>Situs solitus, levocardia, atrioventricular and ventriculo-arterial discordance, ventricular septal defect.</w:t>
      </w:r>
    </w:p>
    <w:p>
      <w:pPr>
        <w:pStyle w:val="List Paragraph"/>
        <w:numPr>
          <w:ilvl w:val="0"/>
          <w:numId w:val="2"/>
        </w:numPr>
        <w:bidi w:val="0"/>
        <w:spacing w:line="480" w:lineRule="auto"/>
        <w:ind w:right="0"/>
        <w:jc w:val="left"/>
        <w:rPr>
          <w:rFonts w:ascii="Times New Roman" w:hAnsi="Times New Roman"/>
          <w:rtl w:val="0"/>
          <w:lang w:val="it-IT"/>
        </w:rPr>
      </w:pPr>
      <w:r>
        <w:rPr>
          <w:rFonts w:ascii="Times New Roman" w:hAnsi="Times New Roman"/>
          <w:rtl w:val="0"/>
          <w:lang w:val="it-IT"/>
        </w:rPr>
        <w:t>Pulmonary artery banding on 17/02/2000</w:t>
      </w:r>
    </w:p>
    <w:p>
      <w:pPr>
        <w:pStyle w:val="List Paragraph"/>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 xml:space="preserve">Complete repair ( Arterial switch, Mustard procedure, ventricular septal defect closure) on 23/3/2003. Coronary sinus drainage was left to the pulmonary atrium. </w:t>
      </w:r>
    </w:p>
    <w:p>
      <w:pPr>
        <w:pStyle w:val="List Paragraph"/>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 xml:space="preserve">Evidence of superior vena cava systemic atrium junction stenosis treated with balloon dilatation on December 2007. In the same year she had undergone endocardial atrial pacemaker implantation due to sinus node dysfunction. </w:t>
      </w:r>
    </w:p>
    <w:p>
      <w:pPr>
        <w:pStyle w:val="List Paragraph"/>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The patient has always reported normal effort tolerance. NYHA class I.</w:t>
      </w:r>
    </w:p>
    <w:p>
      <w:pPr>
        <w:pStyle w:val="List Paragraph"/>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She was practicing equitation at competitive level.</w:t>
      </w:r>
    </w:p>
    <w:p>
      <w:pPr>
        <w:pStyle w:val="Corpo A"/>
        <w:spacing w:line="480" w:lineRule="auto"/>
        <w:rPr>
          <w:rFonts w:ascii="Times New Roman" w:cs="Times New Roman" w:hAnsi="Times New Roman" w:eastAsia="Times New Roman"/>
          <w:b w:val="1"/>
          <w:bCs w:val="1"/>
        </w:rPr>
      </w:pPr>
      <w:r>
        <w:rPr>
          <w:rFonts w:ascii="Times New Roman" w:hAnsi="Times New Roman"/>
          <w:b w:val="1"/>
          <w:bCs w:val="1"/>
          <w:rtl w:val="0"/>
          <w:lang w:val="en-US"/>
        </w:rPr>
        <w:t>Repeated CPETs evaluations and diagnostic workup.</w:t>
      </w:r>
    </w:p>
    <w:p>
      <w:pPr>
        <w:pStyle w:val="Corpo A"/>
        <w:spacing w:line="480" w:lineRule="auto"/>
        <w:rPr>
          <w:rFonts w:ascii="Times New Roman" w:cs="Times New Roman" w:hAnsi="Times New Roman" w:eastAsia="Times New Roman"/>
        </w:rPr>
      </w:pPr>
      <w:r>
        <w:rPr>
          <w:rFonts w:ascii="Times New Roman" w:hAnsi="Times New Roman"/>
          <w:rtl w:val="0"/>
          <w:lang w:val="en-US"/>
        </w:rPr>
        <w:t>The patient underwent serial exercise metabolic tests evaluations as part of the routine assessment at the sport medicine department. CPETs  performed in 2012, 2015 and 2018 showed progressive decline in maximal VO2, O2 saturation during effort and increase of VE/VCO2 slope (Table</w:t>
      </w:r>
      <w:r>
        <w:rPr>
          <w:rFonts w:ascii="Times New Roman" w:hAnsi="Times New Roman"/>
          <w:rtl w:val="0"/>
          <w:lang w:val="it-IT"/>
        </w:rPr>
        <w:t xml:space="preserve"> </w:t>
      </w:r>
      <w:r>
        <w:rPr>
          <w:rFonts w:ascii="Times New Roman" w:hAnsi="Times New Roman"/>
          <w:rtl w:val="0"/>
          <w:lang w:val="en-US"/>
        </w:rPr>
        <w:t>1 suppl</w:t>
      </w:r>
      <w:r>
        <w:rPr>
          <w:rFonts w:ascii="Times New Roman" w:hAnsi="Times New Roman"/>
          <w:rtl w:val="0"/>
          <w:lang w:val="it-IT"/>
        </w:rPr>
        <w:t>, Figure 1 suppl</w:t>
      </w:r>
      <w:r>
        <w:rPr>
          <w:rFonts w:ascii="Times New Roman" w:hAnsi="Times New Roman"/>
          <w:rtl w:val="0"/>
          <w:lang w:val="en-US"/>
        </w:rPr>
        <w:t xml:space="preserve">). At the latest follow up in 2019 significant de-saturation (around 90%) was noted at rest. </w:t>
      </w:r>
    </w:p>
    <w:p>
      <w:pPr>
        <w:pStyle w:val="Corpo A"/>
        <w:spacing w:line="480" w:lineRule="auto"/>
        <w:rPr>
          <w:rFonts w:ascii="Times New Roman" w:cs="Times New Roman" w:hAnsi="Times New Roman" w:eastAsia="Times New Roman"/>
        </w:rPr>
      </w:pPr>
      <w:r>
        <w:rPr>
          <w:rFonts w:ascii="Times New Roman" w:hAnsi="Times New Roman"/>
          <w:rtl w:val="0"/>
          <w:lang w:val="en-US"/>
        </w:rPr>
        <w:t>These findings prompted second level imaging with cardiac computerized tomography (CT), although transthoracic echo was unremarkable.  CT demonstrated occlusion of superior systemic baffle at the level of atrial junction, a six millimeters leak between the inferior systemic baffle and the pulmonary venous atrium, a moderate stenosis beyond the  leak and diversion of the superior vena cava flow toward the inferior vena cava through the azygos vein and multiples mediastinal and para</w:t>
      </w:r>
      <w:r>
        <w:rPr>
          <w:rFonts w:ascii="Times New Roman" w:hAnsi="Times New Roman"/>
          <w:rtl w:val="0"/>
          <w:lang w:val="it-IT"/>
        </w:rPr>
        <w:t>-</w:t>
      </w:r>
      <w:r>
        <w:rPr>
          <w:rFonts w:ascii="Times New Roman" w:hAnsi="Times New Roman"/>
          <w:rtl w:val="0"/>
          <w:lang w:val="fr-FR"/>
        </w:rPr>
        <w:t xml:space="preserve">vertebral venous vessels. (Figure </w:t>
      </w:r>
      <w:r>
        <w:rPr>
          <w:rFonts w:ascii="Times New Roman" w:hAnsi="Times New Roman"/>
          <w:rtl w:val="0"/>
          <w:lang w:val="it-IT"/>
        </w:rPr>
        <w:t>2</w:t>
      </w:r>
      <w:r>
        <w:rPr>
          <w:rFonts w:ascii="Times New Roman" w:hAnsi="Times New Roman"/>
          <w:rtl w:val="0"/>
          <w:lang w:val="fr-FR"/>
        </w:rPr>
        <w:t xml:space="preserve"> suppl) </w:t>
      </w:r>
    </w:p>
    <w:p>
      <w:pPr>
        <w:pStyle w:val="Corpo A"/>
        <w:spacing w:line="480" w:lineRule="auto"/>
        <w:rPr>
          <w:rFonts w:ascii="Times New Roman" w:cs="Times New Roman" w:hAnsi="Times New Roman" w:eastAsia="Times New Roman"/>
          <w:b w:val="1"/>
          <w:bCs w:val="1"/>
          <w:lang w:val="de-DE"/>
        </w:rPr>
      </w:pPr>
      <w:r>
        <w:rPr>
          <w:rFonts w:ascii="Times New Roman" w:hAnsi="Times New Roman"/>
          <w:b w:val="1"/>
          <w:bCs w:val="1"/>
          <w:rtl w:val="0"/>
          <w:lang w:val="de-DE"/>
        </w:rPr>
        <w:t xml:space="preserve">Pathophysiologic interpretation   </w:t>
      </w:r>
    </w:p>
    <w:p>
      <w:pPr>
        <w:pStyle w:val="Corpo A"/>
        <w:spacing w:line="480" w:lineRule="auto"/>
        <w:rPr>
          <w:rFonts w:ascii="Times New Roman" w:cs="Times New Roman" w:hAnsi="Times New Roman" w:eastAsia="Times New Roman"/>
        </w:rPr>
      </w:pPr>
      <w:r>
        <w:rPr>
          <w:rFonts w:ascii="Times New Roman" w:hAnsi="Times New Roman"/>
          <w:rtl w:val="0"/>
          <w:lang w:val="en-US"/>
        </w:rPr>
        <w:t xml:space="preserve">The clinical picture was interpreted as follow: the progressive stenosis and final occlusion of the superior systemic venous pathway, together with the inferior pathway stenosis caused an ongoing increase of the  blood diverted to the inferior baffle and, thus, forced through the leak, eventually triggering a growing magnitude of right to left shunt and worsening de-saturation. Trans-baffle leak is a well known complication after atrial switch. It might remain undetected until hemodynamic changes, like in this case, make the expected left to right shunt to revert into right to left. It is well known that VE/VCO2 slope dramatically rises in cyanotic patients due to a disproportionate ventilation rate (VE) increase and, in this case, turned out as an early and sensitive diagnostic marker. </w:t>
      </w:r>
    </w:p>
    <w:p>
      <w:pPr>
        <w:pStyle w:val="Corpo A"/>
        <w:spacing w:line="480" w:lineRule="auto"/>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