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DC501" w14:textId="77777777" w:rsidR="007C0E25" w:rsidRPr="00F33FC1" w:rsidRDefault="007C0E25" w:rsidP="007C0E25">
      <w:pPr>
        <w:jc w:val="center"/>
        <w:rPr>
          <w:b/>
          <w:bCs/>
          <w:szCs w:val="24"/>
        </w:rPr>
      </w:pPr>
    </w:p>
    <w:p w14:paraId="0B8C0EDE" w14:textId="7EBAFD17" w:rsidR="0016568A" w:rsidRPr="00B50591" w:rsidRDefault="00537EA5" w:rsidP="00502D60">
      <w:pPr>
        <w:spacing w:before="100" w:beforeAutospacing="1" w:after="100" w:afterAutospacing="1" w:line="480" w:lineRule="auto"/>
        <w:rPr>
          <w:b/>
          <w:bCs/>
          <w:szCs w:val="24"/>
          <w:lang w:val="en-US"/>
        </w:rPr>
      </w:pPr>
      <w:r w:rsidRPr="00B50591">
        <w:rPr>
          <w:b/>
          <w:bCs/>
          <w:szCs w:val="24"/>
          <w:lang w:val="en-US"/>
        </w:rPr>
        <w:t>Supplemental</w:t>
      </w:r>
      <w:r w:rsidR="00145545" w:rsidRPr="00B50591">
        <w:rPr>
          <w:b/>
          <w:bCs/>
          <w:szCs w:val="24"/>
          <w:lang w:val="en-US"/>
        </w:rPr>
        <w:t xml:space="preserve"> Text</w:t>
      </w:r>
      <w:r w:rsidRPr="00B50591">
        <w:rPr>
          <w:b/>
          <w:bCs/>
          <w:szCs w:val="24"/>
          <w:lang w:val="en-US"/>
        </w:rPr>
        <w:t xml:space="preserve"> </w:t>
      </w:r>
      <w:r w:rsidR="00145545" w:rsidRPr="00B50591">
        <w:rPr>
          <w:b/>
          <w:bCs/>
          <w:szCs w:val="24"/>
          <w:lang w:val="en-US"/>
        </w:rPr>
        <w:t>1</w:t>
      </w:r>
      <w:r w:rsidRPr="00B50591">
        <w:rPr>
          <w:b/>
          <w:bCs/>
          <w:szCs w:val="24"/>
          <w:lang w:val="en-US"/>
        </w:rPr>
        <w:t>:</w:t>
      </w:r>
      <w:r w:rsidR="00010046" w:rsidRPr="00B50591">
        <w:rPr>
          <w:b/>
          <w:bCs/>
          <w:szCs w:val="24"/>
          <w:lang w:val="en-US"/>
        </w:rPr>
        <w:t xml:space="preserve"> </w:t>
      </w:r>
      <w:r w:rsidR="00145545" w:rsidRPr="00B50591">
        <w:rPr>
          <w:b/>
          <w:bCs/>
          <w:szCs w:val="24"/>
          <w:lang w:val="en-US"/>
        </w:rPr>
        <w:t xml:space="preserve">Crop </w:t>
      </w:r>
      <w:r w:rsidR="00B30F46">
        <w:rPr>
          <w:b/>
          <w:bCs/>
          <w:szCs w:val="24"/>
          <w:lang w:val="en-US"/>
        </w:rPr>
        <w:t>P</w:t>
      </w:r>
      <w:r w:rsidR="00145545" w:rsidRPr="00B50591">
        <w:rPr>
          <w:b/>
          <w:bCs/>
          <w:szCs w:val="24"/>
          <w:lang w:val="en-US"/>
        </w:rPr>
        <w:t xml:space="preserve">lant </w:t>
      </w:r>
      <w:r w:rsidR="00B30F46">
        <w:rPr>
          <w:b/>
          <w:bCs/>
          <w:szCs w:val="24"/>
          <w:lang w:val="en-US"/>
        </w:rPr>
        <w:t>D</w:t>
      </w:r>
      <w:r w:rsidR="00145545" w:rsidRPr="00B50591">
        <w:rPr>
          <w:b/>
          <w:bCs/>
          <w:szCs w:val="24"/>
          <w:lang w:val="en-US"/>
        </w:rPr>
        <w:t xml:space="preserve">ata </w:t>
      </w:r>
      <w:r w:rsidR="00B30F46">
        <w:rPr>
          <w:b/>
          <w:bCs/>
          <w:szCs w:val="24"/>
          <w:lang w:val="en-US"/>
        </w:rPr>
        <w:t>C</w:t>
      </w:r>
      <w:r w:rsidR="00145545" w:rsidRPr="00B50591">
        <w:rPr>
          <w:b/>
          <w:bCs/>
          <w:szCs w:val="24"/>
          <w:lang w:val="en-US"/>
        </w:rPr>
        <w:t xml:space="preserve">ollection and </w:t>
      </w:r>
      <w:r w:rsidR="00B30F46">
        <w:rPr>
          <w:b/>
          <w:bCs/>
          <w:szCs w:val="24"/>
          <w:lang w:val="en-US"/>
        </w:rPr>
        <w:t>M</w:t>
      </w:r>
      <w:r w:rsidR="00145545" w:rsidRPr="00B50591">
        <w:rPr>
          <w:b/>
          <w:bCs/>
          <w:szCs w:val="24"/>
          <w:lang w:val="en-US"/>
        </w:rPr>
        <w:t xml:space="preserve">odel </w:t>
      </w:r>
      <w:r w:rsidR="00930685">
        <w:rPr>
          <w:b/>
          <w:bCs/>
          <w:szCs w:val="24"/>
          <w:lang w:val="en-US"/>
        </w:rPr>
        <w:t>I</w:t>
      </w:r>
      <w:r w:rsidR="00145545" w:rsidRPr="00B50591">
        <w:rPr>
          <w:b/>
          <w:bCs/>
          <w:szCs w:val="24"/>
          <w:lang w:val="en-US"/>
        </w:rPr>
        <w:t>nputs</w:t>
      </w:r>
    </w:p>
    <w:p w14:paraId="5B15360E" w14:textId="57C7AC0C" w:rsidR="00A430DB" w:rsidRPr="00B50591" w:rsidRDefault="00537EA5" w:rsidP="00A430DB">
      <w:pPr>
        <w:spacing w:before="100" w:beforeAutospacing="1" w:after="100" w:afterAutospacing="1" w:line="240" w:lineRule="auto"/>
        <w:rPr>
          <w:szCs w:val="24"/>
          <w:lang w:val="en-US"/>
        </w:rPr>
      </w:pPr>
      <w:r w:rsidRPr="00B50591">
        <w:rPr>
          <w:i/>
          <w:iCs/>
          <w:szCs w:val="24"/>
          <w:lang w:val="en-US"/>
        </w:rPr>
        <w:t>Crop Plant Selection</w:t>
      </w:r>
      <w:r w:rsidR="002B76B8" w:rsidRPr="00B50591">
        <w:rPr>
          <w:szCs w:val="24"/>
          <w:lang w:val="en-US"/>
        </w:rPr>
        <w:t xml:space="preserve"> </w:t>
      </w:r>
    </w:p>
    <w:p w14:paraId="3C57CDDF" w14:textId="6FF31262" w:rsidR="0097450C" w:rsidRPr="00B50591" w:rsidRDefault="0097450C" w:rsidP="00235501">
      <w:pPr>
        <w:ind w:firstLine="720"/>
        <w:rPr>
          <w:szCs w:val="24"/>
          <w:lang w:val="en-US"/>
        </w:rPr>
      </w:pPr>
      <w:r w:rsidRPr="00B50591">
        <w:rPr>
          <w:szCs w:val="24"/>
          <w:lang w:val="en-US"/>
        </w:rPr>
        <w:t xml:space="preserve">For this research, key economic crops, such as maize and manioc, were chosen given their likely status as dietary staples. Some crops chosen for this research (such as maize) were also commodity crops (both storable and transportable) with potential economic significance </w:t>
      </w:r>
      <w:r w:rsidR="006C2781" w:rsidRPr="00B50591">
        <w:rPr>
          <w:rFonts w:cs="Times New Roman"/>
          <w:szCs w:val="24"/>
          <w:lang w:val="en-US"/>
        </w:rPr>
        <w:t>(Fedick 2017)</w:t>
      </w:r>
      <w:r w:rsidRPr="00B50591">
        <w:rPr>
          <w:szCs w:val="24"/>
          <w:lang w:val="en-US"/>
        </w:rPr>
        <w:t xml:space="preserve">. The designation of </w:t>
      </w:r>
      <w:r w:rsidR="006A7ABC" w:rsidRPr="00B50591">
        <w:rPr>
          <w:szCs w:val="24"/>
          <w:lang w:val="en-US"/>
        </w:rPr>
        <w:t>“</w:t>
      </w:r>
      <w:r w:rsidRPr="00B50591">
        <w:rPr>
          <w:szCs w:val="24"/>
          <w:lang w:val="en-US"/>
        </w:rPr>
        <w:t>commodity crop</w:t>
      </w:r>
      <w:r w:rsidR="006A7ABC" w:rsidRPr="00B50591">
        <w:rPr>
          <w:szCs w:val="24"/>
          <w:lang w:val="en-US"/>
        </w:rPr>
        <w:t>”</w:t>
      </w:r>
      <w:r w:rsidRPr="00B50591">
        <w:rPr>
          <w:szCs w:val="24"/>
          <w:lang w:val="en-US"/>
        </w:rPr>
        <w:t xml:space="preserve"> is not limited to dietary staples; commodity crops can be non-staple food crops as well as non-food crops. Likely non-staple food and non-food commodities were valued for their use in ritual, prestige, and pleasure, rather than </w:t>
      </w:r>
      <w:r w:rsidR="006A7ABC" w:rsidRPr="00B50591">
        <w:rPr>
          <w:szCs w:val="24"/>
          <w:lang w:val="en-US"/>
        </w:rPr>
        <w:t xml:space="preserve">for </w:t>
      </w:r>
      <w:r w:rsidRPr="00B50591">
        <w:rPr>
          <w:szCs w:val="24"/>
          <w:lang w:val="en-US"/>
        </w:rPr>
        <w:t>their nutritional value. Cacao (</w:t>
      </w:r>
      <w:r w:rsidRPr="00B50591">
        <w:rPr>
          <w:i/>
          <w:iCs/>
          <w:szCs w:val="24"/>
          <w:lang w:val="en-US"/>
        </w:rPr>
        <w:t>Theobroma cacao</w:t>
      </w:r>
      <w:r w:rsidRPr="00B50591">
        <w:rPr>
          <w:szCs w:val="24"/>
          <w:lang w:val="en-US"/>
        </w:rPr>
        <w:t xml:space="preserve">) for example, is a non-staple food crop that was used in several elite and ritualized beverages </w:t>
      </w:r>
      <w:r w:rsidR="006C2781" w:rsidRPr="00B50591">
        <w:rPr>
          <w:rFonts w:cs="Times New Roman"/>
          <w:szCs w:val="24"/>
          <w:lang w:val="en-US"/>
        </w:rPr>
        <w:t>(Fedick 2017)</w:t>
      </w:r>
      <w:r w:rsidRPr="00B50591">
        <w:rPr>
          <w:szCs w:val="24"/>
          <w:lang w:val="en-US"/>
        </w:rPr>
        <w:t xml:space="preserve">. Cotton </w:t>
      </w:r>
      <w:r w:rsidRPr="00B50591">
        <w:rPr>
          <w:i/>
          <w:iCs/>
          <w:szCs w:val="24"/>
          <w:lang w:val="en-US"/>
        </w:rPr>
        <w:t xml:space="preserve">(Gossypium </w:t>
      </w:r>
      <w:proofErr w:type="spellStart"/>
      <w:r w:rsidRPr="00B50591">
        <w:rPr>
          <w:i/>
          <w:iCs/>
          <w:szCs w:val="24"/>
          <w:lang w:val="en-US"/>
        </w:rPr>
        <w:t>hirsutum</w:t>
      </w:r>
      <w:proofErr w:type="spellEnd"/>
      <w:r w:rsidRPr="00B50591">
        <w:rPr>
          <w:i/>
          <w:iCs/>
          <w:szCs w:val="24"/>
          <w:lang w:val="en-US"/>
        </w:rPr>
        <w:t xml:space="preserve">), </w:t>
      </w:r>
      <w:r w:rsidRPr="00B50591">
        <w:rPr>
          <w:szCs w:val="24"/>
          <w:lang w:val="en-US"/>
        </w:rPr>
        <w:t xml:space="preserve">in contrast, is a non-food crop that was used as a commodity and woven into mantles that were given in tax and tribute. The spatial patterns of production, consumption, exchange, and trade of these different commodities, like the construction of terraces and channeled fields influenced and was influenced by physical and cultural landscape of the Lowlands </w:t>
      </w:r>
      <w:r w:rsidR="006C2781" w:rsidRPr="00B50591">
        <w:rPr>
          <w:rFonts w:cs="Times New Roman"/>
          <w:szCs w:val="24"/>
          <w:lang w:val="en-US"/>
        </w:rPr>
        <w:t xml:space="preserve">(see </w:t>
      </w:r>
      <w:proofErr w:type="spellStart"/>
      <w:r w:rsidR="006C2781" w:rsidRPr="00B50591">
        <w:rPr>
          <w:rFonts w:cs="Times New Roman"/>
          <w:szCs w:val="24"/>
          <w:lang w:val="en-US"/>
        </w:rPr>
        <w:t>Guderjan</w:t>
      </w:r>
      <w:proofErr w:type="spellEnd"/>
      <w:r w:rsidR="006C2781" w:rsidRPr="00B50591">
        <w:rPr>
          <w:rFonts w:cs="Times New Roman"/>
          <w:szCs w:val="24"/>
          <w:lang w:val="en-US"/>
        </w:rPr>
        <w:t xml:space="preserve"> et al. 2017)</w:t>
      </w:r>
      <w:r w:rsidRPr="00B50591">
        <w:rPr>
          <w:szCs w:val="24"/>
          <w:lang w:val="en-US"/>
        </w:rPr>
        <w:t>. Of course, the crops chosen for this research do not provide a comprehensive list of commodity crops grown and utilized by ancient Maya people. Postulated commodities that do not grow in the study region, due to their restrictive ecological ranges, were not selected. Vanilla (</w:t>
      </w:r>
      <w:r w:rsidRPr="00B50591">
        <w:rPr>
          <w:i/>
          <w:iCs/>
          <w:szCs w:val="24"/>
          <w:lang w:val="en-US"/>
        </w:rPr>
        <w:t>Vanilla spp.</w:t>
      </w:r>
      <w:r w:rsidRPr="00B50591">
        <w:rPr>
          <w:szCs w:val="24"/>
          <w:lang w:val="en-US"/>
        </w:rPr>
        <w:t xml:space="preserve">), though a likely commodity for which there is historical evidence </w:t>
      </w:r>
      <w:r w:rsidR="006A7ABC" w:rsidRPr="00B50591">
        <w:rPr>
          <w:szCs w:val="24"/>
          <w:lang w:val="en-US"/>
        </w:rPr>
        <w:t>of</w:t>
      </w:r>
      <w:r w:rsidRPr="00B50591">
        <w:rPr>
          <w:szCs w:val="24"/>
          <w:lang w:val="en-US"/>
        </w:rPr>
        <w:t xml:space="preserve"> production in the region </w:t>
      </w:r>
      <w:r w:rsidR="006C2781" w:rsidRPr="00B50591">
        <w:rPr>
          <w:rFonts w:cs="Times New Roman"/>
          <w:szCs w:val="24"/>
          <w:lang w:val="en-US"/>
        </w:rPr>
        <w:t xml:space="preserve">(Caso Barrera and </w:t>
      </w:r>
      <w:proofErr w:type="spellStart"/>
      <w:r w:rsidR="006C2781" w:rsidRPr="00B50591">
        <w:rPr>
          <w:rFonts w:cs="Times New Roman"/>
          <w:szCs w:val="24"/>
          <w:lang w:val="en-US"/>
        </w:rPr>
        <w:t>Aliphat</w:t>
      </w:r>
      <w:proofErr w:type="spellEnd"/>
      <w:r w:rsidR="006C2781" w:rsidRPr="00B50591">
        <w:rPr>
          <w:rFonts w:cs="Times New Roman"/>
          <w:szCs w:val="24"/>
          <w:lang w:val="en-US"/>
        </w:rPr>
        <w:t xml:space="preserve"> Fernández 2006)</w:t>
      </w:r>
      <w:r w:rsidRPr="00B50591">
        <w:rPr>
          <w:szCs w:val="24"/>
          <w:lang w:val="en-US"/>
        </w:rPr>
        <w:t xml:space="preserve">, was not chosen due to its restrictive ecological range </w:t>
      </w:r>
      <w:r w:rsidR="006A7ABC" w:rsidRPr="00B50591">
        <w:rPr>
          <w:szCs w:val="24"/>
          <w:lang w:val="en-US"/>
        </w:rPr>
        <w:t>and</w:t>
      </w:r>
      <w:r w:rsidRPr="00B50591">
        <w:rPr>
          <w:szCs w:val="24"/>
          <w:lang w:val="en-US"/>
        </w:rPr>
        <w:t xml:space="preserve"> its low visibility in the archaeological record </w:t>
      </w:r>
      <w:r w:rsidR="006C2781" w:rsidRPr="00B50591">
        <w:rPr>
          <w:rFonts w:cs="Times New Roman"/>
          <w:szCs w:val="24"/>
          <w:lang w:val="en-US"/>
        </w:rPr>
        <w:t>(Fedick 2017; Morell-Hart 2020)</w:t>
      </w:r>
      <w:r w:rsidRPr="00B50591">
        <w:rPr>
          <w:szCs w:val="24"/>
          <w:lang w:val="en-US"/>
        </w:rPr>
        <w:t>. Other key crops, such as tobacco (</w:t>
      </w:r>
      <w:r w:rsidRPr="00B50591">
        <w:rPr>
          <w:i/>
          <w:iCs/>
          <w:szCs w:val="24"/>
          <w:lang w:val="en-US"/>
        </w:rPr>
        <w:t xml:space="preserve">Nicotiana </w:t>
      </w:r>
      <w:r w:rsidRPr="00B50591">
        <w:rPr>
          <w:szCs w:val="24"/>
          <w:lang w:val="en-US"/>
        </w:rPr>
        <w:t xml:space="preserve">spp.) grow easily in </w:t>
      </w:r>
      <w:proofErr w:type="gramStart"/>
      <w:r w:rsidRPr="00B50591">
        <w:rPr>
          <w:szCs w:val="24"/>
          <w:lang w:val="en-US"/>
        </w:rPr>
        <w:t>a number of</w:t>
      </w:r>
      <w:proofErr w:type="gramEnd"/>
      <w:r w:rsidRPr="00B50591">
        <w:rPr>
          <w:szCs w:val="24"/>
          <w:lang w:val="en-US"/>
        </w:rPr>
        <w:t xml:space="preserve"> </w:t>
      </w:r>
      <w:proofErr w:type="spellStart"/>
      <w:r w:rsidRPr="00B50591">
        <w:rPr>
          <w:szCs w:val="24"/>
          <w:lang w:val="en-US"/>
        </w:rPr>
        <w:t>homegarden</w:t>
      </w:r>
      <w:proofErr w:type="spellEnd"/>
      <w:r w:rsidRPr="00B50591">
        <w:rPr>
          <w:szCs w:val="24"/>
          <w:lang w:val="en-US"/>
        </w:rPr>
        <w:t xml:space="preserve"> ecologies and have largely been identified through archaeobotanical studies only to the family level </w:t>
      </w:r>
      <w:r w:rsidR="006C2781" w:rsidRPr="00B50591">
        <w:rPr>
          <w:rFonts w:cs="Times New Roman"/>
          <w:szCs w:val="24"/>
          <w:lang w:val="en-US"/>
        </w:rPr>
        <w:t xml:space="preserve">(e.g., </w:t>
      </w:r>
      <w:proofErr w:type="spellStart"/>
      <w:r w:rsidR="006C2781" w:rsidRPr="00B50591">
        <w:rPr>
          <w:rFonts w:cs="Times New Roman"/>
          <w:szCs w:val="24"/>
          <w:lang w:val="en-US"/>
        </w:rPr>
        <w:t>Cagnato</w:t>
      </w:r>
      <w:proofErr w:type="spellEnd"/>
      <w:r w:rsidR="006C2781" w:rsidRPr="00B50591">
        <w:rPr>
          <w:rFonts w:cs="Times New Roman"/>
          <w:szCs w:val="24"/>
          <w:lang w:val="en-US"/>
        </w:rPr>
        <w:t xml:space="preserve"> 2018)</w:t>
      </w:r>
      <w:r w:rsidRPr="00B50591">
        <w:rPr>
          <w:szCs w:val="24"/>
          <w:lang w:val="en-US"/>
        </w:rPr>
        <w:t>, and thus may not have acquired the same value as other economic plants that are more difficult to grow.</w:t>
      </w:r>
    </w:p>
    <w:p w14:paraId="0D96D44B" w14:textId="77777777" w:rsidR="00A430DB" w:rsidRPr="00B50591" w:rsidRDefault="00537EA5" w:rsidP="00235501">
      <w:pPr>
        <w:spacing w:before="100" w:beforeAutospacing="1" w:after="100" w:afterAutospacing="1" w:line="240" w:lineRule="auto"/>
        <w:rPr>
          <w:i/>
          <w:iCs/>
          <w:szCs w:val="24"/>
          <w:lang w:val="en-US"/>
        </w:rPr>
      </w:pPr>
      <w:r w:rsidRPr="00B50591">
        <w:rPr>
          <w:i/>
          <w:iCs/>
          <w:szCs w:val="24"/>
          <w:lang w:val="en-US"/>
        </w:rPr>
        <w:t>Crop Plant Preference Data</w:t>
      </w:r>
    </w:p>
    <w:p w14:paraId="0F81B384" w14:textId="1A271336" w:rsidR="0097450C" w:rsidRPr="00B50591" w:rsidRDefault="0097450C" w:rsidP="00235501">
      <w:pPr>
        <w:ind w:firstLine="720"/>
        <w:rPr>
          <w:szCs w:val="24"/>
          <w:lang w:val="en-US"/>
        </w:rPr>
      </w:pPr>
      <w:r w:rsidRPr="00B50591">
        <w:rPr>
          <w:szCs w:val="24"/>
          <w:lang w:val="en-US"/>
        </w:rPr>
        <w:t xml:space="preserve">Botanical, ethnobotanical, and ethnohistoric data from the Maya region and, at times, the Caribbean, were collected for the selected 18 crops (see </w:t>
      </w:r>
      <w:r w:rsidR="007E79AA" w:rsidRPr="00B50591">
        <w:rPr>
          <w:szCs w:val="24"/>
          <w:lang w:val="en-US"/>
        </w:rPr>
        <w:t xml:space="preserve">References below; </w:t>
      </w:r>
      <w:r w:rsidR="00912D85" w:rsidRPr="00042AD4">
        <w:rPr>
          <w:szCs w:val="24"/>
          <w:lang w:val="en-US"/>
        </w:rPr>
        <w:t>Supplemental</w:t>
      </w:r>
      <w:r w:rsidRPr="00042AD4">
        <w:rPr>
          <w:szCs w:val="24"/>
          <w:lang w:val="en-US"/>
        </w:rPr>
        <w:t xml:space="preserve"> </w:t>
      </w:r>
      <w:r w:rsidR="00235501" w:rsidRPr="00042AD4">
        <w:rPr>
          <w:szCs w:val="24"/>
          <w:lang w:val="en-US"/>
        </w:rPr>
        <w:t>Table 1</w:t>
      </w:r>
      <w:r w:rsidRPr="00022B80">
        <w:rPr>
          <w:szCs w:val="24"/>
          <w:lang w:val="en-US"/>
        </w:rPr>
        <w:t xml:space="preserve">). </w:t>
      </w:r>
      <w:r w:rsidR="00022B80" w:rsidRPr="00022B80">
        <w:rPr>
          <w:szCs w:val="24"/>
          <w:lang w:val="en-US"/>
        </w:rPr>
        <w:t>Th</w:t>
      </w:r>
      <w:r w:rsidR="00022B80">
        <w:rPr>
          <w:szCs w:val="24"/>
          <w:lang w:val="en-US"/>
        </w:rPr>
        <w:t xml:space="preserve">ese </w:t>
      </w:r>
      <w:r w:rsidRPr="00022B80">
        <w:rPr>
          <w:szCs w:val="24"/>
          <w:lang w:val="en-US"/>
        </w:rPr>
        <w:t>data were used to determine the suitability of the conditions within each layer for each crop prior to using the Weighted Overlay tool. The soil moisture and the various</w:t>
      </w:r>
      <w:r w:rsidRPr="00B50591">
        <w:rPr>
          <w:szCs w:val="24"/>
          <w:lang w:val="en-US"/>
        </w:rPr>
        <w:t xml:space="preserve"> soil texture </w:t>
      </w:r>
      <w:r w:rsidRPr="00022B80">
        <w:rPr>
          <w:szCs w:val="24"/>
          <w:lang w:val="en-US"/>
        </w:rPr>
        <w:t>columns (</w:t>
      </w:r>
      <w:r w:rsidR="00235501" w:rsidRPr="00022B80">
        <w:rPr>
          <w:szCs w:val="24"/>
          <w:lang w:val="en-US"/>
        </w:rPr>
        <w:t>Supplemental Table</w:t>
      </w:r>
      <w:r w:rsidR="0053066A" w:rsidRPr="00022B80">
        <w:rPr>
          <w:szCs w:val="24"/>
          <w:lang w:val="en-US"/>
        </w:rPr>
        <w:t>s</w:t>
      </w:r>
      <w:r w:rsidR="00235501" w:rsidRPr="00022B80">
        <w:rPr>
          <w:szCs w:val="24"/>
          <w:lang w:val="en-US"/>
        </w:rPr>
        <w:t xml:space="preserve"> </w:t>
      </w:r>
      <w:r w:rsidR="00423C6E" w:rsidRPr="00022B80">
        <w:rPr>
          <w:szCs w:val="24"/>
          <w:lang w:val="en-US"/>
        </w:rPr>
        <w:t>1</w:t>
      </w:r>
      <w:r w:rsidR="0053066A" w:rsidRPr="00022B80">
        <w:rPr>
          <w:szCs w:val="24"/>
          <w:lang w:val="en-US"/>
        </w:rPr>
        <w:t xml:space="preserve"> and</w:t>
      </w:r>
      <w:r w:rsidR="00423C6E" w:rsidRPr="00022B80">
        <w:rPr>
          <w:szCs w:val="24"/>
          <w:lang w:val="en-US"/>
        </w:rPr>
        <w:t xml:space="preserve"> </w:t>
      </w:r>
      <w:r w:rsidR="00235501" w:rsidRPr="00022B80">
        <w:rPr>
          <w:szCs w:val="24"/>
          <w:lang w:val="en-US"/>
        </w:rPr>
        <w:t>2</w:t>
      </w:r>
      <w:r w:rsidRPr="00022B80">
        <w:rPr>
          <w:szCs w:val="24"/>
          <w:lang w:val="en-US"/>
        </w:rPr>
        <w:t>) were specifically</w:t>
      </w:r>
      <w:r w:rsidRPr="00B50591">
        <w:rPr>
          <w:szCs w:val="24"/>
          <w:lang w:val="en-US"/>
        </w:rPr>
        <w:t xml:space="preserve"> consulted for this purpose. The other data columns, though not used in this study, can later be expanded to include more species, varietals, and variables for use in future studies in the Maya area and beyond.</w:t>
      </w:r>
      <w:r w:rsidR="003D7C12" w:rsidRPr="00B50591">
        <w:rPr>
          <w:szCs w:val="24"/>
          <w:lang w:val="en-US"/>
        </w:rPr>
        <w:t xml:space="preserve"> Further, the data columns presented in the table in </w:t>
      </w:r>
      <w:r w:rsidR="00912D85">
        <w:rPr>
          <w:szCs w:val="24"/>
          <w:lang w:val="en-US"/>
        </w:rPr>
        <w:t>Supplemental</w:t>
      </w:r>
      <w:r w:rsidR="003D7C12" w:rsidRPr="00B50591">
        <w:rPr>
          <w:szCs w:val="24"/>
          <w:lang w:val="en-US"/>
        </w:rPr>
        <w:t xml:space="preserve"> </w:t>
      </w:r>
      <w:r w:rsidR="00235501" w:rsidRPr="00B50591">
        <w:rPr>
          <w:szCs w:val="24"/>
          <w:lang w:val="en-US"/>
        </w:rPr>
        <w:t>Table 1</w:t>
      </w:r>
      <w:r w:rsidR="003D7C12" w:rsidRPr="00B50591">
        <w:rPr>
          <w:szCs w:val="24"/>
          <w:lang w:val="en-US"/>
        </w:rPr>
        <w:t xml:space="preserve"> are not </w:t>
      </w:r>
      <w:r w:rsidR="00C07E70" w:rsidRPr="00B50591">
        <w:rPr>
          <w:szCs w:val="24"/>
          <w:lang w:val="en-US"/>
        </w:rPr>
        <w:t xml:space="preserve">an exhaustive list of </w:t>
      </w:r>
      <w:r w:rsidR="008607F1" w:rsidRPr="00B50591">
        <w:rPr>
          <w:szCs w:val="24"/>
          <w:lang w:val="en-US"/>
        </w:rPr>
        <w:t xml:space="preserve">environmental </w:t>
      </w:r>
      <w:r w:rsidR="009C6CA7" w:rsidRPr="00B50591">
        <w:rPr>
          <w:szCs w:val="24"/>
          <w:lang w:val="en-US"/>
        </w:rPr>
        <w:t>considerations</w:t>
      </w:r>
      <w:r w:rsidR="00C07E70" w:rsidRPr="00B50591">
        <w:rPr>
          <w:szCs w:val="24"/>
          <w:lang w:val="en-US"/>
        </w:rPr>
        <w:t xml:space="preserve"> important in determining crop suitability. </w:t>
      </w:r>
      <w:bookmarkStart w:id="0" w:name="_Hlk174625937"/>
      <w:r w:rsidR="00E77D4E" w:rsidRPr="00B50591">
        <w:rPr>
          <w:szCs w:val="24"/>
          <w:lang w:val="en-US"/>
        </w:rPr>
        <w:t>Many other c</w:t>
      </w:r>
      <w:r w:rsidR="009C6CA7" w:rsidRPr="00B50591">
        <w:rPr>
          <w:szCs w:val="24"/>
          <w:lang w:val="en-US"/>
        </w:rPr>
        <w:t xml:space="preserve">rop preferences, such as soil depth, </w:t>
      </w:r>
      <w:r w:rsidR="008B60DB">
        <w:rPr>
          <w:szCs w:val="24"/>
          <w:lang w:val="en-US"/>
        </w:rPr>
        <w:t>may</w:t>
      </w:r>
      <w:r w:rsidR="008B60DB" w:rsidRPr="00B50591">
        <w:rPr>
          <w:szCs w:val="24"/>
          <w:lang w:val="en-US"/>
        </w:rPr>
        <w:t xml:space="preserve"> </w:t>
      </w:r>
      <w:r w:rsidR="00E77D4E" w:rsidRPr="00B50591">
        <w:rPr>
          <w:szCs w:val="24"/>
          <w:lang w:val="en-US"/>
        </w:rPr>
        <w:t>influence the suitability of the land for certain crops</w:t>
      </w:r>
      <w:r w:rsidR="006A7ABC" w:rsidRPr="00B50591">
        <w:rPr>
          <w:szCs w:val="24"/>
          <w:lang w:val="en-US"/>
        </w:rPr>
        <w:t xml:space="preserve">. </w:t>
      </w:r>
      <w:bookmarkEnd w:id="0"/>
      <w:r w:rsidR="006A7ABC" w:rsidRPr="00B50591">
        <w:rPr>
          <w:szCs w:val="24"/>
          <w:lang w:val="en-US"/>
        </w:rPr>
        <w:t xml:space="preserve">These </w:t>
      </w:r>
      <w:r w:rsidR="006A7ABC" w:rsidRPr="00B50591">
        <w:rPr>
          <w:szCs w:val="24"/>
          <w:lang w:val="en-US"/>
        </w:rPr>
        <w:lastRenderedPageBreak/>
        <w:t>other crop preferences are not incorporated</w:t>
      </w:r>
      <w:r w:rsidR="00990747" w:rsidRPr="00B50591">
        <w:rPr>
          <w:szCs w:val="24"/>
          <w:lang w:val="en-US"/>
        </w:rPr>
        <w:t xml:space="preserve"> in this model</w:t>
      </w:r>
      <w:r w:rsidR="006A7ABC" w:rsidRPr="00B50591">
        <w:rPr>
          <w:szCs w:val="24"/>
          <w:lang w:val="en-US"/>
        </w:rPr>
        <w:t>, given the limitations of the available soils data set</w:t>
      </w:r>
      <w:r w:rsidR="007D601C" w:rsidRPr="00B50591">
        <w:rPr>
          <w:szCs w:val="24"/>
          <w:lang w:val="en-US"/>
        </w:rPr>
        <w:t>s</w:t>
      </w:r>
      <w:r w:rsidR="006A7ABC" w:rsidRPr="00B50591">
        <w:rPr>
          <w:szCs w:val="24"/>
          <w:lang w:val="en-US"/>
        </w:rPr>
        <w:t xml:space="preserve"> </w:t>
      </w:r>
      <w:r w:rsidR="007D601C" w:rsidRPr="00B50591">
        <w:rPr>
          <w:szCs w:val="24"/>
          <w:lang w:val="en-US"/>
        </w:rPr>
        <w:t>that we can use in modeling ancient land use.</w:t>
      </w:r>
    </w:p>
    <w:p w14:paraId="66E6992C" w14:textId="77777777" w:rsidR="00235501" w:rsidRPr="00B50591" w:rsidRDefault="0097450C" w:rsidP="00FC35A0">
      <w:pPr>
        <w:spacing w:before="100" w:beforeAutospacing="1" w:after="100" w:afterAutospacing="1" w:line="240" w:lineRule="auto"/>
        <w:rPr>
          <w:szCs w:val="24"/>
          <w:lang w:val="en-US"/>
        </w:rPr>
      </w:pPr>
      <w:r w:rsidRPr="00B50591">
        <w:rPr>
          <w:i/>
          <w:iCs/>
          <w:szCs w:val="24"/>
          <w:lang w:val="en-US"/>
        </w:rPr>
        <w:t>Soil Texture</w:t>
      </w:r>
    </w:p>
    <w:p w14:paraId="6CE5910D" w14:textId="0E6D0A32" w:rsidR="0097450C" w:rsidRPr="00B50591" w:rsidRDefault="00783EF5" w:rsidP="00467933">
      <w:pPr>
        <w:ind w:firstLine="720"/>
        <w:rPr>
          <w:szCs w:val="24"/>
          <w:lang w:val="en-US"/>
        </w:rPr>
      </w:pPr>
      <w:r w:rsidRPr="00B50591">
        <w:rPr>
          <w:szCs w:val="24"/>
          <w:lang w:val="en-US"/>
        </w:rPr>
        <w:t xml:space="preserve"> </w:t>
      </w:r>
      <w:r w:rsidR="0097450C" w:rsidRPr="00B50591">
        <w:rPr>
          <w:szCs w:val="24"/>
          <w:lang w:val="en-US"/>
        </w:rPr>
        <w:t xml:space="preserve">The importance of soil for agricultural decision making is recognized by all contemporary Maya farmers. Itza Maya farmers of Guatemala’s Petén region, for example, clearly classify and local soils and associate certain crops and cultivation methods with different soil types </w:t>
      </w:r>
      <w:r w:rsidR="006C2781" w:rsidRPr="00B50591">
        <w:rPr>
          <w:rFonts w:cs="Times New Roman"/>
          <w:szCs w:val="24"/>
          <w:lang w:val="en-US"/>
        </w:rPr>
        <w:t>(Atran et al. 1993)</w:t>
      </w:r>
      <w:r w:rsidR="0097450C" w:rsidRPr="00B50591">
        <w:rPr>
          <w:szCs w:val="24"/>
          <w:lang w:val="en-US"/>
        </w:rPr>
        <w:t xml:space="preserve">. Further, the prevention of soil erosion and retention of soil nutrients are soil-based motivations for the investment in </w:t>
      </w:r>
      <w:proofErr w:type="spellStart"/>
      <w:r w:rsidR="0097450C" w:rsidRPr="00B50591">
        <w:rPr>
          <w:szCs w:val="24"/>
          <w:lang w:val="en-US"/>
        </w:rPr>
        <w:t>landesque</w:t>
      </w:r>
      <w:proofErr w:type="spellEnd"/>
      <w:r w:rsidR="0097450C" w:rsidRPr="00B50591">
        <w:rPr>
          <w:szCs w:val="24"/>
          <w:lang w:val="en-US"/>
        </w:rPr>
        <w:t xml:space="preserve"> capital, such as terraces </w:t>
      </w:r>
      <w:r w:rsidR="006C2781" w:rsidRPr="00B50591">
        <w:rPr>
          <w:rFonts w:cs="Times New Roman"/>
          <w:szCs w:val="24"/>
          <w:lang w:val="en-US"/>
        </w:rPr>
        <w:t>(Wilken 1971)</w:t>
      </w:r>
      <w:r w:rsidR="0097450C" w:rsidRPr="00B50591">
        <w:rPr>
          <w:szCs w:val="24"/>
          <w:lang w:val="en-US"/>
        </w:rPr>
        <w:t xml:space="preserve">. Soil texture was given the highest weight, 50%, as it is one of the dominant factors in determining natural agricultural potential </w:t>
      </w:r>
      <w:r w:rsidR="006C2781" w:rsidRPr="00B50591">
        <w:rPr>
          <w:rFonts w:cs="Times New Roman"/>
          <w:szCs w:val="24"/>
          <w:lang w:val="en-US"/>
        </w:rPr>
        <w:t>(</w:t>
      </w:r>
      <w:proofErr w:type="spellStart"/>
      <w:r w:rsidR="006C2781" w:rsidRPr="00B50591">
        <w:rPr>
          <w:rFonts w:cs="Times New Roman"/>
          <w:szCs w:val="24"/>
          <w:lang w:val="en-US"/>
        </w:rPr>
        <w:t>Dorshow</w:t>
      </w:r>
      <w:proofErr w:type="spellEnd"/>
      <w:r w:rsidR="006C2781" w:rsidRPr="00B50591">
        <w:rPr>
          <w:rFonts w:cs="Times New Roman"/>
          <w:szCs w:val="24"/>
          <w:lang w:val="en-US"/>
        </w:rPr>
        <w:t xml:space="preserve"> 2012)</w:t>
      </w:r>
      <w:r w:rsidR="0097450C" w:rsidRPr="00B50591">
        <w:rPr>
          <w:szCs w:val="24"/>
          <w:lang w:val="en-US"/>
        </w:rPr>
        <w:t xml:space="preserve">. </w:t>
      </w:r>
    </w:p>
    <w:p w14:paraId="3DFA9609" w14:textId="15079F2D" w:rsidR="0097450C" w:rsidRDefault="0097450C" w:rsidP="0097450C">
      <w:pPr>
        <w:ind w:firstLine="720"/>
        <w:rPr>
          <w:szCs w:val="24"/>
          <w:lang w:val="en-US"/>
        </w:rPr>
      </w:pPr>
      <w:r w:rsidRPr="00B50591">
        <w:rPr>
          <w:szCs w:val="24"/>
          <w:lang w:val="en-US"/>
        </w:rPr>
        <w:t xml:space="preserve">Here soil texture is considered in terms of percent clay, where sand dominant soils are 0-15% clay, loam and silt dominant soils are 15-35% clay, and clay dominant soils are 35% + clay. The raster used for this layer of the model was created by Hengl </w:t>
      </w:r>
      <w:r w:rsidR="006C2781" w:rsidRPr="00B50591">
        <w:rPr>
          <w:rFonts w:cs="Times New Roman"/>
          <w:szCs w:val="24"/>
          <w:lang w:val="en-US"/>
        </w:rPr>
        <w:t>(2018)</w:t>
      </w:r>
      <w:r w:rsidRPr="00B50591">
        <w:rPr>
          <w:szCs w:val="24"/>
          <w:lang w:val="en-US"/>
        </w:rPr>
        <w:t>, and maps percent clay content (kg/kg) at a depth of 60 cm</w:t>
      </w:r>
      <w:r w:rsidR="00D82BA8" w:rsidRPr="00B50591">
        <w:rPr>
          <w:szCs w:val="24"/>
          <w:lang w:val="en-US"/>
        </w:rPr>
        <w:t xml:space="preserve"> at 250 m resolution</w:t>
      </w:r>
      <w:r w:rsidRPr="00B50591">
        <w:rPr>
          <w:szCs w:val="24"/>
          <w:lang w:val="en-US"/>
        </w:rPr>
        <w:t xml:space="preserve">. The Hengl dataset is based on machine learning predictions from a compilation of global soil profiles and samples and was retrieved from </w:t>
      </w:r>
      <w:proofErr w:type="spellStart"/>
      <w:r w:rsidRPr="00B50591">
        <w:rPr>
          <w:szCs w:val="24"/>
          <w:lang w:val="en-US"/>
        </w:rPr>
        <w:t>OpenLandMap</w:t>
      </w:r>
      <w:proofErr w:type="spellEnd"/>
      <w:r w:rsidRPr="00B50591">
        <w:rPr>
          <w:szCs w:val="24"/>
          <w:lang w:val="en-US"/>
        </w:rPr>
        <w:t>.</w:t>
      </w:r>
    </w:p>
    <w:p w14:paraId="660A6188" w14:textId="4E978A93" w:rsidR="00EB5BDC" w:rsidRPr="001B7170" w:rsidRDefault="002B47B4" w:rsidP="00C07893">
      <w:pPr>
        <w:ind w:firstLine="720"/>
        <w:rPr>
          <w:szCs w:val="24"/>
          <w:lang w:val="en-US"/>
        </w:rPr>
      </w:pPr>
      <w:r>
        <w:rPr>
          <w:szCs w:val="24"/>
          <w:lang w:val="en-US"/>
        </w:rPr>
        <w:t>S</w:t>
      </w:r>
      <w:r w:rsidR="00EB5BDC" w:rsidRPr="00042AD4">
        <w:rPr>
          <w:szCs w:val="24"/>
          <w:lang w:val="en-US"/>
        </w:rPr>
        <w:t>oil</w:t>
      </w:r>
      <w:r w:rsidR="0027103A" w:rsidRPr="00EB5BDC">
        <w:rPr>
          <w:szCs w:val="24"/>
          <w:lang w:val="en-US"/>
        </w:rPr>
        <w:t xml:space="preserve"> maps</w:t>
      </w:r>
      <w:r w:rsidR="00E70AB4" w:rsidRPr="00042AD4">
        <w:rPr>
          <w:szCs w:val="24"/>
          <w:lang w:val="en-US"/>
        </w:rPr>
        <w:t xml:space="preserve"> for the region</w:t>
      </w:r>
      <w:r w:rsidR="00517015" w:rsidRPr="00EB5BDC">
        <w:rPr>
          <w:szCs w:val="24"/>
          <w:lang w:val="en-US"/>
        </w:rPr>
        <w:t xml:space="preserve"> </w:t>
      </w:r>
      <w:r>
        <w:rPr>
          <w:szCs w:val="24"/>
          <w:lang w:val="en-US"/>
        </w:rPr>
        <w:t xml:space="preserve">are </w:t>
      </w:r>
      <w:r w:rsidR="00A12C63" w:rsidRPr="00042AD4">
        <w:rPr>
          <w:szCs w:val="24"/>
          <w:lang w:val="en-US"/>
        </w:rPr>
        <w:t xml:space="preserve">digitally </w:t>
      </w:r>
      <w:r w:rsidR="00E70AB4" w:rsidRPr="00042AD4">
        <w:rPr>
          <w:szCs w:val="24"/>
          <w:lang w:val="en-US"/>
        </w:rPr>
        <w:t xml:space="preserve">available from the Instituto Nacional de </w:t>
      </w:r>
      <w:proofErr w:type="spellStart"/>
      <w:r w:rsidR="00E70AB4" w:rsidRPr="00042AD4">
        <w:rPr>
          <w:szCs w:val="24"/>
          <w:lang w:val="en-US"/>
        </w:rPr>
        <w:t>Estadística</w:t>
      </w:r>
      <w:proofErr w:type="spellEnd"/>
      <w:r w:rsidR="00E70AB4" w:rsidRPr="00042AD4">
        <w:rPr>
          <w:szCs w:val="24"/>
          <w:lang w:val="en-US"/>
        </w:rPr>
        <w:t xml:space="preserve"> y </w:t>
      </w:r>
      <w:proofErr w:type="spellStart"/>
      <w:r w:rsidR="00E70AB4" w:rsidRPr="00042AD4">
        <w:rPr>
          <w:szCs w:val="24"/>
          <w:lang w:val="en-US"/>
        </w:rPr>
        <w:t>Geografía</w:t>
      </w:r>
      <w:proofErr w:type="spellEnd"/>
      <w:r w:rsidR="00E70AB4" w:rsidRPr="00042AD4">
        <w:rPr>
          <w:szCs w:val="24"/>
          <w:lang w:val="en-US"/>
        </w:rPr>
        <w:t xml:space="preserve"> (INEGI</w:t>
      </w:r>
      <w:r w:rsidR="00E8562E" w:rsidRPr="00042AD4">
        <w:rPr>
          <w:szCs w:val="24"/>
          <w:lang w:val="en-US"/>
        </w:rPr>
        <w:t>)</w:t>
      </w:r>
      <w:r w:rsidR="00F07768" w:rsidRPr="00042AD4">
        <w:rPr>
          <w:szCs w:val="24"/>
          <w:lang w:val="en-US"/>
        </w:rPr>
        <w:t xml:space="preserve">. </w:t>
      </w:r>
      <w:r w:rsidR="00F60A97" w:rsidRPr="00042AD4">
        <w:rPr>
          <w:szCs w:val="24"/>
          <w:lang w:val="en-US"/>
        </w:rPr>
        <w:t xml:space="preserve">The </w:t>
      </w:r>
      <w:r w:rsidR="00C07893">
        <w:rPr>
          <w:szCs w:val="24"/>
          <w:lang w:val="en-US"/>
        </w:rPr>
        <w:t>most recent of these</w:t>
      </w:r>
      <w:r w:rsidR="00771EB1">
        <w:rPr>
          <w:szCs w:val="24"/>
          <w:lang w:val="en-US"/>
        </w:rPr>
        <w:t>,</w:t>
      </w:r>
      <w:r w:rsidR="00E8562E" w:rsidRPr="00042AD4">
        <w:rPr>
          <w:szCs w:val="24"/>
          <w:lang w:val="en-US"/>
        </w:rPr>
        <w:t xml:space="preserve"> </w:t>
      </w:r>
      <w:r w:rsidR="00FE0D95">
        <w:rPr>
          <w:szCs w:val="24"/>
          <w:lang w:val="en-US"/>
        </w:rPr>
        <w:t>in GIS compatible formats</w:t>
      </w:r>
      <w:r w:rsidR="00771EB1">
        <w:rPr>
          <w:szCs w:val="24"/>
          <w:lang w:val="en-US"/>
        </w:rPr>
        <w:t>,</w:t>
      </w:r>
      <w:r w:rsidR="00FE0D95">
        <w:rPr>
          <w:szCs w:val="24"/>
          <w:lang w:val="en-US"/>
        </w:rPr>
        <w:t xml:space="preserve"> </w:t>
      </w:r>
      <w:r w:rsidR="00E8562E" w:rsidRPr="00042AD4">
        <w:rPr>
          <w:szCs w:val="24"/>
          <w:lang w:val="en-US"/>
        </w:rPr>
        <w:t>are from 2007</w:t>
      </w:r>
      <w:r w:rsidR="000E6594" w:rsidRPr="00042AD4">
        <w:rPr>
          <w:szCs w:val="24"/>
          <w:lang w:val="en-US"/>
        </w:rPr>
        <w:t xml:space="preserve"> and are</w:t>
      </w:r>
      <w:r w:rsidR="00F60A97" w:rsidRPr="00042AD4">
        <w:rPr>
          <w:szCs w:val="24"/>
          <w:lang w:val="en-US"/>
        </w:rPr>
        <w:t xml:space="preserve"> </w:t>
      </w:r>
      <w:r w:rsidR="00EB5BDC" w:rsidRPr="00EB5BDC">
        <w:rPr>
          <w:szCs w:val="24"/>
          <w:lang w:val="en-US"/>
        </w:rPr>
        <w:t>available</w:t>
      </w:r>
      <w:r w:rsidR="00F60A97" w:rsidRPr="00042AD4">
        <w:rPr>
          <w:szCs w:val="24"/>
          <w:lang w:val="en-US"/>
        </w:rPr>
        <w:t xml:space="preserve"> at a scale of 1: 250 000</w:t>
      </w:r>
      <w:r>
        <w:rPr>
          <w:szCs w:val="24"/>
          <w:lang w:val="en-US"/>
        </w:rPr>
        <w:t xml:space="preserve"> and</w:t>
      </w:r>
      <w:r w:rsidR="000936B3" w:rsidRPr="00042AD4">
        <w:rPr>
          <w:szCs w:val="24"/>
          <w:lang w:val="en-US"/>
        </w:rPr>
        <w:t xml:space="preserve"> </w:t>
      </w:r>
      <w:r w:rsidR="00B82190" w:rsidRPr="00042AD4">
        <w:rPr>
          <w:szCs w:val="24"/>
          <w:lang w:val="en-US"/>
        </w:rPr>
        <w:t>use the</w:t>
      </w:r>
      <w:r w:rsidR="005A3401" w:rsidRPr="00042AD4">
        <w:rPr>
          <w:szCs w:val="24"/>
          <w:lang w:val="en-US"/>
        </w:rPr>
        <w:t xml:space="preserve"> 1999</w:t>
      </w:r>
      <w:r w:rsidR="00B82190" w:rsidRPr="00042AD4">
        <w:rPr>
          <w:szCs w:val="24"/>
          <w:lang w:val="en-US"/>
        </w:rPr>
        <w:t xml:space="preserve"> </w:t>
      </w:r>
      <w:r w:rsidR="008A57EB" w:rsidRPr="00042AD4">
        <w:rPr>
          <w:szCs w:val="24"/>
          <w:lang w:val="en-US"/>
        </w:rPr>
        <w:t>W</w:t>
      </w:r>
      <w:r w:rsidR="00B82190" w:rsidRPr="00042AD4">
        <w:rPr>
          <w:szCs w:val="24"/>
          <w:lang w:val="en-US"/>
        </w:rPr>
        <w:t xml:space="preserve">orld </w:t>
      </w:r>
      <w:r w:rsidR="008A57EB" w:rsidRPr="00042AD4">
        <w:rPr>
          <w:szCs w:val="24"/>
          <w:lang w:val="en-US"/>
        </w:rPr>
        <w:t>R</w:t>
      </w:r>
      <w:r w:rsidR="00B82190" w:rsidRPr="00042AD4">
        <w:rPr>
          <w:szCs w:val="24"/>
          <w:lang w:val="en-US"/>
        </w:rPr>
        <w:t xml:space="preserve">eference </w:t>
      </w:r>
      <w:r w:rsidR="008A57EB" w:rsidRPr="00042AD4">
        <w:rPr>
          <w:szCs w:val="24"/>
          <w:lang w:val="en-US"/>
        </w:rPr>
        <w:t>B</w:t>
      </w:r>
      <w:r w:rsidR="00B82190" w:rsidRPr="00042AD4">
        <w:rPr>
          <w:szCs w:val="24"/>
          <w:lang w:val="en-US"/>
        </w:rPr>
        <w:t xml:space="preserve">ase </w:t>
      </w:r>
      <w:r w:rsidR="000E59B8">
        <w:rPr>
          <w:szCs w:val="24"/>
          <w:lang w:val="en-US"/>
        </w:rPr>
        <w:t>for S</w:t>
      </w:r>
      <w:r w:rsidR="00B82190" w:rsidRPr="00042AD4">
        <w:rPr>
          <w:szCs w:val="24"/>
          <w:lang w:val="en-US"/>
        </w:rPr>
        <w:t>oil</w:t>
      </w:r>
      <w:r w:rsidR="000E59B8">
        <w:rPr>
          <w:szCs w:val="24"/>
          <w:lang w:val="en-US"/>
        </w:rPr>
        <w:t xml:space="preserve"> Resources</w:t>
      </w:r>
      <w:r w:rsidR="00B82190" w:rsidRPr="00042AD4">
        <w:rPr>
          <w:szCs w:val="24"/>
          <w:lang w:val="en-US"/>
        </w:rPr>
        <w:t xml:space="preserve"> classification system.</w:t>
      </w:r>
      <w:r w:rsidR="00C07893">
        <w:rPr>
          <w:szCs w:val="24"/>
          <w:lang w:val="en-US"/>
        </w:rPr>
        <w:t xml:space="preserve"> </w:t>
      </w:r>
      <w:r w:rsidR="007F7A31">
        <w:rPr>
          <w:szCs w:val="24"/>
          <w:lang w:val="en-US"/>
        </w:rPr>
        <w:t xml:space="preserve">While these </w:t>
      </w:r>
      <w:r w:rsidR="009C1A90">
        <w:rPr>
          <w:szCs w:val="24"/>
          <w:lang w:val="en-US"/>
        </w:rPr>
        <w:t xml:space="preserve">maps </w:t>
      </w:r>
      <w:r w:rsidR="007F7A31">
        <w:rPr>
          <w:szCs w:val="24"/>
          <w:lang w:val="en-US"/>
        </w:rPr>
        <w:t>are small-scale</w:t>
      </w:r>
      <w:r w:rsidR="009C1A90">
        <w:rPr>
          <w:szCs w:val="24"/>
          <w:lang w:val="en-US"/>
        </w:rPr>
        <w:t xml:space="preserve">, </w:t>
      </w:r>
      <w:r w:rsidR="0012011D">
        <w:rPr>
          <w:szCs w:val="24"/>
          <w:lang w:val="en-US"/>
        </w:rPr>
        <w:t xml:space="preserve">they have been criticized for </w:t>
      </w:r>
      <w:r w:rsidR="006E4B4C">
        <w:rPr>
          <w:szCs w:val="24"/>
          <w:lang w:val="en-US"/>
        </w:rPr>
        <w:t xml:space="preserve">a low number of field observations </w:t>
      </w:r>
      <w:r w:rsidR="006E4B4C" w:rsidRPr="006E4B4C">
        <w:rPr>
          <w:szCs w:val="24"/>
        </w:rPr>
        <w:t>(Krasilnikov et al. 2013)</w:t>
      </w:r>
      <w:r w:rsidR="005720A1">
        <w:rPr>
          <w:szCs w:val="24"/>
        </w:rPr>
        <w:t>.</w:t>
      </w:r>
      <w:r w:rsidR="007F7A31">
        <w:rPr>
          <w:szCs w:val="24"/>
          <w:lang w:val="en-US"/>
        </w:rPr>
        <w:t xml:space="preserve"> </w:t>
      </w:r>
      <w:r w:rsidR="00EB5BDC" w:rsidRPr="00042AD4">
        <w:rPr>
          <w:szCs w:val="24"/>
          <w:lang w:val="en-US"/>
        </w:rPr>
        <w:t xml:space="preserve">Additional </w:t>
      </w:r>
      <w:r w:rsidR="00CF4C57">
        <w:rPr>
          <w:szCs w:val="24"/>
          <w:lang w:val="en-US"/>
        </w:rPr>
        <w:t xml:space="preserve">GIS-compatible </w:t>
      </w:r>
      <w:r w:rsidR="00EB5BDC" w:rsidRPr="00042AD4">
        <w:rPr>
          <w:szCs w:val="24"/>
          <w:lang w:val="en-US"/>
        </w:rPr>
        <w:t>soil maps</w:t>
      </w:r>
      <w:r w:rsidR="001B7170" w:rsidRPr="001B7170">
        <w:rPr>
          <w:szCs w:val="24"/>
          <w:lang w:val="en-US"/>
        </w:rPr>
        <w:t xml:space="preserve">, </w:t>
      </w:r>
      <w:r w:rsidR="001B7170" w:rsidRPr="00042AD4">
        <w:rPr>
          <w:szCs w:val="24"/>
          <w:lang w:val="en-US"/>
        </w:rPr>
        <w:t>including modeled clay content maps,</w:t>
      </w:r>
      <w:r w:rsidR="00EB5BDC" w:rsidRPr="00042AD4">
        <w:rPr>
          <w:szCs w:val="24"/>
          <w:lang w:val="en-US"/>
        </w:rPr>
        <w:t xml:space="preserve"> are available from the </w:t>
      </w:r>
      <w:proofErr w:type="spellStart"/>
      <w:r w:rsidR="00EB5BDC" w:rsidRPr="00042AD4">
        <w:rPr>
          <w:szCs w:val="24"/>
          <w:lang w:val="en-US"/>
        </w:rPr>
        <w:t>Comisión</w:t>
      </w:r>
      <w:proofErr w:type="spellEnd"/>
      <w:r w:rsidR="00EB5BDC" w:rsidRPr="00042AD4">
        <w:rPr>
          <w:szCs w:val="24"/>
          <w:lang w:val="en-US"/>
        </w:rPr>
        <w:t xml:space="preserve"> Nacional para </w:t>
      </w:r>
      <w:proofErr w:type="spellStart"/>
      <w:r w:rsidR="00EB5BDC" w:rsidRPr="00042AD4">
        <w:rPr>
          <w:szCs w:val="24"/>
          <w:lang w:val="en-US"/>
        </w:rPr>
        <w:t>el</w:t>
      </w:r>
      <w:proofErr w:type="spellEnd"/>
      <w:r w:rsidR="00EB5BDC" w:rsidRPr="00042AD4">
        <w:rPr>
          <w:szCs w:val="24"/>
          <w:lang w:val="en-US"/>
        </w:rPr>
        <w:t xml:space="preserve"> </w:t>
      </w:r>
      <w:proofErr w:type="spellStart"/>
      <w:r w:rsidR="00EB5BDC" w:rsidRPr="00042AD4">
        <w:rPr>
          <w:szCs w:val="24"/>
          <w:lang w:val="en-US"/>
        </w:rPr>
        <w:t>Conocimiento</w:t>
      </w:r>
      <w:proofErr w:type="spellEnd"/>
      <w:r w:rsidR="00EB5BDC" w:rsidRPr="00042AD4">
        <w:rPr>
          <w:szCs w:val="24"/>
          <w:lang w:val="en-US"/>
        </w:rPr>
        <w:t xml:space="preserve"> y Uso de la </w:t>
      </w:r>
      <w:proofErr w:type="spellStart"/>
      <w:r w:rsidR="00EB5BDC" w:rsidRPr="00042AD4">
        <w:rPr>
          <w:szCs w:val="24"/>
          <w:lang w:val="en-US"/>
        </w:rPr>
        <w:t>Biodiversidad</w:t>
      </w:r>
      <w:proofErr w:type="spellEnd"/>
      <w:r w:rsidR="00EB5BDC" w:rsidRPr="00042AD4">
        <w:rPr>
          <w:szCs w:val="24"/>
          <w:lang w:val="en-US"/>
        </w:rPr>
        <w:t xml:space="preserve"> (CONABIO)</w:t>
      </w:r>
      <w:r w:rsidR="001B7170" w:rsidRPr="00042AD4">
        <w:rPr>
          <w:szCs w:val="24"/>
          <w:lang w:val="en-US"/>
        </w:rPr>
        <w:t>; howeve</w:t>
      </w:r>
      <w:r w:rsidR="001B7170">
        <w:rPr>
          <w:szCs w:val="24"/>
          <w:lang w:val="en-US"/>
        </w:rPr>
        <w:t>r, these maps are</w:t>
      </w:r>
      <w:r w:rsidR="0049786F">
        <w:rPr>
          <w:szCs w:val="24"/>
          <w:lang w:val="en-US"/>
        </w:rPr>
        <w:t xml:space="preserve"> not as refined as those used in the model (1</w:t>
      </w:r>
      <w:r w:rsidR="001B7170">
        <w:rPr>
          <w:szCs w:val="24"/>
          <w:lang w:val="en-US"/>
        </w:rPr>
        <w:t xml:space="preserve"> km resolution</w:t>
      </w:r>
      <w:r w:rsidR="0049786F">
        <w:rPr>
          <w:szCs w:val="24"/>
          <w:lang w:val="en-US"/>
        </w:rPr>
        <w:t>)</w:t>
      </w:r>
      <w:r w:rsidR="001B7170">
        <w:rPr>
          <w:szCs w:val="24"/>
          <w:lang w:val="en-US"/>
        </w:rPr>
        <w:t xml:space="preserve">. </w:t>
      </w:r>
    </w:p>
    <w:p w14:paraId="352948A9" w14:textId="77777777" w:rsidR="00A66EDF" w:rsidRPr="00042AD4" w:rsidRDefault="0097450C" w:rsidP="00A66EDF">
      <w:pPr>
        <w:spacing w:before="100" w:beforeAutospacing="1" w:after="100" w:afterAutospacing="1" w:line="240" w:lineRule="auto"/>
        <w:rPr>
          <w:szCs w:val="24"/>
        </w:rPr>
      </w:pPr>
      <w:r w:rsidRPr="00042AD4">
        <w:rPr>
          <w:i/>
          <w:iCs/>
          <w:szCs w:val="24"/>
        </w:rPr>
        <w:t>Soil Moisture</w:t>
      </w:r>
    </w:p>
    <w:p w14:paraId="1E355D43" w14:textId="3277B360" w:rsidR="0097450C" w:rsidRPr="00B50591" w:rsidRDefault="0097450C" w:rsidP="0034474F">
      <w:pPr>
        <w:ind w:firstLine="720"/>
        <w:rPr>
          <w:i/>
          <w:iCs/>
          <w:szCs w:val="24"/>
          <w:lang w:val="en-US"/>
        </w:rPr>
      </w:pPr>
      <w:r w:rsidRPr="00B50591">
        <w:rPr>
          <w:szCs w:val="24"/>
          <w:lang w:val="en-US"/>
        </w:rPr>
        <w:t xml:space="preserve">The second most important layer for determining crop suitability in this model, given a weight of 40%, is soil moisture. Soil moisture was given less importance than soil texture, as the region is largely moist (mean plant available water capacity = ~61 mm), though its importance is still relatively high. In this model we approximate soil moisture using plant available water capacity (PAWC), also known </w:t>
      </w:r>
      <w:r w:rsidR="00B50591">
        <w:rPr>
          <w:szCs w:val="24"/>
          <w:lang w:val="en-US"/>
        </w:rPr>
        <w:t xml:space="preserve">as </w:t>
      </w:r>
      <w:r w:rsidRPr="00B50591">
        <w:rPr>
          <w:szCs w:val="24"/>
          <w:lang w:val="en-US"/>
        </w:rPr>
        <w:t xml:space="preserve">available water capacity, which is a standard measure of the water holding capacity of soil for plants </w:t>
      </w:r>
      <w:r w:rsidR="006C2781" w:rsidRPr="00B50591">
        <w:rPr>
          <w:rFonts w:cs="Times New Roman"/>
          <w:szCs w:val="24"/>
          <w:lang w:val="en-US"/>
        </w:rPr>
        <w:t>(</w:t>
      </w:r>
      <w:proofErr w:type="spellStart"/>
      <w:r w:rsidR="006C2781" w:rsidRPr="00B50591">
        <w:rPr>
          <w:rFonts w:cs="Times New Roman"/>
          <w:szCs w:val="24"/>
          <w:lang w:val="en-US"/>
        </w:rPr>
        <w:t>Gillreath</w:t>
      </w:r>
      <w:proofErr w:type="spellEnd"/>
      <w:r w:rsidR="006C2781" w:rsidRPr="00B50591">
        <w:rPr>
          <w:rFonts w:cs="Times New Roman"/>
          <w:szCs w:val="24"/>
          <w:lang w:val="en-US"/>
        </w:rPr>
        <w:t>-Brown, Nagaoka, and Wolverton 2019)</w:t>
      </w:r>
      <w:r w:rsidRPr="00B50591">
        <w:rPr>
          <w:szCs w:val="24"/>
          <w:lang w:val="en-US"/>
        </w:rPr>
        <w:t xml:space="preserve">. The layer used was retrieved from </w:t>
      </w:r>
      <w:proofErr w:type="spellStart"/>
      <w:r w:rsidRPr="00B50591">
        <w:rPr>
          <w:szCs w:val="24"/>
          <w:lang w:val="en-US"/>
        </w:rPr>
        <w:t>OpenLandMap</w:t>
      </w:r>
      <w:proofErr w:type="spellEnd"/>
      <w:r w:rsidRPr="00B50591">
        <w:rPr>
          <w:szCs w:val="24"/>
          <w:lang w:val="en-US"/>
        </w:rPr>
        <w:t xml:space="preserve"> and maps PAWC in mm at a depth of 60-100 cm</w:t>
      </w:r>
      <w:r w:rsidR="00D82BA8" w:rsidRPr="00B50591">
        <w:rPr>
          <w:szCs w:val="24"/>
          <w:lang w:val="en-US"/>
        </w:rPr>
        <w:t xml:space="preserve"> at a resolution of 250 m</w:t>
      </w:r>
      <w:r w:rsidRPr="00B50591">
        <w:rPr>
          <w:szCs w:val="24"/>
          <w:lang w:val="en-US"/>
        </w:rPr>
        <w:t xml:space="preserve">. It is also based on machine learning predictions from a compilation of global soil profiles and samples </w:t>
      </w:r>
      <w:r w:rsidR="006C2781" w:rsidRPr="00B50591">
        <w:rPr>
          <w:rFonts w:cs="Times New Roman"/>
          <w:szCs w:val="24"/>
          <w:lang w:val="en-US"/>
        </w:rPr>
        <w:t>(Hengl and Gupta 2019)</w:t>
      </w:r>
      <w:r w:rsidRPr="00B50591">
        <w:rPr>
          <w:szCs w:val="24"/>
          <w:lang w:val="en-US"/>
        </w:rPr>
        <w:t xml:space="preserve">. </w:t>
      </w:r>
    </w:p>
    <w:p w14:paraId="0047925C" w14:textId="137E61BC" w:rsidR="0097450C" w:rsidRPr="00B50591" w:rsidRDefault="0097450C" w:rsidP="0097450C">
      <w:pPr>
        <w:ind w:firstLine="720"/>
        <w:rPr>
          <w:szCs w:val="24"/>
          <w:lang w:val="en-US"/>
        </w:rPr>
      </w:pPr>
      <w:r w:rsidRPr="00B50591">
        <w:rPr>
          <w:szCs w:val="24"/>
          <w:lang w:val="en-US"/>
        </w:rPr>
        <w:t xml:space="preserve">A very high PAWC value in the top meter of soil is 300 mm </w:t>
      </w:r>
      <w:r w:rsidR="006C2781" w:rsidRPr="00B50591">
        <w:rPr>
          <w:rFonts w:cs="Times New Roman"/>
          <w:szCs w:val="24"/>
          <w:lang w:val="en-US"/>
        </w:rPr>
        <w:t>(Kristensen et al. 2019)</w:t>
      </w:r>
      <w:r w:rsidRPr="00B50591">
        <w:rPr>
          <w:szCs w:val="24"/>
          <w:lang w:val="en-US"/>
        </w:rPr>
        <w:t xml:space="preserve">, thus the maximum values of </w:t>
      </w:r>
      <w:r w:rsidR="00822ACF">
        <w:rPr>
          <w:szCs w:val="24"/>
          <w:lang w:val="en-US"/>
        </w:rPr>
        <w:t>78-</w:t>
      </w:r>
      <w:r w:rsidRPr="00B50591">
        <w:rPr>
          <w:szCs w:val="24"/>
          <w:lang w:val="en-US"/>
        </w:rPr>
        <w:t>111 mm in the study area are considered wet</w:t>
      </w:r>
      <w:r w:rsidR="00822ACF">
        <w:rPr>
          <w:szCs w:val="24"/>
          <w:lang w:val="en-US"/>
        </w:rPr>
        <w:t>,</w:t>
      </w:r>
      <w:r w:rsidRPr="00B50591">
        <w:rPr>
          <w:szCs w:val="24"/>
          <w:lang w:val="en-US"/>
        </w:rPr>
        <w:t xml:space="preserve"> </w:t>
      </w:r>
      <w:r w:rsidR="00822ACF">
        <w:rPr>
          <w:szCs w:val="24"/>
          <w:lang w:val="en-US"/>
        </w:rPr>
        <w:t>77-45</w:t>
      </w:r>
      <w:r w:rsidR="00022B80">
        <w:rPr>
          <w:szCs w:val="24"/>
          <w:lang w:val="en-US"/>
        </w:rPr>
        <w:t xml:space="preserve"> are considered</w:t>
      </w:r>
      <w:r w:rsidR="00822ACF">
        <w:rPr>
          <w:szCs w:val="24"/>
          <w:lang w:val="en-US"/>
        </w:rPr>
        <w:t xml:space="preserve"> moist, </w:t>
      </w:r>
      <w:r w:rsidRPr="00B50591">
        <w:rPr>
          <w:szCs w:val="24"/>
          <w:lang w:val="en-US"/>
        </w:rPr>
        <w:t>and below 44 mm is considered dry (</w:t>
      </w:r>
      <w:r w:rsidRPr="00A45FB2">
        <w:rPr>
          <w:szCs w:val="24"/>
          <w:lang w:val="en-US"/>
        </w:rPr>
        <w:t xml:space="preserve">see </w:t>
      </w:r>
      <w:r w:rsidR="00912D85" w:rsidRPr="00A45FB2">
        <w:rPr>
          <w:szCs w:val="24"/>
          <w:lang w:val="en-US"/>
        </w:rPr>
        <w:t>Supplemental</w:t>
      </w:r>
      <w:r w:rsidRPr="00A45FB2">
        <w:rPr>
          <w:szCs w:val="24"/>
          <w:lang w:val="en-US"/>
        </w:rPr>
        <w:t xml:space="preserve"> </w:t>
      </w:r>
      <w:r w:rsidR="00C90F62" w:rsidRPr="00A45FB2">
        <w:rPr>
          <w:szCs w:val="24"/>
          <w:lang w:val="en-US"/>
        </w:rPr>
        <w:t>Table 2</w:t>
      </w:r>
      <w:r w:rsidRPr="00A45FB2">
        <w:rPr>
          <w:szCs w:val="24"/>
          <w:lang w:val="en-US"/>
        </w:rPr>
        <w:t xml:space="preserve"> for further</w:t>
      </w:r>
      <w:r w:rsidRPr="00B50591">
        <w:rPr>
          <w:szCs w:val="24"/>
          <w:lang w:val="en-US"/>
        </w:rPr>
        <w:t xml:space="preserve"> description of </w:t>
      </w:r>
      <w:r w:rsidRPr="00B50591">
        <w:rPr>
          <w:szCs w:val="24"/>
          <w:lang w:val="en-US"/>
        </w:rPr>
        <w:lastRenderedPageBreak/>
        <w:t>the range of all input layers). This parameter considers aspects of soil texture and depth; thus, it is important to note that soil characteristics are being considered twice.</w:t>
      </w:r>
    </w:p>
    <w:p w14:paraId="29B3012C" w14:textId="77777777" w:rsidR="00A66EDF" w:rsidRDefault="0097450C" w:rsidP="00040618">
      <w:pPr>
        <w:spacing w:before="100" w:beforeAutospacing="1" w:after="100" w:afterAutospacing="1" w:line="240" w:lineRule="auto"/>
        <w:rPr>
          <w:szCs w:val="24"/>
          <w:lang w:val="en-US"/>
        </w:rPr>
      </w:pPr>
      <w:r w:rsidRPr="00B50591">
        <w:rPr>
          <w:i/>
          <w:iCs/>
          <w:szCs w:val="24"/>
          <w:lang w:val="en-US"/>
        </w:rPr>
        <w:t>Slope</w:t>
      </w:r>
    </w:p>
    <w:p w14:paraId="1F11734C" w14:textId="2F045E99" w:rsidR="0097450C" w:rsidRPr="00B50591" w:rsidRDefault="00EE3ABC" w:rsidP="00A66EDF">
      <w:pPr>
        <w:ind w:firstLine="720"/>
        <w:rPr>
          <w:szCs w:val="24"/>
          <w:lang w:val="en-US"/>
        </w:rPr>
      </w:pPr>
      <w:r w:rsidRPr="00B50591">
        <w:rPr>
          <w:szCs w:val="24"/>
          <w:lang w:val="en-US"/>
        </w:rPr>
        <w:t xml:space="preserve">The </w:t>
      </w:r>
      <w:r w:rsidR="00914146">
        <w:rPr>
          <w:szCs w:val="24"/>
          <w:lang w:val="en-US"/>
        </w:rPr>
        <w:t xml:space="preserve">slope raster used in the model was derived from a </w:t>
      </w:r>
      <w:r w:rsidR="007B336D" w:rsidRPr="00B50591">
        <w:rPr>
          <w:szCs w:val="24"/>
          <w:lang w:val="en-US"/>
        </w:rPr>
        <w:t xml:space="preserve">0.5 m </w:t>
      </w:r>
      <w:r w:rsidR="00107601" w:rsidRPr="00B50591">
        <w:rPr>
          <w:szCs w:val="24"/>
          <w:lang w:val="en-US"/>
        </w:rPr>
        <w:t xml:space="preserve">resolution </w:t>
      </w:r>
      <w:r w:rsidRPr="00B50591">
        <w:rPr>
          <w:szCs w:val="24"/>
          <w:lang w:val="en-US"/>
        </w:rPr>
        <w:t xml:space="preserve">digital elevation model (DEM) </w:t>
      </w:r>
      <w:r w:rsidR="00914146">
        <w:rPr>
          <w:szCs w:val="24"/>
          <w:lang w:val="en-US"/>
        </w:rPr>
        <w:t>that was</w:t>
      </w:r>
      <w:r w:rsidRPr="00B50591">
        <w:rPr>
          <w:szCs w:val="24"/>
          <w:lang w:val="en-US"/>
        </w:rPr>
        <w:t xml:space="preserve"> </w:t>
      </w:r>
      <w:r w:rsidR="007B336D" w:rsidRPr="00B50591">
        <w:rPr>
          <w:szCs w:val="24"/>
          <w:lang w:val="en-US"/>
        </w:rPr>
        <w:t xml:space="preserve">produced </w:t>
      </w:r>
      <w:r w:rsidRPr="00B50591">
        <w:rPr>
          <w:szCs w:val="24"/>
          <w:lang w:val="en-US"/>
        </w:rPr>
        <w:t>by NCALM</w:t>
      </w:r>
      <w:r w:rsidR="00782777" w:rsidRPr="00B50591">
        <w:rPr>
          <w:szCs w:val="24"/>
          <w:lang w:val="en-US"/>
        </w:rPr>
        <w:t xml:space="preserve"> </w:t>
      </w:r>
      <w:r w:rsidR="007B336D" w:rsidRPr="00B50591">
        <w:rPr>
          <w:szCs w:val="24"/>
          <w:lang w:val="en-US"/>
        </w:rPr>
        <w:t xml:space="preserve">from LiDAR data collected </w:t>
      </w:r>
      <w:r w:rsidRPr="00B50591">
        <w:rPr>
          <w:szCs w:val="24"/>
          <w:lang w:val="en-US"/>
        </w:rPr>
        <w:t>in June 2019 using the Titan MW LiDAR unit</w:t>
      </w:r>
      <w:r w:rsidR="007B336D" w:rsidRPr="00B50591">
        <w:rPr>
          <w:szCs w:val="24"/>
          <w:lang w:val="en-US"/>
        </w:rPr>
        <w:t xml:space="preserve"> in collaboration with the PABC</w:t>
      </w:r>
      <w:r w:rsidRPr="00B50591">
        <w:rPr>
          <w:szCs w:val="24"/>
          <w:lang w:val="en-US"/>
        </w:rPr>
        <w:t>. Further details on th</w:t>
      </w:r>
      <w:r w:rsidR="007B336D" w:rsidRPr="00B50591">
        <w:rPr>
          <w:szCs w:val="24"/>
          <w:lang w:val="en-US"/>
        </w:rPr>
        <w:t>is</w:t>
      </w:r>
      <w:r w:rsidRPr="00B50591">
        <w:rPr>
          <w:szCs w:val="24"/>
          <w:lang w:val="en-US"/>
        </w:rPr>
        <w:t xml:space="preserve"> data collection are outlined in Golden </w:t>
      </w:r>
      <w:r w:rsidR="00782777" w:rsidRPr="00B50591">
        <w:rPr>
          <w:szCs w:val="24"/>
          <w:lang w:val="en-US"/>
        </w:rPr>
        <w:t xml:space="preserve">et al. </w:t>
      </w:r>
      <w:r w:rsidRPr="00B50591">
        <w:rPr>
          <w:szCs w:val="24"/>
          <w:lang w:val="en-US"/>
        </w:rPr>
        <w:t xml:space="preserve">(2021). </w:t>
      </w:r>
      <w:r w:rsidR="0097450C" w:rsidRPr="00B50591">
        <w:rPr>
          <w:szCs w:val="24"/>
          <w:lang w:val="en-US"/>
        </w:rPr>
        <w:t xml:space="preserve">The original </w:t>
      </w:r>
      <w:r w:rsidR="00570B12" w:rsidRPr="00B50591">
        <w:rPr>
          <w:szCs w:val="24"/>
          <w:lang w:val="en-US"/>
        </w:rPr>
        <w:t xml:space="preserve">NCALM-produced </w:t>
      </w:r>
      <w:r w:rsidR="0097450C" w:rsidRPr="00B50591">
        <w:rPr>
          <w:szCs w:val="24"/>
          <w:lang w:val="en-US"/>
        </w:rPr>
        <w:t xml:space="preserve">DEM was converted to </w:t>
      </w:r>
      <w:r w:rsidR="00570B12" w:rsidRPr="00B50591">
        <w:rPr>
          <w:szCs w:val="24"/>
          <w:lang w:val="en-US"/>
        </w:rPr>
        <w:t>the</w:t>
      </w:r>
      <w:r w:rsidR="0097450C" w:rsidRPr="00B50591">
        <w:rPr>
          <w:szCs w:val="24"/>
          <w:lang w:val="en-US"/>
        </w:rPr>
        <w:t xml:space="preserve"> common cell size of 250 m.</w:t>
      </w:r>
      <w:r w:rsidR="00083598" w:rsidRPr="00B50591">
        <w:rPr>
          <w:szCs w:val="24"/>
          <w:lang w:val="en-US"/>
        </w:rPr>
        <w:t xml:space="preserve"> At this resolution,</w:t>
      </w:r>
      <w:r w:rsidR="0066160A" w:rsidRPr="00B50591">
        <w:rPr>
          <w:szCs w:val="24"/>
          <w:lang w:val="en-US"/>
        </w:rPr>
        <w:t xml:space="preserve"> </w:t>
      </w:r>
      <w:r w:rsidR="007E79AA" w:rsidRPr="00B50591">
        <w:rPr>
          <w:szCs w:val="24"/>
          <w:lang w:val="en-US"/>
        </w:rPr>
        <w:t xml:space="preserve">fine-grained </w:t>
      </w:r>
      <w:r w:rsidR="0066160A" w:rsidRPr="00B50591">
        <w:rPr>
          <w:szCs w:val="24"/>
          <w:lang w:val="en-US"/>
        </w:rPr>
        <w:t>distinction of the</w:t>
      </w:r>
      <w:r w:rsidR="00083598" w:rsidRPr="00B50591">
        <w:rPr>
          <w:szCs w:val="24"/>
          <w:lang w:val="en-US"/>
        </w:rPr>
        <w:t xml:space="preserve"> </w:t>
      </w:r>
      <w:r w:rsidR="00440D02" w:rsidRPr="00B50591">
        <w:rPr>
          <w:szCs w:val="24"/>
          <w:lang w:val="en-US"/>
        </w:rPr>
        <w:t>terrace</w:t>
      </w:r>
      <w:r w:rsidR="007E79AA" w:rsidRPr="00B50591">
        <w:rPr>
          <w:szCs w:val="24"/>
          <w:lang w:val="en-US"/>
        </w:rPr>
        <w:t xml:space="preserve"> slope</w:t>
      </w:r>
      <w:r w:rsidR="00440D02" w:rsidRPr="00B50591">
        <w:rPr>
          <w:szCs w:val="24"/>
          <w:lang w:val="en-US"/>
        </w:rPr>
        <w:t xml:space="preserve">s </w:t>
      </w:r>
      <w:r w:rsidR="00757D54" w:rsidRPr="00B50591">
        <w:rPr>
          <w:szCs w:val="24"/>
          <w:lang w:val="en-US"/>
        </w:rPr>
        <w:t xml:space="preserve">is </w:t>
      </w:r>
      <w:r w:rsidR="00440D02" w:rsidRPr="00B50591">
        <w:rPr>
          <w:szCs w:val="24"/>
          <w:lang w:val="en-US"/>
        </w:rPr>
        <w:t>likely obscured</w:t>
      </w:r>
      <w:r w:rsidR="00A31EC7" w:rsidRPr="00B50591">
        <w:rPr>
          <w:szCs w:val="24"/>
          <w:lang w:val="en-US"/>
        </w:rPr>
        <w:t xml:space="preserve">, though we </w:t>
      </w:r>
      <w:r w:rsidR="0066160A" w:rsidRPr="00B50591">
        <w:rPr>
          <w:szCs w:val="24"/>
          <w:lang w:val="en-US"/>
        </w:rPr>
        <w:t>note</w:t>
      </w:r>
      <w:r w:rsidR="00A31EC7" w:rsidRPr="00B50591">
        <w:rPr>
          <w:szCs w:val="24"/>
          <w:lang w:val="en-US"/>
        </w:rPr>
        <w:t xml:space="preserve"> t</w:t>
      </w:r>
      <w:r w:rsidR="0005466D" w:rsidRPr="00B50591">
        <w:rPr>
          <w:szCs w:val="24"/>
          <w:lang w:val="en-US"/>
        </w:rPr>
        <w:t xml:space="preserve">he location of identified terraces in our </w:t>
      </w:r>
      <w:r w:rsidR="0066160A" w:rsidRPr="00B50591">
        <w:rPr>
          <w:szCs w:val="24"/>
          <w:lang w:val="en-US"/>
        </w:rPr>
        <w:t>output maps</w:t>
      </w:r>
      <w:r w:rsidR="00757D54" w:rsidRPr="00B50591">
        <w:rPr>
          <w:szCs w:val="24"/>
          <w:lang w:val="en-US"/>
        </w:rPr>
        <w:t>.</w:t>
      </w:r>
      <w:r w:rsidR="0097450C" w:rsidRPr="00B50591">
        <w:rPr>
          <w:szCs w:val="24"/>
          <w:lang w:val="en-US"/>
        </w:rPr>
        <w:t xml:space="preserve"> After pre-processing the </w:t>
      </w:r>
      <w:r w:rsidR="00B6273E" w:rsidRPr="00B50591">
        <w:rPr>
          <w:szCs w:val="24"/>
          <w:lang w:val="en-US"/>
        </w:rPr>
        <w:t>S</w:t>
      </w:r>
      <w:r w:rsidR="0097450C" w:rsidRPr="00B50591">
        <w:rPr>
          <w:szCs w:val="24"/>
          <w:lang w:val="en-US"/>
        </w:rPr>
        <w:t>lope tool in ArcGIS Pro</w:t>
      </w:r>
      <w:r w:rsidR="00E77C2E">
        <w:rPr>
          <w:szCs w:val="24"/>
          <w:lang w:val="en-US"/>
        </w:rPr>
        <w:t xml:space="preserve"> </w:t>
      </w:r>
      <w:r w:rsidR="004B37A3" w:rsidRPr="004B37A3">
        <w:rPr>
          <w:szCs w:val="24"/>
          <w:lang w:val="en-US"/>
        </w:rPr>
        <w:t xml:space="preserve">(output measurement in percent rise) </w:t>
      </w:r>
      <w:r w:rsidR="0097450C" w:rsidRPr="00B50591">
        <w:rPr>
          <w:szCs w:val="24"/>
          <w:lang w:val="en-US"/>
        </w:rPr>
        <w:t xml:space="preserve">was used to produce the input slope raster. </w:t>
      </w:r>
    </w:p>
    <w:p w14:paraId="141255C4" w14:textId="2C892DAB" w:rsidR="007E79AA" w:rsidRPr="00B50591" w:rsidRDefault="0097450C" w:rsidP="00782777">
      <w:pPr>
        <w:ind w:firstLine="720"/>
        <w:rPr>
          <w:szCs w:val="24"/>
          <w:lang w:val="en-US"/>
        </w:rPr>
      </w:pPr>
      <w:bookmarkStart w:id="1" w:name="_Hlk174627745"/>
      <w:r w:rsidRPr="00B50591">
        <w:rPr>
          <w:szCs w:val="24"/>
          <w:lang w:val="en-US"/>
        </w:rPr>
        <w:t xml:space="preserve">All crops in this study are considered to prefer flat land </w:t>
      </w:r>
      <w:bookmarkEnd w:id="1"/>
      <w:r w:rsidRPr="00B50591">
        <w:rPr>
          <w:szCs w:val="24"/>
          <w:lang w:val="en-US"/>
        </w:rPr>
        <w:t>to reflect the propensity for agricultural fields to be located on flat lands. However, slope was given the least weight in the model (10%) considering the evidence of terracing on slopes &lt; 14°.</w:t>
      </w:r>
    </w:p>
    <w:p w14:paraId="23A68C78" w14:textId="77777777" w:rsidR="00040618" w:rsidRDefault="007E79AA" w:rsidP="00912D85">
      <w:pPr>
        <w:spacing w:before="100" w:beforeAutospacing="1" w:after="100" w:afterAutospacing="1" w:line="240" w:lineRule="auto"/>
        <w:rPr>
          <w:szCs w:val="24"/>
          <w:lang w:val="en-US"/>
        </w:rPr>
      </w:pPr>
      <w:r w:rsidRPr="00B50591">
        <w:rPr>
          <w:i/>
          <w:iCs/>
          <w:szCs w:val="24"/>
          <w:lang w:val="en-US"/>
        </w:rPr>
        <w:t xml:space="preserve">Crop Plant </w:t>
      </w:r>
      <w:r w:rsidRPr="00040618">
        <w:rPr>
          <w:szCs w:val="24"/>
          <w:lang w:val="en-US"/>
        </w:rPr>
        <w:t>Grouping</w:t>
      </w:r>
      <w:r w:rsidR="00040618" w:rsidRPr="00040618">
        <w:rPr>
          <w:szCs w:val="24"/>
          <w:lang w:val="en-US"/>
        </w:rPr>
        <w:t>s</w:t>
      </w:r>
    </w:p>
    <w:p w14:paraId="75CB8425" w14:textId="24ACBA05" w:rsidR="007E79AA" w:rsidRPr="00B50591" w:rsidRDefault="007E79AA" w:rsidP="00040618">
      <w:pPr>
        <w:ind w:firstLine="720"/>
        <w:rPr>
          <w:szCs w:val="24"/>
          <w:lang w:val="en-US"/>
        </w:rPr>
      </w:pPr>
      <w:r w:rsidRPr="00040618">
        <w:rPr>
          <w:szCs w:val="24"/>
          <w:lang w:val="en-US"/>
        </w:rPr>
        <w:t>As</w:t>
      </w:r>
      <w:r w:rsidRPr="00B50591">
        <w:rPr>
          <w:szCs w:val="24"/>
          <w:lang w:val="en-US"/>
        </w:rPr>
        <w:t xml:space="preserve"> described in the Methods section, five </w:t>
      </w:r>
      <w:r w:rsidRPr="00A45FB2">
        <w:rPr>
          <w:szCs w:val="24"/>
          <w:lang w:val="en-US"/>
        </w:rPr>
        <w:t xml:space="preserve">crop groupings naturally emerged, given general habitat preferences of the 18 plants selected (see </w:t>
      </w:r>
      <w:r w:rsidR="00912D85" w:rsidRPr="00A45FB2">
        <w:rPr>
          <w:szCs w:val="24"/>
          <w:lang w:val="en-US"/>
        </w:rPr>
        <w:t>Supplemental</w:t>
      </w:r>
      <w:r w:rsidRPr="00A45FB2">
        <w:rPr>
          <w:szCs w:val="24"/>
          <w:lang w:val="en-US"/>
        </w:rPr>
        <w:t xml:space="preserve"> </w:t>
      </w:r>
      <w:r w:rsidR="00912D85" w:rsidRPr="00A45FB2">
        <w:rPr>
          <w:szCs w:val="24"/>
          <w:lang w:val="en-US"/>
        </w:rPr>
        <w:t>Table 1</w:t>
      </w:r>
      <w:r w:rsidRPr="00A45FB2">
        <w:rPr>
          <w:szCs w:val="24"/>
          <w:lang w:val="en-US"/>
        </w:rPr>
        <w:t>). Each</w:t>
      </w:r>
      <w:r w:rsidRPr="00B50591">
        <w:rPr>
          <w:szCs w:val="24"/>
          <w:lang w:val="en-US"/>
        </w:rPr>
        <w:t xml:space="preserve"> of these natural groupings formed the basis of one output suitability map. </w:t>
      </w:r>
    </w:p>
    <w:p w14:paraId="1B997C0D" w14:textId="5D07E1E4" w:rsidR="007E79AA" w:rsidRPr="00B50591" w:rsidRDefault="00386062" w:rsidP="00386062">
      <w:pPr>
        <w:ind w:firstLine="720"/>
        <w:rPr>
          <w:szCs w:val="24"/>
          <w:lang w:val="en-US"/>
        </w:rPr>
      </w:pPr>
      <w:r>
        <w:rPr>
          <w:i/>
          <w:iCs/>
          <w:szCs w:val="24"/>
          <w:lang w:val="en-US"/>
        </w:rPr>
        <w:t xml:space="preserve">Group A. </w:t>
      </w:r>
      <w:r w:rsidR="007E79AA" w:rsidRPr="00B50591">
        <w:rPr>
          <w:szCs w:val="24"/>
          <w:lang w:val="en-US"/>
        </w:rPr>
        <w:t xml:space="preserve">Group A consists of </w:t>
      </w:r>
      <w:r w:rsidR="007E79AA" w:rsidRPr="00B50591">
        <w:rPr>
          <w:i/>
          <w:iCs/>
          <w:szCs w:val="24"/>
          <w:lang w:val="en-US"/>
        </w:rPr>
        <w:t xml:space="preserve">Xanthosoma sagittifolium </w:t>
      </w:r>
      <w:r w:rsidR="007E79AA" w:rsidRPr="00B50591">
        <w:rPr>
          <w:szCs w:val="24"/>
          <w:lang w:val="en-US"/>
        </w:rPr>
        <w:t>(malanga)</w:t>
      </w:r>
      <w:r w:rsidR="008557C5">
        <w:rPr>
          <w:szCs w:val="24"/>
          <w:lang w:val="en-US"/>
        </w:rPr>
        <w:t xml:space="preserve"> and</w:t>
      </w:r>
      <w:r w:rsidR="007E79AA" w:rsidRPr="00B50591">
        <w:rPr>
          <w:szCs w:val="24"/>
          <w:lang w:val="en-US"/>
        </w:rPr>
        <w:t xml:space="preserve"> </w:t>
      </w:r>
      <w:r w:rsidR="007E79AA" w:rsidRPr="00B50591">
        <w:rPr>
          <w:i/>
          <w:iCs/>
          <w:szCs w:val="24"/>
          <w:lang w:val="en-US"/>
        </w:rPr>
        <w:t xml:space="preserve">Phaseolus vulgaris </w:t>
      </w:r>
      <w:r w:rsidR="007E79AA" w:rsidRPr="00B50591">
        <w:rPr>
          <w:szCs w:val="24"/>
          <w:lang w:val="en-US"/>
        </w:rPr>
        <w:t xml:space="preserve">(common bean). These crops prefer moist soils, loam and clay soils. </w:t>
      </w:r>
    </w:p>
    <w:p w14:paraId="32C7E113" w14:textId="25B13B35" w:rsidR="00386062" w:rsidRDefault="00386062" w:rsidP="00956F50">
      <w:pPr>
        <w:ind w:firstLine="720"/>
        <w:rPr>
          <w:szCs w:val="24"/>
          <w:lang w:val="en-US"/>
        </w:rPr>
      </w:pPr>
      <w:r>
        <w:rPr>
          <w:i/>
          <w:iCs/>
          <w:szCs w:val="24"/>
          <w:lang w:val="en-US"/>
        </w:rPr>
        <w:t xml:space="preserve">Group B. </w:t>
      </w:r>
      <w:r w:rsidR="007E79AA" w:rsidRPr="00B50591">
        <w:rPr>
          <w:szCs w:val="24"/>
          <w:lang w:val="en-US"/>
        </w:rPr>
        <w:t xml:space="preserve">Group B consists of </w:t>
      </w:r>
      <w:r w:rsidR="007E79AA" w:rsidRPr="00B50591">
        <w:rPr>
          <w:i/>
          <w:iCs/>
          <w:szCs w:val="24"/>
          <w:lang w:val="en-US"/>
        </w:rPr>
        <w:t xml:space="preserve">Attalea cohune </w:t>
      </w:r>
      <w:r w:rsidR="007E79AA" w:rsidRPr="00B50591">
        <w:rPr>
          <w:szCs w:val="24"/>
          <w:lang w:val="en-US"/>
        </w:rPr>
        <w:t xml:space="preserve">(cohune palm), </w:t>
      </w:r>
      <w:r w:rsidR="007E79AA" w:rsidRPr="00B50591">
        <w:rPr>
          <w:i/>
          <w:iCs/>
          <w:szCs w:val="24"/>
          <w:lang w:val="en-US"/>
        </w:rPr>
        <w:t xml:space="preserve">Acrocomia aculeata </w:t>
      </w:r>
      <w:r w:rsidR="007E79AA" w:rsidRPr="00B50591">
        <w:rPr>
          <w:szCs w:val="24"/>
          <w:lang w:val="en-US"/>
        </w:rPr>
        <w:t>(</w:t>
      </w:r>
      <w:proofErr w:type="spellStart"/>
      <w:r w:rsidR="007E79AA" w:rsidRPr="00B50591">
        <w:rPr>
          <w:szCs w:val="24"/>
          <w:lang w:val="en-US"/>
        </w:rPr>
        <w:t>coyol</w:t>
      </w:r>
      <w:proofErr w:type="spellEnd"/>
      <w:r w:rsidR="007E79AA" w:rsidRPr="00B50591">
        <w:rPr>
          <w:szCs w:val="24"/>
          <w:lang w:val="en-US"/>
        </w:rPr>
        <w:t xml:space="preserve"> palm), and many of </w:t>
      </w:r>
      <w:r w:rsidR="00BC7C55">
        <w:rPr>
          <w:szCs w:val="24"/>
          <w:lang w:val="en-US"/>
        </w:rPr>
        <w:t xml:space="preserve">the </w:t>
      </w:r>
      <w:r w:rsidR="007E79AA" w:rsidRPr="00B50591">
        <w:rPr>
          <w:szCs w:val="24"/>
          <w:lang w:val="en-US"/>
        </w:rPr>
        <w:t xml:space="preserve">root crops investigated in this study: </w:t>
      </w:r>
      <w:r w:rsidR="007E79AA" w:rsidRPr="00B50591">
        <w:rPr>
          <w:i/>
          <w:iCs/>
          <w:szCs w:val="24"/>
          <w:lang w:val="en-US"/>
        </w:rPr>
        <w:t xml:space="preserve">Ipomoea batatas </w:t>
      </w:r>
      <w:r w:rsidR="007E79AA" w:rsidRPr="00B50591">
        <w:rPr>
          <w:szCs w:val="24"/>
          <w:lang w:val="en-US"/>
        </w:rPr>
        <w:t xml:space="preserve">(sweet potato), </w:t>
      </w:r>
      <w:r w:rsidR="007E79AA" w:rsidRPr="00B50591">
        <w:rPr>
          <w:i/>
          <w:iCs/>
          <w:szCs w:val="24"/>
          <w:lang w:val="en-US"/>
        </w:rPr>
        <w:t xml:space="preserve">Manihot esculenta </w:t>
      </w:r>
      <w:r w:rsidR="007E79AA" w:rsidRPr="00B50591">
        <w:rPr>
          <w:szCs w:val="24"/>
          <w:lang w:val="en-US"/>
        </w:rPr>
        <w:t xml:space="preserve">(manioc), and </w:t>
      </w:r>
      <w:r w:rsidR="007E79AA" w:rsidRPr="00B50591">
        <w:rPr>
          <w:i/>
          <w:iCs/>
          <w:szCs w:val="24"/>
          <w:lang w:val="en-US"/>
        </w:rPr>
        <w:t xml:space="preserve">Maranta </w:t>
      </w:r>
      <w:proofErr w:type="spellStart"/>
      <w:r w:rsidR="007E79AA" w:rsidRPr="00B50591">
        <w:rPr>
          <w:i/>
          <w:iCs/>
          <w:szCs w:val="24"/>
          <w:lang w:val="en-US"/>
        </w:rPr>
        <w:t>arundinacea</w:t>
      </w:r>
      <w:proofErr w:type="spellEnd"/>
      <w:r w:rsidR="007E79AA" w:rsidRPr="00B50591">
        <w:rPr>
          <w:szCs w:val="24"/>
          <w:lang w:val="en-US"/>
        </w:rPr>
        <w:t xml:space="preserve"> (arrowroot). This group grows best in moist soils as well, though prefer sandy-textured soils.</w:t>
      </w:r>
    </w:p>
    <w:p w14:paraId="1C809B8C" w14:textId="71D625A4" w:rsidR="007E79AA" w:rsidRPr="00B50591" w:rsidRDefault="00386062" w:rsidP="00956F50">
      <w:pPr>
        <w:ind w:firstLine="720"/>
        <w:rPr>
          <w:szCs w:val="24"/>
          <w:lang w:val="en-US"/>
        </w:rPr>
      </w:pPr>
      <w:r>
        <w:rPr>
          <w:i/>
          <w:iCs/>
          <w:szCs w:val="24"/>
          <w:lang w:val="en-US"/>
        </w:rPr>
        <w:t xml:space="preserve">Group C. </w:t>
      </w:r>
      <w:r w:rsidR="007E79AA" w:rsidRPr="00B50591">
        <w:rPr>
          <w:szCs w:val="24"/>
          <w:lang w:val="en-US"/>
        </w:rPr>
        <w:t xml:space="preserve">Group C includes only </w:t>
      </w:r>
      <w:r w:rsidR="007E79AA" w:rsidRPr="00B50591">
        <w:rPr>
          <w:i/>
          <w:iCs/>
          <w:szCs w:val="24"/>
          <w:lang w:val="en-US"/>
        </w:rPr>
        <w:t>Protium copal</w:t>
      </w:r>
      <w:r w:rsidR="007E79AA" w:rsidRPr="00B50591">
        <w:rPr>
          <w:szCs w:val="24"/>
          <w:lang w:val="en-US"/>
        </w:rPr>
        <w:t xml:space="preserve">, which grows best in moist, clayey soils. </w:t>
      </w:r>
    </w:p>
    <w:p w14:paraId="0CDC01FC" w14:textId="1DCAAB40" w:rsidR="007E79AA" w:rsidRPr="00B50591" w:rsidRDefault="00386062" w:rsidP="00956F50">
      <w:pPr>
        <w:ind w:firstLine="720"/>
        <w:rPr>
          <w:szCs w:val="24"/>
          <w:lang w:val="en-US"/>
        </w:rPr>
      </w:pPr>
      <w:r>
        <w:rPr>
          <w:i/>
          <w:iCs/>
          <w:szCs w:val="24"/>
          <w:lang w:val="en-US"/>
        </w:rPr>
        <w:t xml:space="preserve">Group D. </w:t>
      </w:r>
      <w:r w:rsidR="007E79AA" w:rsidRPr="00386062">
        <w:rPr>
          <w:szCs w:val="24"/>
          <w:lang w:val="en-US"/>
        </w:rPr>
        <w:t>Group</w:t>
      </w:r>
      <w:r w:rsidR="007E79AA" w:rsidRPr="00B50591">
        <w:rPr>
          <w:szCs w:val="24"/>
          <w:lang w:val="en-US"/>
        </w:rPr>
        <w:t xml:space="preserve"> D crops include </w:t>
      </w:r>
      <w:r w:rsidR="007E79AA" w:rsidRPr="00B50591">
        <w:rPr>
          <w:i/>
          <w:iCs/>
          <w:szCs w:val="24"/>
          <w:lang w:val="en-US"/>
        </w:rPr>
        <w:t xml:space="preserve">Bixa </w:t>
      </w:r>
      <w:proofErr w:type="spellStart"/>
      <w:r w:rsidR="007E79AA" w:rsidRPr="00B50591">
        <w:rPr>
          <w:i/>
          <w:iCs/>
          <w:szCs w:val="24"/>
          <w:lang w:val="en-US"/>
        </w:rPr>
        <w:t>orellana</w:t>
      </w:r>
      <w:proofErr w:type="spellEnd"/>
      <w:r w:rsidR="007E79AA" w:rsidRPr="00B50591">
        <w:rPr>
          <w:i/>
          <w:iCs/>
          <w:szCs w:val="24"/>
          <w:lang w:val="en-US"/>
        </w:rPr>
        <w:t xml:space="preserve"> </w:t>
      </w:r>
      <w:r w:rsidR="007E79AA" w:rsidRPr="00B50591">
        <w:rPr>
          <w:szCs w:val="24"/>
          <w:lang w:val="en-US"/>
        </w:rPr>
        <w:t xml:space="preserve">(annatto), </w:t>
      </w:r>
      <w:proofErr w:type="spellStart"/>
      <w:r w:rsidR="007E79AA" w:rsidRPr="00B50591">
        <w:rPr>
          <w:i/>
          <w:iCs/>
          <w:szCs w:val="24"/>
          <w:lang w:val="en-US"/>
        </w:rPr>
        <w:t>Curcurbita</w:t>
      </w:r>
      <w:proofErr w:type="spellEnd"/>
      <w:r w:rsidR="007E79AA" w:rsidRPr="00B50591">
        <w:rPr>
          <w:i/>
          <w:iCs/>
          <w:szCs w:val="24"/>
          <w:lang w:val="en-US"/>
        </w:rPr>
        <w:t xml:space="preserve"> pepo</w:t>
      </w:r>
      <w:r w:rsidR="007E79AA" w:rsidRPr="00B50591">
        <w:rPr>
          <w:szCs w:val="24"/>
          <w:lang w:val="en-US"/>
        </w:rPr>
        <w:t xml:space="preserve"> (squash), </w:t>
      </w:r>
      <w:r w:rsidR="008557C5" w:rsidRPr="008557C5">
        <w:rPr>
          <w:i/>
          <w:iCs/>
          <w:szCs w:val="24"/>
          <w:lang w:val="en-US"/>
        </w:rPr>
        <w:t xml:space="preserve">Gossypium </w:t>
      </w:r>
      <w:proofErr w:type="spellStart"/>
      <w:r w:rsidR="008557C5" w:rsidRPr="008557C5">
        <w:rPr>
          <w:i/>
          <w:iCs/>
          <w:szCs w:val="24"/>
          <w:lang w:val="en-US"/>
        </w:rPr>
        <w:t>hirsutum</w:t>
      </w:r>
      <w:proofErr w:type="spellEnd"/>
      <w:r w:rsidR="008557C5" w:rsidRPr="008557C5">
        <w:rPr>
          <w:i/>
          <w:iCs/>
          <w:szCs w:val="24"/>
          <w:lang w:val="en-US"/>
        </w:rPr>
        <w:t xml:space="preserve"> </w:t>
      </w:r>
      <w:r w:rsidR="008557C5" w:rsidRPr="008557C5">
        <w:rPr>
          <w:szCs w:val="24"/>
          <w:lang w:val="en-US"/>
        </w:rPr>
        <w:t>(cotton)</w:t>
      </w:r>
      <w:r w:rsidR="008557C5">
        <w:rPr>
          <w:szCs w:val="24"/>
          <w:lang w:val="en-US"/>
        </w:rPr>
        <w:t xml:space="preserve">, </w:t>
      </w:r>
      <w:r w:rsidR="007E79AA" w:rsidRPr="00B50591">
        <w:rPr>
          <w:i/>
          <w:iCs/>
          <w:szCs w:val="24"/>
          <w:lang w:val="en-US"/>
        </w:rPr>
        <w:t xml:space="preserve">Theobroma cacao </w:t>
      </w:r>
      <w:r w:rsidR="007E79AA" w:rsidRPr="00B50591">
        <w:rPr>
          <w:szCs w:val="24"/>
          <w:lang w:val="en-US"/>
        </w:rPr>
        <w:t xml:space="preserve">(cacao), </w:t>
      </w:r>
      <w:r w:rsidR="007E79AA" w:rsidRPr="00B50591">
        <w:rPr>
          <w:i/>
          <w:iCs/>
          <w:szCs w:val="24"/>
          <w:lang w:val="en-US"/>
        </w:rPr>
        <w:t>Pimienta dioica</w:t>
      </w:r>
      <w:r w:rsidR="007E79AA" w:rsidRPr="00B50591">
        <w:rPr>
          <w:szCs w:val="24"/>
          <w:lang w:val="en-US"/>
        </w:rPr>
        <w:t xml:space="preserve"> (allspice), the three </w:t>
      </w:r>
      <w:proofErr w:type="spellStart"/>
      <w:r w:rsidR="007E79AA" w:rsidRPr="00B50591">
        <w:rPr>
          <w:i/>
          <w:iCs/>
          <w:szCs w:val="24"/>
          <w:lang w:val="en-US"/>
        </w:rPr>
        <w:t>Zea</w:t>
      </w:r>
      <w:proofErr w:type="spellEnd"/>
      <w:r w:rsidR="007E79AA" w:rsidRPr="00B50591">
        <w:rPr>
          <w:i/>
          <w:iCs/>
          <w:szCs w:val="24"/>
          <w:lang w:val="en-US"/>
        </w:rPr>
        <w:t xml:space="preserve"> mays </w:t>
      </w:r>
      <w:r w:rsidR="007E79AA" w:rsidRPr="00B50591">
        <w:rPr>
          <w:szCs w:val="24"/>
          <w:lang w:val="en-US"/>
        </w:rPr>
        <w:t xml:space="preserve">varietals, and </w:t>
      </w:r>
      <w:r w:rsidR="007E79AA" w:rsidRPr="00B50591">
        <w:rPr>
          <w:i/>
          <w:iCs/>
          <w:szCs w:val="24"/>
          <w:lang w:val="en-US"/>
        </w:rPr>
        <w:t xml:space="preserve">Capsicum annuum </w:t>
      </w:r>
      <w:r w:rsidR="007E79AA" w:rsidRPr="00B50591">
        <w:rPr>
          <w:szCs w:val="24"/>
          <w:lang w:val="en-US"/>
        </w:rPr>
        <w:t>(</w:t>
      </w:r>
      <w:proofErr w:type="spellStart"/>
      <w:r w:rsidR="007E79AA" w:rsidRPr="00B50591">
        <w:rPr>
          <w:szCs w:val="24"/>
          <w:lang w:val="en-US"/>
        </w:rPr>
        <w:t>chile</w:t>
      </w:r>
      <w:proofErr w:type="spellEnd"/>
      <w:r w:rsidR="007E79AA" w:rsidRPr="00B50591">
        <w:rPr>
          <w:szCs w:val="24"/>
          <w:lang w:val="en-US"/>
        </w:rPr>
        <w:t xml:space="preserve"> pepper). These grow best on moist soils of many different soil textures. </w:t>
      </w:r>
    </w:p>
    <w:p w14:paraId="6F44D5E5" w14:textId="156F74E1" w:rsidR="007E79AA" w:rsidRPr="00B50591" w:rsidRDefault="00386062" w:rsidP="00956F50">
      <w:pPr>
        <w:ind w:firstLine="720"/>
        <w:rPr>
          <w:szCs w:val="24"/>
          <w:lang w:val="en-US"/>
        </w:rPr>
      </w:pPr>
      <w:r>
        <w:rPr>
          <w:i/>
          <w:iCs/>
          <w:szCs w:val="24"/>
          <w:lang w:val="en-US"/>
        </w:rPr>
        <w:t xml:space="preserve">Group E. </w:t>
      </w:r>
      <w:r w:rsidR="007E79AA" w:rsidRPr="00B50591">
        <w:rPr>
          <w:szCs w:val="24"/>
          <w:lang w:val="en-US"/>
        </w:rPr>
        <w:t xml:space="preserve">Group E includes only </w:t>
      </w:r>
      <w:r w:rsidR="007E79AA" w:rsidRPr="00B50591">
        <w:rPr>
          <w:i/>
          <w:iCs/>
          <w:szCs w:val="24"/>
          <w:lang w:val="en-US"/>
        </w:rPr>
        <w:t>Pouteria sapota</w:t>
      </w:r>
      <w:r w:rsidR="007E79AA" w:rsidRPr="00B50591">
        <w:rPr>
          <w:szCs w:val="24"/>
          <w:lang w:val="en-US"/>
        </w:rPr>
        <w:t xml:space="preserve"> (mamey sapote), which grows in moist, clayey or sandy soils. </w:t>
      </w:r>
    </w:p>
    <w:p w14:paraId="303D8E71" w14:textId="77777777" w:rsidR="00537EA5" w:rsidRPr="00F33FC1" w:rsidRDefault="00537EA5" w:rsidP="006956D2">
      <w:pPr>
        <w:rPr>
          <w:szCs w:val="24"/>
        </w:rPr>
      </w:pPr>
    </w:p>
    <w:p w14:paraId="2E72E95E" w14:textId="77777777" w:rsidR="00A10851" w:rsidRPr="00F33FC1" w:rsidRDefault="00A10851">
      <w:pPr>
        <w:rPr>
          <w:szCs w:val="24"/>
        </w:rPr>
      </w:pPr>
      <w:r w:rsidRPr="00F33FC1">
        <w:rPr>
          <w:szCs w:val="24"/>
        </w:rPr>
        <w:br w:type="page"/>
      </w:r>
    </w:p>
    <w:p w14:paraId="3893EA8C" w14:textId="05C6C1E5" w:rsidR="0097450C" w:rsidRPr="00F33FC1" w:rsidRDefault="00A10851" w:rsidP="006C2781">
      <w:pPr>
        <w:spacing w:before="100" w:beforeAutospacing="1" w:after="100" w:afterAutospacing="1" w:line="480" w:lineRule="auto"/>
        <w:rPr>
          <w:b/>
          <w:bCs/>
          <w:szCs w:val="24"/>
        </w:rPr>
      </w:pPr>
      <w:r w:rsidRPr="00F33FC1">
        <w:rPr>
          <w:b/>
          <w:bCs/>
          <w:szCs w:val="24"/>
        </w:rPr>
        <w:lastRenderedPageBreak/>
        <w:t>References Cited</w:t>
      </w:r>
    </w:p>
    <w:p w14:paraId="4E8CE001" w14:textId="0D7A7556" w:rsidR="00A2360B" w:rsidRDefault="006C2781" w:rsidP="00A2360B">
      <w:pPr>
        <w:pStyle w:val="Bibliography"/>
        <w:spacing w:before="240" w:line="480" w:lineRule="auto"/>
        <w:ind w:left="0" w:firstLine="0"/>
        <w:rPr>
          <w:rFonts w:cs="Times New Roman"/>
        </w:rPr>
      </w:pPr>
      <w:r w:rsidRPr="006C2781">
        <w:rPr>
          <w:rFonts w:cs="Times New Roman"/>
        </w:rPr>
        <w:t xml:space="preserve">Atran, Scott, Arlen F. Chase, Scott L. Fedick, Gregory Knapp, Heather McKillop, Joyce Marcus, Norman B. Schwartz, and Malcolm C. Webb. 1993. “Itza Maya Tropical </w:t>
      </w:r>
      <w:proofErr w:type="spellStart"/>
      <w:r w:rsidRPr="006C2781">
        <w:rPr>
          <w:rFonts w:cs="Times New Roman"/>
        </w:rPr>
        <w:t>Agro</w:t>
      </w:r>
      <w:proofErr w:type="spellEnd"/>
      <w:r w:rsidRPr="006C2781">
        <w:rPr>
          <w:rFonts w:cs="Times New Roman"/>
        </w:rPr>
        <w:t xml:space="preserve">-Forestry [and Comments and Replies].” </w:t>
      </w:r>
      <w:r w:rsidRPr="006C2781">
        <w:rPr>
          <w:rFonts w:cs="Times New Roman"/>
          <w:i/>
          <w:iCs/>
        </w:rPr>
        <w:t>Current Anthropology</w:t>
      </w:r>
      <w:r w:rsidRPr="006C2781">
        <w:rPr>
          <w:rFonts w:cs="Times New Roman"/>
        </w:rPr>
        <w:t xml:space="preserve"> 34 (5): 633–700.</w:t>
      </w:r>
    </w:p>
    <w:p w14:paraId="2AF4DC96" w14:textId="6322FBAD" w:rsidR="006C2781" w:rsidRPr="006C2781" w:rsidRDefault="006C2781" w:rsidP="00A2360B">
      <w:pPr>
        <w:pStyle w:val="Bibliography"/>
        <w:spacing w:before="240" w:line="480" w:lineRule="auto"/>
        <w:ind w:left="0" w:firstLine="0"/>
        <w:rPr>
          <w:rFonts w:cs="Times New Roman"/>
        </w:rPr>
      </w:pPr>
      <w:proofErr w:type="spellStart"/>
      <w:r w:rsidRPr="006C2781">
        <w:rPr>
          <w:rFonts w:cs="Times New Roman"/>
        </w:rPr>
        <w:t>Cagnato</w:t>
      </w:r>
      <w:proofErr w:type="spellEnd"/>
      <w:r w:rsidRPr="006C2781">
        <w:rPr>
          <w:rFonts w:cs="Times New Roman"/>
        </w:rPr>
        <w:t xml:space="preserve">, Clarissa. 2018. “Shedding Light on the Nightshades (Solanaceae) Used by the Ancient Maya: A Review of Existing Data, and New </w:t>
      </w:r>
      <w:proofErr w:type="spellStart"/>
      <w:r w:rsidRPr="006C2781">
        <w:rPr>
          <w:rFonts w:cs="Times New Roman"/>
        </w:rPr>
        <w:t>Archeobotanical</w:t>
      </w:r>
      <w:proofErr w:type="spellEnd"/>
      <w:r w:rsidRPr="006C2781">
        <w:rPr>
          <w:rFonts w:cs="Times New Roman"/>
        </w:rPr>
        <w:t xml:space="preserve"> (Macro- and </w:t>
      </w:r>
      <w:proofErr w:type="spellStart"/>
      <w:r w:rsidRPr="006C2781">
        <w:rPr>
          <w:rFonts w:cs="Times New Roman"/>
        </w:rPr>
        <w:t>Microbotanical</w:t>
      </w:r>
      <w:proofErr w:type="spellEnd"/>
      <w:r w:rsidRPr="006C2781">
        <w:rPr>
          <w:rFonts w:cs="Times New Roman"/>
        </w:rPr>
        <w:t xml:space="preserve">) Evidence from Archeological Sites in Guatemala.” </w:t>
      </w:r>
      <w:r w:rsidRPr="006C2781">
        <w:rPr>
          <w:rFonts w:cs="Times New Roman"/>
          <w:i/>
          <w:iCs/>
        </w:rPr>
        <w:t>Economic Botany</w:t>
      </w:r>
      <w:r w:rsidRPr="006C2781">
        <w:rPr>
          <w:rFonts w:cs="Times New Roman"/>
        </w:rPr>
        <w:t xml:space="preserve"> 72 (2): 180–95. https://doi.org/10.1007/s12231-018-9412-8.</w:t>
      </w:r>
    </w:p>
    <w:p w14:paraId="0EBF2BCE" w14:textId="77777777" w:rsidR="006C2781" w:rsidRPr="006C2781" w:rsidRDefault="006C2781" w:rsidP="00A2360B">
      <w:pPr>
        <w:pStyle w:val="Bibliography"/>
        <w:spacing w:before="240" w:line="480" w:lineRule="auto"/>
        <w:ind w:left="0" w:firstLine="0"/>
        <w:rPr>
          <w:rFonts w:cs="Times New Roman"/>
        </w:rPr>
      </w:pPr>
      <w:r w:rsidRPr="006C2781">
        <w:rPr>
          <w:rFonts w:cs="Times New Roman"/>
        </w:rPr>
        <w:t xml:space="preserve">Caso Barrera, Laura, and Mario </w:t>
      </w:r>
      <w:proofErr w:type="spellStart"/>
      <w:r w:rsidRPr="006C2781">
        <w:rPr>
          <w:rFonts w:cs="Times New Roman"/>
        </w:rPr>
        <w:t>Aliphat</w:t>
      </w:r>
      <w:proofErr w:type="spellEnd"/>
      <w:r w:rsidRPr="006C2781">
        <w:rPr>
          <w:rFonts w:cs="Times New Roman"/>
        </w:rPr>
        <w:t xml:space="preserve"> Fernández. 2006. “Cacao, Vanilla and Annatto: Three Production and Exchange Systems in the Southern Maya Lowlands, XVI-XVII Centuries.” </w:t>
      </w:r>
      <w:r w:rsidRPr="006C2781">
        <w:rPr>
          <w:rFonts w:cs="Times New Roman"/>
          <w:i/>
          <w:iCs/>
        </w:rPr>
        <w:t>Journal of Latin American Geography</w:t>
      </w:r>
      <w:r w:rsidRPr="006C2781">
        <w:rPr>
          <w:rFonts w:cs="Times New Roman"/>
        </w:rPr>
        <w:t xml:space="preserve"> 5 (2): 29–52.</w:t>
      </w:r>
    </w:p>
    <w:p w14:paraId="570031FC" w14:textId="77777777" w:rsidR="006C2781" w:rsidRPr="006C2781" w:rsidRDefault="006C2781" w:rsidP="00A2360B">
      <w:pPr>
        <w:pStyle w:val="Bibliography"/>
        <w:spacing w:before="240" w:line="480" w:lineRule="auto"/>
        <w:ind w:left="0" w:firstLine="0"/>
        <w:rPr>
          <w:rFonts w:cs="Times New Roman"/>
        </w:rPr>
      </w:pPr>
      <w:proofErr w:type="spellStart"/>
      <w:r w:rsidRPr="006C2781">
        <w:rPr>
          <w:rFonts w:cs="Times New Roman"/>
        </w:rPr>
        <w:t>Dorshow</w:t>
      </w:r>
      <w:proofErr w:type="spellEnd"/>
      <w:r w:rsidRPr="006C2781">
        <w:rPr>
          <w:rFonts w:cs="Times New Roman"/>
        </w:rPr>
        <w:t xml:space="preserve">, Wetherbee B. 2012. “Modeling Agricultural Potential in Chaco Canyon during the Bonito Phase: A Predictive Geospatial Approach.” </w:t>
      </w:r>
      <w:r w:rsidRPr="006C2781">
        <w:rPr>
          <w:rFonts w:cs="Times New Roman"/>
          <w:i/>
          <w:iCs/>
        </w:rPr>
        <w:t>Journal of Archaeological Science</w:t>
      </w:r>
      <w:r w:rsidRPr="006C2781">
        <w:rPr>
          <w:rFonts w:cs="Times New Roman"/>
        </w:rPr>
        <w:t xml:space="preserve"> 39 (7): 2098–2115. https://doi.org/10.1016/j.jas.2012.02.004.</w:t>
      </w:r>
    </w:p>
    <w:p w14:paraId="3D8A7A92" w14:textId="243EF691" w:rsidR="006C2781" w:rsidRPr="006C2781" w:rsidRDefault="006C2781" w:rsidP="00A2360B">
      <w:pPr>
        <w:pStyle w:val="Bibliography"/>
        <w:spacing w:before="240" w:line="480" w:lineRule="auto"/>
        <w:ind w:left="0" w:firstLine="0"/>
        <w:rPr>
          <w:rFonts w:cs="Times New Roman"/>
        </w:rPr>
      </w:pPr>
      <w:r w:rsidRPr="006C2781">
        <w:rPr>
          <w:rFonts w:cs="Times New Roman"/>
        </w:rPr>
        <w:t xml:space="preserve">Fedick, Scott L. 2017. “Plant-Food Commodities of the Maya Lowlands.” In </w:t>
      </w:r>
      <w:r w:rsidRPr="006C2781">
        <w:rPr>
          <w:rFonts w:cs="Times New Roman"/>
          <w:i/>
          <w:iCs/>
        </w:rPr>
        <w:t xml:space="preserve">The Value of </w:t>
      </w:r>
      <w:proofErr w:type="gramStart"/>
      <w:r w:rsidRPr="006C2781">
        <w:rPr>
          <w:rFonts w:cs="Times New Roman"/>
          <w:i/>
          <w:iCs/>
        </w:rPr>
        <w:t>Things :</w:t>
      </w:r>
      <w:proofErr w:type="gramEnd"/>
      <w:r w:rsidRPr="006C2781">
        <w:rPr>
          <w:rFonts w:cs="Times New Roman"/>
          <w:i/>
          <w:iCs/>
        </w:rPr>
        <w:t xml:space="preserve"> Prehistoric to Contemporary Commodities in the Maya Region</w:t>
      </w:r>
      <w:r w:rsidRPr="006C2781">
        <w:rPr>
          <w:rFonts w:cs="Times New Roman"/>
        </w:rPr>
        <w:t xml:space="preserve">, edited by Jennifer P. Mathews and Thomas H. </w:t>
      </w:r>
      <w:proofErr w:type="spellStart"/>
      <w:r w:rsidRPr="006C2781">
        <w:rPr>
          <w:rFonts w:cs="Times New Roman"/>
        </w:rPr>
        <w:t>Guderjan</w:t>
      </w:r>
      <w:proofErr w:type="spellEnd"/>
      <w:r w:rsidRPr="006C2781">
        <w:rPr>
          <w:rFonts w:cs="Times New Roman"/>
        </w:rPr>
        <w:t>, 163–72. University of Arizona Press</w:t>
      </w:r>
      <w:r w:rsidR="00EB1037">
        <w:rPr>
          <w:rFonts w:cs="Times New Roman"/>
        </w:rPr>
        <w:t>, Tucson</w:t>
      </w:r>
      <w:r w:rsidRPr="006C2781">
        <w:rPr>
          <w:rFonts w:cs="Times New Roman"/>
        </w:rPr>
        <w:t>.</w:t>
      </w:r>
    </w:p>
    <w:p w14:paraId="048D0DB5" w14:textId="77777777" w:rsidR="006C2781" w:rsidRPr="006C2781" w:rsidRDefault="006C2781" w:rsidP="00A2360B">
      <w:pPr>
        <w:pStyle w:val="Bibliography"/>
        <w:spacing w:before="240" w:line="480" w:lineRule="auto"/>
        <w:ind w:left="0" w:firstLine="0"/>
        <w:rPr>
          <w:rFonts w:cs="Times New Roman"/>
        </w:rPr>
      </w:pPr>
      <w:proofErr w:type="spellStart"/>
      <w:r w:rsidRPr="006C2781">
        <w:rPr>
          <w:rFonts w:cs="Times New Roman"/>
        </w:rPr>
        <w:t>Gillreath</w:t>
      </w:r>
      <w:proofErr w:type="spellEnd"/>
      <w:r w:rsidRPr="006C2781">
        <w:rPr>
          <w:rFonts w:cs="Times New Roman"/>
        </w:rPr>
        <w:t xml:space="preserve">-Brown, Andrew, Lisa Nagaoka, and Steve Wolverton. 2019. “A Geospatial Method for Estimating Soil Moisture Variability in Prehistoric Agricultural Landscapes.” </w:t>
      </w:r>
      <w:r w:rsidRPr="006C2781">
        <w:rPr>
          <w:rFonts w:cs="Times New Roman"/>
          <w:i/>
          <w:iCs/>
        </w:rPr>
        <w:t>PLOS ONE</w:t>
      </w:r>
      <w:r w:rsidRPr="006C2781">
        <w:rPr>
          <w:rFonts w:cs="Times New Roman"/>
        </w:rPr>
        <w:t xml:space="preserve"> 14 (8): e0220457. https://doi.org/10.1371/journal.pone.0220457.</w:t>
      </w:r>
    </w:p>
    <w:p w14:paraId="325383FD" w14:textId="41900C27" w:rsidR="006C2781" w:rsidRPr="006C2781" w:rsidRDefault="006C2781" w:rsidP="00A2360B">
      <w:pPr>
        <w:pStyle w:val="Bibliography"/>
        <w:spacing w:before="240" w:line="480" w:lineRule="auto"/>
        <w:ind w:left="0" w:firstLine="0"/>
        <w:rPr>
          <w:rFonts w:cs="Times New Roman"/>
        </w:rPr>
      </w:pPr>
      <w:proofErr w:type="spellStart"/>
      <w:r w:rsidRPr="006C2781">
        <w:rPr>
          <w:rFonts w:cs="Times New Roman"/>
        </w:rPr>
        <w:lastRenderedPageBreak/>
        <w:t>Guderjan</w:t>
      </w:r>
      <w:proofErr w:type="spellEnd"/>
      <w:r w:rsidRPr="006C2781">
        <w:rPr>
          <w:rFonts w:cs="Times New Roman"/>
        </w:rPr>
        <w:t xml:space="preserve">, Thomas H., Sheryl </w:t>
      </w:r>
      <w:proofErr w:type="spellStart"/>
      <w:r w:rsidRPr="006C2781">
        <w:rPr>
          <w:rFonts w:cs="Times New Roman"/>
        </w:rPr>
        <w:t>Luzzadder</w:t>
      </w:r>
      <w:proofErr w:type="spellEnd"/>
      <w:r w:rsidRPr="006C2781">
        <w:rPr>
          <w:rFonts w:cs="Times New Roman"/>
        </w:rPr>
        <w:t xml:space="preserve">-Beach, Timothy Beach, Steven Bozarth, and Samantha Krause. 2017. “Production of Ancient Wetland Agricultural Commodities in the Maya Lowlands.” In </w:t>
      </w:r>
      <w:r w:rsidRPr="006C2781">
        <w:rPr>
          <w:rFonts w:cs="Times New Roman"/>
          <w:i/>
          <w:iCs/>
        </w:rPr>
        <w:t>The Value of Things: Prehistoric to Contemporary Commodities in the Maya Region</w:t>
      </w:r>
      <w:r w:rsidRPr="006C2781">
        <w:rPr>
          <w:rFonts w:cs="Times New Roman"/>
        </w:rPr>
        <w:t xml:space="preserve">, edited by Jennifer P. Mathews and Thomas H. </w:t>
      </w:r>
      <w:proofErr w:type="spellStart"/>
      <w:r w:rsidRPr="006C2781">
        <w:rPr>
          <w:rFonts w:cs="Times New Roman"/>
        </w:rPr>
        <w:t>Guderjan</w:t>
      </w:r>
      <w:proofErr w:type="spellEnd"/>
      <w:r w:rsidRPr="006C2781">
        <w:rPr>
          <w:rFonts w:cs="Times New Roman"/>
        </w:rPr>
        <w:t>, 20–48. University of Arizona Press</w:t>
      </w:r>
      <w:r w:rsidR="00643D88">
        <w:rPr>
          <w:rFonts w:cs="Times New Roman"/>
        </w:rPr>
        <w:t>. Tucson</w:t>
      </w:r>
      <w:r w:rsidRPr="006C2781">
        <w:rPr>
          <w:rFonts w:cs="Times New Roman"/>
        </w:rPr>
        <w:t>.</w:t>
      </w:r>
    </w:p>
    <w:p w14:paraId="72CD387F" w14:textId="77777777" w:rsidR="00042AD4" w:rsidRDefault="006C2781" w:rsidP="00A2360B">
      <w:pPr>
        <w:pStyle w:val="Bibliography"/>
        <w:spacing w:before="240" w:line="480" w:lineRule="auto"/>
        <w:ind w:left="0" w:firstLine="0"/>
        <w:rPr>
          <w:rFonts w:cs="Times New Roman"/>
        </w:rPr>
      </w:pPr>
      <w:r w:rsidRPr="006C2781">
        <w:rPr>
          <w:rFonts w:cs="Times New Roman"/>
        </w:rPr>
        <w:t xml:space="preserve">Hengl, Tomislav. 2018. “Tomislav Hengl. (2018). Clay Content in % (Kg / Kg) at 6 Standard Depths (0, 10, 30, 60, 100 and 200 Cm) at 250 m Resolution (v0.2).” </w:t>
      </w:r>
      <w:proofErr w:type="spellStart"/>
      <w:r w:rsidRPr="006C2781">
        <w:rPr>
          <w:rFonts w:cs="Times New Roman"/>
        </w:rPr>
        <w:t>Zenodo</w:t>
      </w:r>
      <w:proofErr w:type="spellEnd"/>
      <w:r w:rsidRPr="006C2781">
        <w:rPr>
          <w:rFonts w:cs="Times New Roman"/>
        </w:rPr>
        <w:t xml:space="preserve">. </w:t>
      </w:r>
      <w:r w:rsidR="001A2732" w:rsidRPr="00716A29">
        <w:rPr>
          <w:rFonts w:cs="Times New Roman"/>
        </w:rPr>
        <w:t>https://doi.org/10.5281/zenodo.1476855</w:t>
      </w:r>
      <w:r w:rsidR="001A2732">
        <w:rPr>
          <w:rFonts w:cs="Times New Roman"/>
        </w:rPr>
        <w:t>, accessed March 22, 2022</w:t>
      </w:r>
      <w:r w:rsidRPr="006C2781">
        <w:rPr>
          <w:rFonts w:cs="Times New Roman"/>
        </w:rPr>
        <w:t>.</w:t>
      </w:r>
    </w:p>
    <w:p w14:paraId="2547D462" w14:textId="020AC8FD" w:rsidR="00042AD4" w:rsidRDefault="006C2781" w:rsidP="00A2360B">
      <w:pPr>
        <w:pStyle w:val="Bibliography"/>
        <w:spacing w:before="240" w:line="480" w:lineRule="auto"/>
        <w:ind w:left="0" w:firstLine="0"/>
        <w:rPr>
          <w:rFonts w:cs="Times New Roman"/>
        </w:rPr>
      </w:pPr>
      <w:r w:rsidRPr="006C2781">
        <w:rPr>
          <w:rFonts w:cs="Times New Roman"/>
        </w:rPr>
        <w:t xml:space="preserve">Hengl, Tomislav, and Surya Gupta. 2019. “Soil Available Water Capacity in Mm Derived for 5 Standard Layers (0-10, 10-30, 30-60, 60-100 and 100-200 Cm) at 250 m Resolution.” </w:t>
      </w:r>
      <w:proofErr w:type="spellStart"/>
      <w:r w:rsidRPr="006C2781">
        <w:rPr>
          <w:rFonts w:cs="Times New Roman"/>
        </w:rPr>
        <w:t>Zenodo</w:t>
      </w:r>
      <w:proofErr w:type="spellEnd"/>
      <w:r w:rsidRPr="006C2781">
        <w:rPr>
          <w:rFonts w:cs="Times New Roman"/>
        </w:rPr>
        <w:t xml:space="preserve">. </w:t>
      </w:r>
      <w:r w:rsidR="007B404D" w:rsidRPr="00042AD4">
        <w:t>https://doi.org/10.5281/zenodo.2784001</w:t>
      </w:r>
      <w:r w:rsidR="001A2732" w:rsidRPr="00822ACF">
        <w:rPr>
          <w:rFonts w:cs="Times New Roman"/>
        </w:rPr>
        <w:t xml:space="preserve">, accessed October 18, 2021. </w:t>
      </w:r>
    </w:p>
    <w:p w14:paraId="4F2A7610" w14:textId="3D6D4DA0" w:rsidR="00042AD4" w:rsidRPr="00042AD4" w:rsidRDefault="007B404D" w:rsidP="00A2360B">
      <w:pPr>
        <w:pStyle w:val="Bibliography"/>
        <w:spacing w:before="240" w:line="480" w:lineRule="auto"/>
        <w:ind w:left="0" w:firstLine="0"/>
        <w:rPr>
          <w:rFonts w:cs="Times New Roman"/>
        </w:rPr>
      </w:pPr>
      <w:r w:rsidRPr="009219C4">
        <w:t>Krasilnikov, Pavel, Ma del Carmen Gutiérrez-Castorena, Robert J. Ahrens, Carlos Omar Cruz-</w:t>
      </w:r>
      <w:proofErr w:type="spellStart"/>
      <w:r w:rsidRPr="009219C4">
        <w:t>Gaistardo</w:t>
      </w:r>
      <w:proofErr w:type="spellEnd"/>
      <w:r w:rsidRPr="009219C4">
        <w:t xml:space="preserve">, Sergey Sedov, and Elizabeth </w:t>
      </w:r>
      <w:proofErr w:type="spellStart"/>
      <w:r w:rsidRPr="009219C4">
        <w:t>Solleiro</w:t>
      </w:r>
      <w:proofErr w:type="spellEnd"/>
      <w:r w:rsidRPr="009219C4">
        <w:t xml:space="preserve">-Rebolledo. </w:t>
      </w:r>
      <w:r w:rsidRPr="007B404D">
        <w:t xml:space="preserve">2013. Soil Research and Soil Mapping History. In </w:t>
      </w:r>
      <w:r w:rsidRPr="007B404D">
        <w:rPr>
          <w:i/>
          <w:iCs/>
        </w:rPr>
        <w:t>The Soils of Mexico</w:t>
      </w:r>
      <w:r w:rsidRPr="007B404D">
        <w:t>, 5–23. World Soils Book Series. Springer</w:t>
      </w:r>
      <w:r>
        <w:t xml:space="preserve">, </w:t>
      </w:r>
      <w:r w:rsidRPr="007B404D">
        <w:t>Dordrecht</w:t>
      </w:r>
      <w:r>
        <w:t>,</w:t>
      </w:r>
      <w:r w:rsidRPr="007B404D">
        <w:t xml:space="preserve"> Netherlands.</w:t>
      </w:r>
    </w:p>
    <w:p w14:paraId="05339A74" w14:textId="2597E49F" w:rsidR="006C2781" w:rsidRPr="00042AD4" w:rsidRDefault="006C2781" w:rsidP="00A2360B">
      <w:pPr>
        <w:spacing w:before="240" w:line="480" w:lineRule="auto"/>
      </w:pPr>
      <w:r w:rsidRPr="006C2781">
        <w:rPr>
          <w:rFonts w:cs="Times New Roman"/>
        </w:rPr>
        <w:t xml:space="preserve">Kristensen, Jeppe Aagaard, Thomas Balstrøm, Robert J. A. Jones, Arwyn Jones, Luca </w:t>
      </w:r>
      <w:proofErr w:type="spellStart"/>
      <w:r w:rsidRPr="006C2781">
        <w:rPr>
          <w:rFonts w:cs="Times New Roman"/>
        </w:rPr>
        <w:t>Montanarella</w:t>
      </w:r>
      <w:proofErr w:type="spellEnd"/>
      <w:r w:rsidRPr="006C2781">
        <w:rPr>
          <w:rFonts w:cs="Times New Roman"/>
        </w:rPr>
        <w:t xml:space="preserve">, Panos Panagos, and Henrik Breuning-Madsen. 2019. “Development of a Harmonised Soil Profile Analytical Database for Europe: A Resource for Supporting Regional Soil Management.” </w:t>
      </w:r>
      <w:r w:rsidRPr="006C2781">
        <w:rPr>
          <w:rFonts w:cs="Times New Roman"/>
          <w:i/>
          <w:iCs/>
        </w:rPr>
        <w:t>SOIL</w:t>
      </w:r>
      <w:r w:rsidRPr="006C2781">
        <w:rPr>
          <w:rFonts w:cs="Times New Roman"/>
        </w:rPr>
        <w:t xml:space="preserve"> 5 (2): 289–301. https://doi.org/10.5194/soil-5-289-2019.</w:t>
      </w:r>
    </w:p>
    <w:p w14:paraId="27B8FD6E" w14:textId="77777777" w:rsidR="006C2781" w:rsidRPr="006C2781" w:rsidRDefault="006C2781" w:rsidP="00A2360B">
      <w:pPr>
        <w:pStyle w:val="Bibliography"/>
        <w:spacing w:before="240" w:line="480" w:lineRule="auto"/>
        <w:ind w:left="0" w:firstLine="0"/>
        <w:rPr>
          <w:rFonts w:cs="Times New Roman"/>
        </w:rPr>
      </w:pPr>
      <w:r w:rsidRPr="006C2781">
        <w:rPr>
          <w:rFonts w:cs="Times New Roman"/>
        </w:rPr>
        <w:lastRenderedPageBreak/>
        <w:t xml:space="preserve">Morell-Hart, Shanti. 2020. “Plant Foodstuffs of the Ancient Maya: Agents and Matter, Medium and Message.” In </w:t>
      </w:r>
      <w:r w:rsidRPr="006C2781">
        <w:rPr>
          <w:rFonts w:cs="Times New Roman"/>
          <w:i/>
          <w:iCs/>
        </w:rPr>
        <w:t>Her Cup for Sweet Cacao: Food in Ancient Maya Society</w:t>
      </w:r>
      <w:r w:rsidRPr="006C2781">
        <w:rPr>
          <w:rFonts w:cs="Times New Roman"/>
        </w:rPr>
        <w:t xml:space="preserve">, edited by Traci </w:t>
      </w:r>
      <w:proofErr w:type="spellStart"/>
      <w:r w:rsidRPr="006C2781">
        <w:rPr>
          <w:rFonts w:cs="Times New Roman"/>
        </w:rPr>
        <w:t>Ardren</w:t>
      </w:r>
      <w:proofErr w:type="spellEnd"/>
      <w:r w:rsidRPr="006C2781">
        <w:rPr>
          <w:rFonts w:cs="Times New Roman"/>
        </w:rPr>
        <w:t>, 124–60. Austin, TX: University of Texas Press.</w:t>
      </w:r>
    </w:p>
    <w:p w14:paraId="7EDF1BA8" w14:textId="77777777" w:rsidR="006C2781" w:rsidRPr="006C2781" w:rsidRDefault="006C2781" w:rsidP="00A2360B">
      <w:pPr>
        <w:pStyle w:val="Bibliography"/>
        <w:spacing w:before="240" w:line="480" w:lineRule="auto"/>
        <w:ind w:left="0" w:firstLine="0"/>
        <w:rPr>
          <w:rFonts w:cs="Times New Roman"/>
        </w:rPr>
      </w:pPr>
      <w:r w:rsidRPr="006C2781">
        <w:rPr>
          <w:rFonts w:cs="Times New Roman"/>
        </w:rPr>
        <w:t xml:space="preserve">Wilken, Gene C. 1971. “Food-Producing Systems Available to the Ancient Maya.” </w:t>
      </w:r>
      <w:r w:rsidRPr="006C2781">
        <w:rPr>
          <w:rFonts w:cs="Times New Roman"/>
          <w:i/>
          <w:iCs/>
        </w:rPr>
        <w:t>American Antiquity</w:t>
      </w:r>
      <w:r w:rsidRPr="006C2781">
        <w:rPr>
          <w:rFonts w:cs="Times New Roman"/>
        </w:rPr>
        <w:t xml:space="preserve"> 36 (4): 432–48. https://doi.org/10.2307/278462.</w:t>
      </w:r>
    </w:p>
    <w:p w14:paraId="3C2EE8A5" w14:textId="05DF24CD" w:rsidR="00735D23" w:rsidRPr="00F33FC1" w:rsidRDefault="00735D23" w:rsidP="00A10851">
      <w:pPr>
        <w:ind w:firstLine="720"/>
        <w:jc w:val="center"/>
        <w:rPr>
          <w:b/>
          <w:bCs/>
          <w:szCs w:val="24"/>
        </w:rPr>
      </w:pPr>
    </w:p>
    <w:p w14:paraId="0F9EE7FC" w14:textId="77777777" w:rsidR="00162428" w:rsidRPr="00F33FC1" w:rsidRDefault="00162428">
      <w:pPr>
        <w:rPr>
          <w:szCs w:val="24"/>
        </w:rPr>
      </w:pPr>
    </w:p>
    <w:sectPr w:rsidR="00162428" w:rsidRPr="00F33FC1">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51013" w14:textId="77777777" w:rsidR="00554E38" w:rsidRDefault="00554E38" w:rsidP="007C0E25">
      <w:pPr>
        <w:spacing w:after="0" w:line="240" w:lineRule="auto"/>
      </w:pPr>
      <w:r>
        <w:separator/>
      </w:r>
    </w:p>
  </w:endnote>
  <w:endnote w:type="continuationSeparator" w:id="0">
    <w:p w14:paraId="12FD433C" w14:textId="77777777" w:rsidR="00554E38" w:rsidRDefault="00554E38" w:rsidP="007C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5E8DB" w14:textId="77777777" w:rsidR="00554E38" w:rsidRDefault="00554E38" w:rsidP="007C0E25">
      <w:pPr>
        <w:spacing w:after="0" w:line="240" w:lineRule="auto"/>
      </w:pPr>
      <w:r>
        <w:separator/>
      </w:r>
    </w:p>
  </w:footnote>
  <w:footnote w:type="continuationSeparator" w:id="0">
    <w:p w14:paraId="2E30BD13" w14:textId="77777777" w:rsidR="00554E38" w:rsidRDefault="00554E38" w:rsidP="007C0E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70434" w14:textId="77777777" w:rsidR="00CB371D" w:rsidRPr="00B81FD9" w:rsidRDefault="007C0E25">
    <w:pPr>
      <w:pStyle w:val="Header"/>
      <w:rPr>
        <w:szCs w:val="24"/>
      </w:rPr>
    </w:pPr>
    <w:r w:rsidRPr="00B81FD9">
      <w:rPr>
        <w:szCs w:val="24"/>
      </w:rPr>
      <w:t>Horseman, Grace, Shanti Morell-Hart, Charles W. Golden, and Andrew K. Scherer</w:t>
    </w:r>
    <w:r w:rsidR="00CB371D" w:rsidRPr="00B81FD9">
      <w:rPr>
        <w:szCs w:val="24"/>
      </w:rPr>
      <w:t xml:space="preserve"> </w:t>
    </w:r>
  </w:p>
  <w:p w14:paraId="147EAC79" w14:textId="43FE9B42" w:rsidR="007C0E25" w:rsidRPr="00B81FD9" w:rsidRDefault="00CB371D">
    <w:pPr>
      <w:pStyle w:val="Header"/>
      <w:rPr>
        <w:szCs w:val="24"/>
      </w:rPr>
    </w:pPr>
    <w:r w:rsidRPr="00B81FD9">
      <w:rPr>
        <w:szCs w:val="24"/>
      </w:rPr>
      <w:t>“</w:t>
    </w:r>
    <w:r w:rsidR="007C0E25" w:rsidRPr="00B81FD9">
      <w:rPr>
        <w:szCs w:val="24"/>
      </w:rPr>
      <w:t>Suitability Models of Ancient Maya Agriculture in the Upper Usumacinta River Basin of Mexico and Guatemala</w:t>
    </w:r>
    <w:r w:rsidRPr="00B81FD9">
      <w:rPr>
        <w:szCs w:val="24"/>
      </w:rPr>
      <w:t>.</w:t>
    </w:r>
    <w:r w:rsidR="007C0E25" w:rsidRPr="00B81FD9">
      <w:rPr>
        <w:szCs w:val="24"/>
      </w:rPr>
      <w:t xml:space="preserve">” </w:t>
    </w:r>
    <w:r w:rsidR="007C0E25" w:rsidRPr="00B81FD9">
      <w:rPr>
        <w:i/>
        <w:iCs/>
        <w:szCs w:val="24"/>
      </w:rPr>
      <w:t>Latin American Antiquity</w:t>
    </w:r>
    <w:r w:rsidR="007C0E25" w:rsidRPr="00B81FD9">
      <w:rPr>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50C"/>
    <w:rsid w:val="00001682"/>
    <w:rsid w:val="000035F6"/>
    <w:rsid w:val="00010046"/>
    <w:rsid w:val="00022B80"/>
    <w:rsid w:val="00040618"/>
    <w:rsid w:val="00042AD4"/>
    <w:rsid w:val="0004568A"/>
    <w:rsid w:val="0005466D"/>
    <w:rsid w:val="000623C0"/>
    <w:rsid w:val="00065B82"/>
    <w:rsid w:val="00083598"/>
    <w:rsid w:val="000936B3"/>
    <w:rsid w:val="00094C47"/>
    <w:rsid w:val="000A567D"/>
    <w:rsid w:val="000B15F4"/>
    <w:rsid w:val="000D0FF2"/>
    <w:rsid w:val="000E59B8"/>
    <w:rsid w:val="000E6594"/>
    <w:rsid w:val="000F2DDE"/>
    <w:rsid w:val="000F370B"/>
    <w:rsid w:val="00107601"/>
    <w:rsid w:val="0012011D"/>
    <w:rsid w:val="00125F0E"/>
    <w:rsid w:val="00145545"/>
    <w:rsid w:val="001519CF"/>
    <w:rsid w:val="00162428"/>
    <w:rsid w:val="0016568A"/>
    <w:rsid w:val="001869A4"/>
    <w:rsid w:val="001A2732"/>
    <w:rsid w:val="001B30A5"/>
    <w:rsid w:val="001B7170"/>
    <w:rsid w:val="001D059F"/>
    <w:rsid w:val="001D33B7"/>
    <w:rsid w:val="001D7773"/>
    <w:rsid w:val="00200C20"/>
    <w:rsid w:val="00201D12"/>
    <w:rsid w:val="002347EE"/>
    <w:rsid w:val="00235501"/>
    <w:rsid w:val="0027103A"/>
    <w:rsid w:val="00285A93"/>
    <w:rsid w:val="002B47B4"/>
    <w:rsid w:val="002B76B8"/>
    <w:rsid w:val="002C6125"/>
    <w:rsid w:val="00302F96"/>
    <w:rsid w:val="0034474F"/>
    <w:rsid w:val="00386062"/>
    <w:rsid w:val="0039494C"/>
    <w:rsid w:val="003D7C12"/>
    <w:rsid w:val="00423C6E"/>
    <w:rsid w:val="00440D02"/>
    <w:rsid w:val="004510A6"/>
    <w:rsid w:val="00467933"/>
    <w:rsid w:val="00493114"/>
    <w:rsid w:val="0049786F"/>
    <w:rsid w:val="004B37A3"/>
    <w:rsid w:val="004B48AB"/>
    <w:rsid w:val="004F24A3"/>
    <w:rsid w:val="004F29FB"/>
    <w:rsid w:val="00502D60"/>
    <w:rsid w:val="00517015"/>
    <w:rsid w:val="0053066A"/>
    <w:rsid w:val="005320B9"/>
    <w:rsid w:val="00537EA5"/>
    <w:rsid w:val="00554E38"/>
    <w:rsid w:val="00570B12"/>
    <w:rsid w:val="005720A1"/>
    <w:rsid w:val="005747FA"/>
    <w:rsid w:val="00593657"/>
    <w:rsid w:val="005A3401"/>
    <w:rsid w:val="005B7FCC"/>
    <w:rsid w:val="00606268"/>
    <w:rsid w:val="00612810"/>
    <w:rsid w:val="00643D88"/>
    <w:rsid w:val="0066160A"/>
    <w:rsid w:val="00692273"/>
    <w:rsid w:val="006956D2"/>
    <w:rsid w:val="006A7ABC"/>
    <w:rsid w:val="006C2781"/>
    <w:rsid w:val="006C7229"/>
    <w:rsid w:val="006D24B9"/>
    <w:rsid w:val="006E4B4C"/>
    <w:rsid w:val="006F60D0"/>
    <w:rsid w:val="00712955"/>
    <w:rsid w:val="00716A29"/>
    <w:rsid w:val="00735D23"/>
    <w:rsid w:val="0074594B"/>
    <w:rsid w:val="00757D54"/>
    <w:rsid w:val="00771EB1"/>
    <w:rsid w:val="007773B3"/>
    <w:rsid w:val="00782777"/>
    <w:rsid w:val="00783EF5"/>
    <w:rsid w:val="007B336D"/>
    <w:rsid w:val="007B404D"/>
    <w:rsid w:val="007C0E25"/>
    <w:rsid w:val="007C5D36"/>
    <w:rsid w:val="007D601C"/>
    <w:rsid w:val="007D7790"/>
    <w:rsid w:val="007E79AA"/>
    <w:rsid w:val="007F7A31"/>
    <w:rsid w:val="00805076"/>
    <w:rsid w:val="0081161B"/>
    <w:rsid w:val="00816510"/>
    <w:rsid w:val="00822ACF"/>
    <w:rsid w:val="00825EDC"/>
    <w:rsid w:val="008471CF"/>
    <w:rsid w:val="008557C5"/>
    <w:rsid w:val="008606CA"/>
    <w:rsid w:val="008607F1"/>
    <w:rsid w:val="008A57EB"/>
    <w:rsid w:val="008B60DB"/>
    <w:rsid w:val="008C2C11"/>
    <w:rsid w:val="00912D85"/>
    <w:rsid w:val="00914146"/>
    <w:rsid w:val="009219C4"/>
    <w:rsid w:val="00930685"/>
    <w:rsid w:val="0095085F"/>
    <w:rsid w:val="00956F50"/>
    <w:rsid w:val="0095712C"/>
    <w:rsid w:val="00965657"/>
    <w:rsid w:val="0097450C"/>
    <w:rsid w:val="00990747"/>
    <w:rsid w:val="0099289D"/>
    <w:rsid w:val="009C1A90"/>
    <w:rsid w:val="009C6CA7"/>
    <w:rsid w:val="009C78BE"/>
    <w:rsid w:val="00A05456"/>
    <w:rsid w:val="00A10851"/>
    <w:rsid w:val="00A12C63"/>
    <w:rsid w:val="00A15917"/>
    <w:rsid w:val="00A22C72"/>
    <w:rsid w:val="00A2360B"/>
    <w:rsid w:val="00A31EC7"/>
    <w:rsid w:val="00A430DB"/>
    <w:rsid w:val="00A45FB2"/>
    <w:rsid w:val="00A55883"/>
    <w:rsid w:val="00A66EDF"/>
    <w:rsid w:val="00A81546"/>
    <w:rsid w:val="00AD47CB"/>
    <w:rsid w:val="00AE5328"/>
    <w:rsid w:val="00AF4DB4"/>
    <w:rsid w:val="00B029C5"/>
    <w:rsid w:val="00B30F46"/>
    <w:rsid w:val="00B50591"/>
    <w:rsid w:val="00B55D3C"/>
    <w:rsid w:val="00B6273E"/>
    <w:rsid w:val="00B81FD9"/>
    <w:rsid w:val="00B82190"/>
    <w:rsid w:val="00BA6C38"/>
    <w:rsid w:val="00BC1B1F"/>
    <w:rsid w:val="00BC7C55"/>
    <w:rsid w:val="00BD184B"/>
    <w:rsid w:val="00C07893"/>
    <w:rsid w:val="00C07E70"/>
    <w:rsid w:val="00C43701"/>
    <w:rsid w:val="00C633EE"/>
    <w:rsid w:val="00C64B0D"/>
    <w:rsid w:val="00C90F62"/>
    <w:rsid w:val="00C929D3"/>
    <w:rsid w:val="00CB371D"/>
    <w:rsid w:val="00CB56EC"/>
    <w:rsid w:val="00CD1FA1"/>
    <w:rsid w:val="00CF26D9"/>
    <w:rsid w:val="00CF4C57"/>
    <w:rsid w:val="00D000FA"/>
    <w:rsid w:val="00D06E0C"/>
    <w:rsid w:val="00D34013"/>
    <w:rsid w:val="00D82BA8"/>
    <w:rsid w:val="00DA413D"/>
    <w:rsid w:val="00DB03AD"/>
    <w:rsid w:val="00DE5CA4"/>
    <w:rsid w:val="00DF1E6E"/>
    <w:rsid w:val="00E30818"/>
    <w:rsid w:val="00E43103"/>
    <w:rsid w:val="00E44B92"/>
    <w:rsid w:val="00E46586"/>
    <w:rsid w:val="00E67A59"/>
    <w:rsid w:val="00E70AB4"/>
    <w:rsid w:val="00E77C2E"/>
    <w:rsid w:val="00E77D4E"/>
    <w:rsid w:val="00E8562E"/>
    <w:rsid w:val="00E917C8"/>
    <w:rsid w:val="00EB1037"/>
    <w:rsid w:val="00EB5BDC"/>
    <w:rsid w:val="00ED335D"/>
    <w:rsid w:val="00EE3ABC"/>
    <w:rsid w:val="00EF68E3"/>
    <w:rsid w:val="00F07768"/>
    <w:rsid w:val="00F11930"/>
    <w:rsid w:val="00F30176"/>
    <w:rsid w:val="00F33FC1"/>
    <w:rsid w:val="00F45B1D"/>
    <w:rsid w:val="00F46EC1"/>
    <w:rsid w:val="00F561F2"/>
    <w:rsid w:val="00F60A97"/>
    <w:rsid w:val="00F74194"/>
    <w:rsid w:val="00FA3894"/>
    <w:rsid w:val="00FA665D"/>
    <w:rsid w:val="00FC35A0"/>
    <w:rsid w:val="00FD17A6"/>
    <w:rsid w:val="00FD54B7"/>
    <w:rsid w:val="00FD7AE4"/>
    <w:rsid w:val="00FE0D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6590"/>
  <w15:docId w15:val="{069F07AA-CD20-4694-BA1A-A3299D7B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7450C"/>
    <w:rPr>
      <w:rFonts w:ascii="Times New Roman" w:hAnsi="Times New Roman"/>
      <w:kern w:val="0"/>
      <w:sz w:val="24"/>
      <w14:ligatures w14:val="none"/>
    </w:rPr>
  </w:style>
  <w:style w:type="paragraph" w:styleId="Heading2">
    <w:name w:val="heading 2"/>
    <w:basedOn w:val="Normal"/>
    <w:next w:val="Normal"/>
    <w:link w:val="Heading2Char"/>
    <w:uiPriority w:val="9"/>
    <w:unhideWhenUsed/>
    <w:qFormat/>
    <w:rsid w:val="0097450C"/>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97450C"/>
    <w:pPr>
      <w:keepNext/>
      <w:keepLines/>
      <w:spacing w:before="40" w:after="0"/>
      <w:outlineLvl w:val="2"/>
    </w:pPr>
    <w:rPr>
      <w:rFonts w:eastAsiaTheme="majorEastAsia" w:cstheme="majorBidi"/>
      <w:sz w:val="20"/>
      <w:szCs w:val="24"/>
    </w:rPr>
  </w:style>
  <w:style w:type="paragraph" w:styleId="Heading4">
    <w:name w:val="heading 4"/>
    <w:basedOn w:val="Normal"/>
    <w:next w:val="Normal"/>
    <w:link w:val="Heading4Char"/>
    <w:uiPriority w:val="9"/>
    <w:semiHidden/>
    <w:unhideWhenUsed/>
    <w:qFormat/>
    <w:rsid w:val="00E3081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7450C"/>
    <w:rPr>
      <w:rFonts w:ascii="Times New Roman" w:eastAsiaTheme="majorEastAsia" w:hAnsi="Times New Roman" w:cstheme="majorBidi"/>
      <w:kern w:val="0"/>
      <w:sz w:val="24"/>
      <w:szCs w:val="26"/>
      <w14:ligatures w14:val="none"/>
    </w:rPr>
  </w:style>
  <w:style w:type="character" w:customStyle="1" w:styleId="Heading3Char">
    <w:name w:val="Heading 3 Char"/>
    <w:basedOn w:val="DefaultParagraphFont"/>
    <w:link w:val="Heading3"/>
    <w:uiPriority w:val="9"/>
    <w:rsid w:val="0097450C"/>
    <w:rPr>
      <w:rFonts w:ascii="Times New Roman" w:eastAsiaTheme="majorEastAsia" w:hAnsi="Times New Roman" w:cstheme="majorBidi"/>
      <w:kern w:val="0"/>
      <w:sz w:val="20"/>
      <w:szCs w:val="24"/>
      <w14:ligatures w14:val="none"/>
    </w:rPr>
  </w:style>
  <w:style w:type="paragraph" w:styleId="Caption">
    <w:name w:val="caption"/>
    <w:basedOn w:val="Normal"/>
    <w:next w:val="Normal"/>
    <w:link w:val="CaptionChar"/>
    <w:uiPriority w:val="35"/>
    <w:unhideWhenUsed/>
    <w:qFormat/>
    <w:rsid w:val="0097450C"/>
    <w:pPr>
      <w:spacing w:after="200" w:line="240" w:lineRule="auto"/>
    </w:pPr>
    <w:rPr>
      <w:i/>
      <w:iCs/>
      <w:color w:val="44546A" w:themeColor="text2"/>
      <w:sz w:val="18"/>
      <w:szCs w:val="18"/>
    </w:rPr>
  </w:style>
  <w:style w:type="character" w:customStyle="1" w:styleId="CaptionChar">
    <w:name w:val="Caption Char"/>
    <w:basedOn w:val="DefaultParagraphFont"/>
    <w:link w:val="Caption"/>
    <w:uiPriority w:val="35"/>
    <w:rsid w:val="0097450C"/>
    <w:rPr>
      <w:rFonts w:ascii="Times New Roman" w:hAnsi="Times New Roman"/>
      <w:i/>
      <w:iCs/>
      <w:color w:val="44546A" w:themeColor="text2"/>
      <w:kern w:val="0"/>
      <w:sz w:val="18"/>
      <w:szCs w:val="18"/>
      <w14:ligatures w14:val="none"/>
    </w:rPr>
  </w:style>
  <w:style w:type="paragraph" w:styleId="Bibliography">
    <w:name w:val="Bibliography"/>
    <w:basedOn w:val="Normal"/>
    <w:next w:val="Normal"/>
    <w:uiPriority w:val="37"/>
    <w:unhideWhenUsed/>
    <w:rsid w:val="00735D23"/>
    <w:pPr>
      <w:spacing w:after="0" w:line="240" w:lineRule="auto"/>
      <w:ind w:left="720" w:hanging="720"/>
    </w:pPr>
  </w:style>
  <w:style w:type="character" w:styleId="CommentReference">
    <w:name w:val="annotation reference"/>
    <w:basedOn w:val="DefaultParagraphFont"/>
    <w:uiPriority w:val="99"/>
    <w:semiHidden/>
    <w:unhideWhenUsed/>
    <w:rsid w:val="00302F96"/>
    <w:rPr>
      <w:sz w:val="16"/>
      <w:szCs w:val="16"/>
    </w:rPr>
  </w:style>
  <w:style w:type="paragraph" w:styleId="CommentText">
    <w:name w:val="annotation text"/>
    <w:basedOn w:val="Normal"/>
    <w:link w:val="CommentTextChar"/>
    <w:uiPriority w:val="99"/>
    <w:unhideWhenUsed/>
    <w:rsid w:val="00302F96"/>
    <w:pPr>
      <w:spacing w:line="240" w:lineRule="auto"/>
    </w:pPr>
    <w:rPr>
      <w:sz w:val="20"/>
      <w:szCs w:val="20"/>
    </w:rPr>
  </w:style>
  <w:style w:type="character" w:customStyle="1" w:styleId="CommentTextChar">
    <w:name w:val="Comment Text Char"/>
    <w:basedOn w:val="DefaultParagraphFont"/>
    <w:link w:val="CommentText"/>
    <w:uiPriority w:val="99"/>
    <w:rsid w:val="00302F96"/>
    <w:rPr>
      <w:rFonts w:ascii="Times New Roman" w:hAnsi="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02F96"/>
    <w:rPr>
      <w:b/>
      <w:bCs/>
    </w:rPr>
  </w:style>
  <w:style w:type="character" w:customStyle="1" w:styleId="CommentSubjectChar">
    <w:name w:val="Comment Subject Char"/>
    <w:basedOn w:val="CommentTextChar"/>
    <w:link w:val="CommentSubject"/>
    <w:uiPriority w:val="99"/>
    <w:semiHidden/>
    <w:rsid w:val="00302F96"/>
    <w:rPr>
      <w:rFonts w:ascii="Times New Roman" w:hAnsi="Times New Roman"/>
      <w:b/>
      <w:bCs/>
      <w:kern w:val="0"/>
      <w:sz w:val="20"/>
      <w:szCs w:val="20"/>
      <w14:ligatures w14:val="none"/>
    </w:rPr>
  </w:style>
  <w:style w:type="paragraph" w:styleId="Revision">
    <w:name w:val="Revision"/>
    <w:hidden/>
    <w:uiPriority w:val="99"/>
    <w:semiHidden/>
    <w:rsid w:val="00825EDC"/>
    <w:pPr>
      <w:spacing w:after="0" w:line="240" w:lineRule="auto"/>
    </w:pPr>
    <w:rPr>
      <w:rFonts w:ascii="Times New Roman" w:hAnsi="Times New Roman"/>
      <w:kern w:val="0"/>
      <w:sz w:val="24"/>
      <w14:ligatures w14:val="none"/>
    </w:rPr>
  </w:style>
  <w:style w:type="table" w:styleId="TableGrid">
    <w:name w:val="Table Grid"/>
    <w:basedOn w:val="TableNormal"/>
    <w:uiPriority w:val="39"/>
    <w:rsid w:val="00493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0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E25"/>
    <w:rPr>
      <w:rFonts w:ascii="Times New Roman" w:hAnsi="Times New Roman"/>
      <w:kern w:val="0"/>
      <w:sz w:val="24"/>
      <w14:ligatures w14:val="none"/>
    </w:rPr>
  </w:style>
  <w:style w:type="paragraph" w:styleId="Footer">
    <w:name w:val="footer"/>
    <w:basedOn w:val="Normal"/>
    <w:link w:val="FooterChar"/>
    <w:uiPriority w:val="99"/>
    <w:unhideWhenUsed/>
    <w:rsid w:val="007C0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E25"/>
    <w:rPr>
      <w:rFonts w:ascii="Times New Roman" w:hAnsi="Times New Roman"/>
      <w:kern w:val="0"/>
      <w:sz w:val="24"/>
      <w14:ligatures w14:val="none"/>
    </w:rPr>
  </w:style>
  <w:style w:type="character" w:customStyle="1" w:styleId="Heading4Char">
    <w:name w:val="Heading 4 Char"/>
    <w:basedOn w:val="DefaultParagraphFont"/>
    <w:link w:val="Heading4"/>
    <w:uiPriority w:val="9"/>
    <w:semiHidden/>
    <w:rsid w:val="00E30818"/>
    <w:rPr>
      <w:rFonts w:asciiTheme="majorHAnsi" w:eastAsiaTheme="majorEastAsia" w:hAnsiTheme="majorHAnsi" w:cstheme="majorBidi"/>
      <w:i/>
      <w:iCs/>
      <w:color w:val="2F5496" w:themeColor="accent1" w:themeShade="BF"/>
      <w:kern w:val="0"/>
      <w:sz w:val="24"/>
      <w14:ligatures w14:val="none"/>
    </w:rPr>
  </w:style>
  <w:style w:type="character" w:styleId="Hyperlink">
    <w:name w:val="Hyperlink"/>
    <w:basedOn w:val="DefaultParagraphFont"/>
    <w:uiPriority w:val="99"/>
    <w:unhideWhenUsed/>
    <w:rsid w:val="007B404D"/>
    <w:rPr>
      <w:color w:val="0563C1" w:themeColor="hyperlink"/>
      <w:u w:val="single"/>
    </w:rPr>
  </w:style>
  <w:style w:type="character" w:styleId="UnresolvedMention">
    <w:name w:val="Unresolved Mention"/>
    <w:basedOn w:val="DefaultParagraphFont"/>
    <w:uiPriority w:val="99"/>
    <w:semiHidden/>
    <w:unhideWhenUsed/>
    <w:rsid w:val="007B40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749">
      <w:bodyDiv w:val="1"/>
      <w:marLeft w:val="0"/>
      <w:marRight w:val="0"/>
      <w:marTop w:val="0"/>
      <w:marBottom w:val="0"/>
      <w:divBdr>
        <w:top w:val="none" w:sz="0" w:space="0" w:color="auto"/>
        <w:left w:val="none" w:sz="0" w:space="0" w:color="auto"/>
        <w:bottom w:val="none" w:sz="0" w:space="0" w:color="auto"/>
        <w:right w:val="none" w:sz="0" w:space="0" w:color="auto"/>
      </w:divBdr>
    </w:div>
    <w:div w:id="948656801">
      <w:bodyDiv w:val="1"/>
      <w:marLeft w:val="0"/>
      <w:marRight w:val="0"/>
      <w:marTop w:val="0"/>
      <w:marBottom w:val="0"/>
      <w:divBdr>
        <w:top w:val="none" w:sz="0" w:space="0" w:color="auto"/>
        <w:left w:val="none" w:sz="0" w:space="0" w:color="auto"/>
        <w:bottom w:val="none" w:sz="0" w:space="0" w:color="auto"/>
        <w:right w:val="none" w:sz="0" w:space="0" w:color="auto"/>
      </w:divBdr>
    </w:div>
    <w:div w:id="1246113530">
      <w:bodyDiv w:val="1"/>
      <w:marLeft w:val="0"/>
      <w:marRight w:val="0"/>
      <w:marTop w:val="0"/>
      <w:marBottom w:val="0"/>
      <w:divBdr>
        <w:top w:val="none" w:sz="0" w:space="0" w:color="auto"/>
        <w:left w:val="none" w:sz="0" w:space="0" w:color="auto"/>
        <w:bottom w:val="none" w:sz="0" w:space="0" w:color="auto"/>
        <w:right w:val="none" w:sz="0" w:space="0" w:color="auto"/>
      </w:divBdr>
      <w:divsChild>
        <w:div w:id="765148533">
          <w:marLeft w:val="480"/>
          <w:marRight w:val="0"/>
          <w:marTop w:val="0"/>
          <w:marBottom w:val="0"/>
          <w:divBdr>
            <w:top w:val="none" w:sz="0" w:space="0" w:color="auto"/>
            <w:left w:val="none" w:sz="0" w:space="0" w:color="auto"/>
            <w:bottom w:val="none" w:sz="0" w:space="0" w:color="auto"/>
            <w:right w:val="none" w:sz="0" w:space="0" w:color="auto"/>
          </w:divBdr>
          <w:divsChild>
            <w:div w:id="37967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962704">
      <w:bodyDiv w:val="1"/>
      <w:marLeft w:val="0"/>
      <w:marRight w:val="0"/>
      <w:marTop w:val="0"/>
      <w:marBottom w:val="0"/>
      <w:divBdr>
        <w:top w:val="none" w:sz="0" w:space="0" w:color="auto"/>
        <w:left w:val="none" w:sz="0" w:space="0" w:color="auto"/>
        <w:bottom w:val="none" w:sz="0" w:space="0" w:color="auto"/>
        <w:right w:val="none" w:sz="0" w:space="0" w:color="auto"/>
      </w:divBdr>
      <w:divsChild>
        <w:div w:id="838470946">
          <w:marLeft w:val="480"/>
          <w:marRight w:val="0"/>
          <w:marTop w:val="0"/>
          <w:marBottom w:val="0"/>
          <w:divBdr>
            <w:top w:val="none" w:sz="0" w:space="0" w:color="auto"/>
            <w:left w:val="none" w:sz="0" w:space="0" w:color="auto"/>
            <w:bottom w:val="none" w:sz="0" w:space="0" w:color="auto"/>
            <w:right w:val="none" w:sz="0" w:space="0" w:color="auto"/>
          </w:divBdr>
          <w:divsChild>
            <w:div w:id="198504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7708">
      <w:bodyDiv w:val="1"/>
      <w:marLeft w:val="0"/>
      <w:marRight w:val="0"/>
      <w:marTop w:val="0"/>
      <w:marBottom w:val="0"/>
      <w:divBdr>
        <w:top w:val="none" w:sz="0" w:space="0" w:color="auto"/>
        <w:left w:val="none" w:sz="0" w:space="0" w:color="auto"/>
        <w:bottom w:val="none" w:sz="0" w:space="0" w:color="auto"/>
        <w:right w:val="none" w:sz="0" w:space="0" w:color="auto"/>
      </w:divBdr>
    </w:div>
    <w:div w:id="1621298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6FFCD-F000-496C-9056-C1F93AB7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6</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Grace Horseman</cp:lastModifiedBy>
  <cp:revision>48</cp:revision>
  <dcterms:created xsi:type="dcterms:W3CDTF">2024-03-26T16:16:00Z</dcterms:created>
  <dcterms:modified xsi:type="dcterms:W3CDTF">2024-08-20T13:10:00Z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id="dCf2qzRa"/&gt;&lt;style id="http://www.zotero.org/styles/chicago-author-date" locale="en-US" hasBibliography="1" bibliographyStyleHasBeenSet="1"/&gt;&lt;prefs&gt;&lt;pref name="fieldType" value="Field"/&gt;&lt;/prefs&gt;&lt;/</vt:lpwstr>
  </property>
  <property fmtid="{D5CDD505-2E9C-101B-9397-08002B2CF9AE}" pid="3" name="ZOTERO_PREF_2">
    <vt:lpwstr>data&gt;</vt:lpwstr>
  </property>
</Properties>
</file>