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17C68" w14:textId="77777777" w:rsidR="00EB69AC" w:rsidRDefault="00EB69AC" w:rsidP="00B4722A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Supplemental Text 5. </w:t>
      </w:r>
      <w:bookmarkStart w:id="0" w:name="_Hlk158651583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Hilltop Refuges in Postclassic Oaxaca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2FE6AFD" w14:textId="77777777" w:rsidR="00EB69AC" w:rsidRDefault="00EB69AC" w:rsidP="00B4722A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5B3124" w14:textId="77777777" w:rsidR="00EB69AC" w:rsidRDefault="00EB69AC" w:rsidP="00B4722A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792BFC" w14:textId="277A10DE" w:rsidR="00EB69AC" w:rsidRDefault="00EB69AC" w:rsidP="00B4722A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the Valley of Oaxaca during the Late Pos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classic (Monte Albán V),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population was often dispersed outside of defensible walls (Elam 1989). Some h</w:t>
      </w: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illtop terraced sites from the Early Classic (Monte Albán IIIA) or Early Postclassic (Monte Albán IV) were reused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</w:t>
      </w: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defens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Newly constructed defensible sites were mainly small citidels that could only protect a small number of people, and may have been pr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marily for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elite refuge</w:t>
      </w: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66D3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Winter (1994) reported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that a </w:t>
      </w: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Monte Albán V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defensive wall was built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in</w:t>
      </w:r>
      <w:r w:rsidRPr="00766D3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walled fortress over the South Platform at Monte Albán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after phase IIIB-IV structures had been abandoned, possibly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defense</w:t>
      </w:r>
      <w:r w:rsidRPr="00766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during times of conflict.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wall’s orientation and construction materials were totally different </w:t>
      </w:r>
      <w:r w:rsidR="006D77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those of the earlier structures.</w:t>
      </w:r>
    </w:p>
    <w:p w14:paraId="219950B2" w14:textId="77777777" w:rsidR="00EB69AC" w:rsidRDefault="00EB69AC" w:rsidP="00B4722A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11B970BE" w14:textId="77777777" w:rsidR="00EB69AC" w:rsidRDefault="00EB69AC" w:rsidP="00B4722A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1226E5B8" w14:textId="77777777" w:rsidR="00EB69AC" w:rsidRPr="00C007B7" w:rsidRDefault="00EB69AC" w:rsidP="00B4722A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 Cited</w:t>
      </w:r>
    </w:p>
    <w:p w14:paraId="79477C43" w14:textId="77777777" w:rsidR="00EB69AC" w:rsidRDefault="00EB69AC" w:rsidP="00B4722A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770DED" w14:textId="77777777" w:rsidR="00EB69AC" w:rsidRDefault="00EB69AC" w:rsidP="00B4722A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5E130A" w14:textId="77777777" w:rsidR="00EB69AC" w:rsidRDefault="00EB69AC" w:rsidP="00B4722A">
      <w:pPr>
        <w:tabs>
          <w:tab w:val="left" w:pos="360"/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58644245"/>
      <w:r w:rsidRPr="004A289C">
        <w:rPr>
          <w:rFonts w:ascii="Times New Roman" w:hAnsi="Times New Roman" w:cs="Times New Roman"/>
          <w:sz w:val="24"/>
          <w:szCs w:val="24"/>
        </w:rPr>
        <w:t>Elam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89C">
        <w:rPr>
          <w:rFonts w:ascii="Times New Roman" w:hAnsi="Times New Roman" w:cs="Times New Roman"/>
          <w:sz w:val="24"/>
          <w:szCs w:val="24"/>
        </w:rPr>
        <w:t xml:space="preserve"> J. Michael</w:t>
      </w:r>
    </w:p>
    <w:p w14:paraId="140D4D96" w14:textId="77777777" w:rsidR="00EB69AC" w:rsidRPr="004A289C" w:rsidRDefault="00EB69AC" w:rsidP="00B4722A">
      <w:pPr>
        <w:tabs>
          <w:tab w:val="left" w:pos="360"/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89C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ab/>
      </w:r>
      <w:r w:rsidRPr="004A289C">
        <w:rPr>
          <w:rFonts w:ascii="Times New Roman" w:hAnsi="Times New Roman" w:cs="Times New Roman"/>
          <w:sz w:val="24"/>
          <w:szCs w:val="24"/>
        </w:rPr>
        <w:t xml:space="preserve">Defensible and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A289C">
        <w:rPr>
          <w:rFonts w:ascii="Times New Roman" w:hAnsi="Times New Roman" w:cs="Times New Roman"/>
          <w:sz w:val="24"/>
          <w:szCs w:val="24"/>
        </w:rPr>
        <w:t xml:space="preserve">ortified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289C">
        <w:rPr>
          <w:rFonts w:ascii="Times New Roman" w:hAnsi="Times New Roman" w:cs="Times New Roman"/>
          <w:sz w:val="24"/>
          <w:szCs w:val="24"/>
        </w:rPr>
        <w:t xml:space="preserve">ites. In </w:t>
      </w:r>
      <w:r w:rsidRPr="004A289C">
        <w:rPr>
          <w:rFonts w:ascii="Times New Roman" w:hAnsi="Times New Roman" w:cs="Times New Roman"/>
          <w:i/>
          <w:iCs/>
          <w:sz w:val="24"/>
          <w:szCs w:val="24"/>
        </w:rPr>
        <w:t xml:space="preserve">Monte </w:t>
      </w:r>
      <w:r w:rsidRPr="00284C50">
        <w:rPr>
          <w:rFonts w:ascii="Times New Roman" w:hAnsi="Times New Roman" w:cs="Times New Roman"/>
          <w:i/>
          <w:iCs/>
          <w:sz w:val="24"/>
          <w:szCs w:val="24"/>
        </w:rPr>
        <w:t>Alb</w:t>
      </w:r>
      <w:r w:rsidRPr="00284C5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á</w:t>
      </w:r>
      <w:r w:rsidRPr="00284C50">
        <w:rPr>
          <w:rFonts w:ascii="Times New Roman" w:hAnsi="Times New Roman" w:cs="Times New Roman"/>
          <w:i/>
          <w:iCs/>
          <w:sz w:val="24"/>
          <w:szCs w:val="24"/>
        </w:rPr>
        <w:t>n's Hinterland. Part II: Prehispanic Settlement Patterns in Tlacolula, Etla, and Ocotl</w:t>
      </w:r>
      <w:r w:rsidRPr="00284C5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á</w:t>
      </w:r>
      <w:r w:rsidRPr="00284C5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A289C">
        <w:rPr>
          <w:rFonts w:ascii="Times New Roman" w:hAnsi="Times New Roman" w:cs="Times New Roman"/>
          <w:i/>
          <w:iCs/>
          <w:sz w:val="24"/>
          <w:szCs w:val="24"/>
        </w:rPr>
        <w:t>, the Valley of Oaxaca, Mexico,</w:t>
      </w:r>
      <w:r>
        <w:rPr>
          <w:rFonts w:ascii="Times New Roman" w:hAnsi="Times New Roman" w:cs="Times New Roman"/>
          <w:sz w:val="24"/>
          <w:szCs w:val="24"/>
        </w:rPr>
        <w:t xml:space="preserve"> edited by Stephen A. </w:t>
      </w:r>
      <w:r w:rsidRPr="004A289C">
        <w:rPr>
          <w:rFonts w:ascii="Times New Roman" w:hAnsi="Times New Roman" w:cs="Times New Roman"/>
          <w:sz w:val="24"/>
          <w:szCs w:val="24"/>
        </w:rPr>
        <w:t>Kowalewski, G</w:t>
      </w:r>
      <w:r>
        <w:rPr>
          <w:rFonts w:ascii="Times New Roman" w:hAnsi="Times New Roman" w:cs="Times New Roman"/>
          <w:sz w:val="24"/>
          <w:szCs w:val="24"/>
        </w:rPr>
        <w:t>ary</w:t>
      </w:r>
      <w:r w:rsidRPr="004A289C">
        <w:rPr>
          <w:rFonts w:ascii="Times New Roman" w:hAnsi="Times New Roman" w:cs="Times New Roman"/>
          <w:sz w:val="24"/>
          <w:szCs w:val="24"/>
        </w:rPr>
        <w:t xml:space="preserve"> M. Feinman, L</w:t>
      </w:r>
      <w:r>
        <w:rPr>
          <w:rFonts w:ascii="Times New Roman" w:hAnsi="Times New Roman" w:cs="Times New Roman"/>
          <w:sz w:val="24"/>
          <w:szCs w:val="24"/>
        </w:rPr>
        <w:t>aura</w:t>
      </w:r>
      <w:r w:rsidRPr="004A289C">
        <w:rPr>
          <w:rFonts w:ascii="Times New Roman" w:hAnsi="Times New Roman" w:cs="Times New Roman"/>
          <w:sz w:val="24"/>
          <w:szCs w:val="24"/>
        </w:rPr>
        <w:t xml:space="preserve"> Finsten, R</w:t>
      </w:r>
      <w:r>
        <w:rPr>
          <w:rFonts w:ascii="Times New Roman" w:hAnsi="Times New Roman" w:cs="Times New Roman"/>
          <w:sz w:val="24"/>
          <w:szCs w:val="24"/>
        </w:rPr>
        <w:t>ichard</w:t>
      </w:r>
      <w:r w:rsidRPr="004A289C">
        <w:rPr>
          <w:rFonts w:ascii="Times New Roman" w:hAnsi="Times New Roman" w:cs="Times New Roman"/>
          <w:sz w:val="24"/>
          <w:szCs w:val="24"/>
        </w:rPr>
        <w:t xml:space="preserve"> E. Blanton, and L</w:t>
      </w:r>
      <w:r>
        <w:rPr>
          <w:rFonts w:ascii="Times New Roman" w:hAnsi="Times New Roman" w:cs="Times New Roman"/>
          <w:sz w:val="24"/>
          <w:szCs w:val="24"/>
        </w:rPr>
        <w:t>inda</w:t>
      </w:r>
      <w:r w:rsidRPr="004A289C">
        <w:rPr>
          <w:rFonts w:ascii="Times New Roman" w:hAnsi="Times New Roman" w:cs="Times New Roman"/>
          <w:sz w:val="24"/>
          <w:szCs w:val="24"/>
        </w:rPr>
        <w:t xml:space="preserve"> M. Nicholas, pp. 385-407.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9C">
        <w:rPr>
          <w:rFonts w:ascii="Times New Roman" w:hAnsi="Times New Roman" w:cs="Times New Roman"/>
          <w:sz w:val="24"/>
          <w:szCs w:val="24"/>
        </w:rPr>
        <w:t>Memoirs 23. Museum of Anthropology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89C">
        <w:rPr>
          <w:rFonts w:ascii="Times New Roman" w:hAnsi="Times New Roman" w:cs="Times New Roman"/>
          <w:sz w:val="24"/>
          <w:szCs w:val="24"/>
        </w:rPr>
        <w:t xml:space="preserve"> University of Michigan, Ann Arbor. </w:t>
      </w:r>
    </w:p>
    <w:bookmarkEnd w:id="1"/>
    <w:p w14:paraId="5D663CFF" w14:textId="77777777" w:rsidR="00EB69AC" w:rsidRDefault="00EB69AC" w:rsidP="00B4722A">
      <w:pPr>
        <w:tabs>
          <w:tab w:val="left" w:pos="360"/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Winter, Marcus</w:t>
      </w:r>
    </w:p>
    <w:p w14:paraId="3E7A28A0" w14:textId="6B8209EE" w:rsidR="00C435E4" w:rsidRPr="00EB69AC" w:rsidRDefault="00EB69AC" w:rsidP="00B4722A">
      <w:pPr>
        <w:tabs>
          <w:tab w:val="left" w:pos="360"/>
          <w:tab w:val="left" w:pos="108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85596">
        <w:rPr>
          <w:rFonts w:ascii="Times New Roman" w:hAnsi="Times New Roman" w:cs="Times New Roman"/>
          <w:sz w:val="24"/>
          <w:szCs w:val="24"/>
        </w:rPr>
        <w:tab/>
        <w:t>1994</w:t>
      </w:r>
      <w:r w:rsidRPr="00585596">
        <w:rPr>
          <w:rFonts w:ascii="Times New Roman" w:hAnsi="Times New Roman" w:cs="Times New Roman"/>
          <w:sz w:val="24"/>
          <w:szCs w:val="24"/>
        </w:rPr>
        <w:tab/>
        <w:t xml:space="preserve">El Proyecto Especial </w:t>
      </w:r>
      <w:r w:rsidRPr="00585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Monte Alb</w:t>
      </w:r>
      <w:bookmarkStart w:id="2" w:name="_Hlk158644792"/>
      <w:r w:rsidRPr="00585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</w:t>
      </w:r>
      <w:bookmarkEnd w:id="2"/>
      <w:r w:rsidRPr="00585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</w:t>
      </w:r>
      <w:r w:rsidRPr="00585596">
        <w:rPr>
          <w:rFonts w:ascii="Times New Roman" w:hAnsi="Times New Roman" w:cs="Times New Roman"/>
          <w:sz w:val="24"/>
          <w:szCs w:val="24"/>
        </w:rPr>
        <w:t xml:space="preserve">1992-1994: antecedentes, intervenciones y perspectivas. In </w:t>
      </w:r>
      <w:r w:rsidRPr="00585596">
        <w:rPr>
          <w:rFonts w:ascii="Times New Roman" w:hAnsi="Times New Roman" w:cs="Times New Roman"/>
          <w:i/>
          <w:iCs/>
          <w:sz w:val="24"/>
          <w:szCs w:val="24"/>
        </w:rPr>
        <w:t>Monte Albán:estudios recientes</w:t>
      </w:r>
      <w:r w:rsidRPr="00585596">
        <w:rPr>
          <w:rFonts w:ascii="Times New Roman" w:hAnsi="Times New Roman" w:cs="Times New Roman"/>
          <w:sz w:val="24"/>
          <w:szCs w:val="24"/>
        </w:rPr>
        <w:t>, coordinated by Marcus Winter, pp. 1-24. Contribución No. 2. Proyecto Especial Monte Albán 1992-1994. Centro INAH Oaxaca, Oaxaca.</w:t>
      </w:r>
    </w:p>
    <w:sectPr w:rsidR="00C435E4" w:rsidRPr="00EB69AC" w:rsidSect="00416DE8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4AE57" w14:textId="77777777" w:rsidR="00A7005E" w:rsidRDefault="00A7005E">
      <w:pPr>
        <w:spacing w:after="0" w:line="240" w:lineRule="auto"/>
      </w:pPr>
      <w:r>
        <w:separator/>
      </w:r>
    </w:p>
  </w:endnote>
  <w:endnote w:type="continuationSeparator" w:id="0">
    <w:p w14:paraId="2E4A61C3" w14:textId="77777777" w:rsidR="00A7005E" w:rsidRDefault="00A7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GaramondT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D973" w14:textId="77777777" w:rsidR="002B7194" w:rsidRDefault="00000000" w:rsidP="008348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9DA0E" w14:textId="77777777" w:rsidR="002B7194" w:rsidRDefault="002B7194" w:rsidP="00EE1C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CFF2A" w14:textId="77777777" w:rsidR="002B7194" w:rsidRDefault="00000000" w:rsidP="008348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325E3C0" w14:textId="77777777" w:rsidR="002B7194" w:rsidRDefault="002B7194" w:rsidP="00EE1C6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BF28" w14:textId="77777777" w:rsidR="002B7194" w:rsidRDefault="002B7194" w:rsidP="0080553E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07D20" w14:textId="77777777" w:rsidR="00A7005E" w:rsidRDefault="00A7005E">
      <w:pPr>
        <w:spacing w:after="0" w:line="240" w:lineRule="auto"/>
      </w:pPr>
      <w:r>
        <w:separator/>
      </w:r>
    </w:p>
  </w:footnote>
  <w:footnote w:type="continuationSeparator" w:id="0">
    <w:p w14:paraId="7D0E7232" w14:textId="77777777" w:rsidR="00A7005E" w:rsidRDefault="00A70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C"/>
    <w:rsid w:val="002B7194"/>
    <w:rsid w:val="00416DE8"/>
    <w:rsid w:val="0063173A"/>
    <w:rsid w:val="006D7712"/>
    <w:rsid w:val="00896292"/>
    <w:rsid w:val="00A4526A"/>
    <w:rsid w:val="00A7005E"/>
    <w:rsid w:val="00A96C0A"/>
    <w:rsid w:val="00B4722A"/>
    <w:rsid w:val="00C435E4"/>
    <w:rsid w:val="00E414C9"/>
    <w:rsid w:val="00E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A896"/>
  <w15:chartTrackingRefBased/>
  <w15:docId w15:val="{F8561A64-43E0-469F-B0BB-13DACA30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AC"/>
    <w:rPr>
      <w:kern w:val="0"/>
      <w:lang w:val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69AC"/>
  </w:style>
  <w:style w:type="paragraph" w:styleId="Footer">
    <w:name w:val="footer"/>
    <w:basedOn w:val="Normal"/>
    <w:link w:val="FooterChar"/>
    <w:rsid w:val="00EB69AC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URWGaramondT" w:eastAsia="Times" w:hAnsi="URWGaramondT" w:cs="Times New Roman"/>
      <w:color w:val="000000"/>
      <w:kern w:val="1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B69AC"/>
    <w:rPr>
      <w:rFonts w:ascii="URWGaramondT" w:eastAsia="Times" w:hAnsi="URWGaramondT" w:cs="Times New Roman"/>
      <w:color w:val="000000"/>
      <w:kern w:val="1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B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Whittington</dc:creator>
  <cp:keywords/>
  <dc:description/>
  <cp:lastModifiedBy>Steve Whittington</cp:lastModifiedBy>
  <cp:revision>5</cp:revision>
  <dcterms:created xsi:type="dcterms:W3CDTF">2024-02-13T19:04:00Z</dcterms:created>
  <dcterms:modified xsi:type="dcterms:W3CDTF">2024-12-23T23:10:00Z</dcterms:modified>
</cp:coreProperties>
</file>