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3C5" w14:textId="77777777" w:rsidR="00D25D3D" w:rsidRPr="00175570" w:rsidRDefault="00D25D3D" w:rsidP="00D25D3D">
      <w:pPr>
        <w:spacing w:line="480" w:lineRule="auto"/>
        <w:rPr>
          <w:i/>
          <w:iCs/>
          <w:color w:val="000000" w:themeColor="text1"/>
          <w:lang w:val="en-US"/>
        </w:rPr>
      </w:pPr>
      <w:r w:rsidRPr="00175570">
        <w:rPr>
          <w:i/>
          <w:iCs/>
          <w:color w:val="000000" w:themeColor="text1"/>
          <w:lang w:val="en-US"/>
        </w:rPr>
        <w:t>Supplementary materials</w:t>
      </w:r>
    </w:p>
    <w:p w14:paraId="3C984AE8" w14:textId="77777777" w:rsidR="00D25D3D" w:rsidRPr="00175570" w:rsidRDefault="00D25D3D" w:rsidP="00D25D3D">
      <w:pPr>
        <w:spacing w:line="480" w:lineRule="auto"/>
        <w:rPr>
          <w:color w:val="000000" w:themeColor="text1"/>
          <w:lang w:val="en-US"/>
        </w:rPr>
      </w:pPr>
    </w:p>
    <w:p w14:paraId="397E84EB" w14:textId="77777777" w:rsidR="00D25D3D" w:rsidRPr="00175570" w:rsidRDefault="00D25D3D" w:rsidP="00D25D3D">
      <w:pPr>
        <w:spacing w:line="480" w:lineRule="auto"/>
        <w:rPr>
          <w:rFonts w:eastAsiaTheme="minorHAnsi"/>
          <w:color w:val="000000" w:themeColor="text1"/>
          <w:lang w:val="en-US" w:eastAsia="en-US"/>
        </w:rPr>
      </w:pPr>
      <w:r w:rsidRPr="00175570">
        <w:rPr>
          <w:rFonts w:eastAsiaTheme="minorHAnsi"/>
          <w:color w:val="000000" w:themeColor="text1"/>
          <w:lang w:val="en-US" w:eastAsia="en-US"/>
        </w:rPr>
        <w:t>Supplemental protocol 1</w:t>
      </w:r>
      <w:r>
        <w:rPr>
          <w:rFonts w:eastAsiaTheme="minorHAnsi"/>
          <w:color w:val="000000" w:themeColor="text1"/>
          <w:lang w:val="en-US" w:eastAsia="en-US"/>
        </w:rPr>
        <w:t xml:space="preserve">. </w:t>
      </w:r>
      <w:r w:rsidRPr="000941C6">
        <w:rPr>
          <w:color w:val="000000" w:themeColor="text1"/>
          <w:lang w:val="en-US"/>
        </w:rPr>
        <w:t>The analy</w:t>
      </w:r>
      <w:r>
        <w:rPr>
          <w:color w:val="000000" w:themeColor="text1"/>
          <w:lang w:val="en-US"/>
        </w:rPr>
        <w:t>s</w:t>
      </w:r>
      <w:r w:rsidRPr="000941C6">
        <w:rPr>
          <w:color w:val="000000" w:themeColor="text1"/>
          <w:lang w:val="en-US"/>
        </w:rPr>
        <w:t xml:space="preserve">es of chemical residues applied </w:t>
      </w:r>
      <w:r>
        <w:rPr>
          <w:color w:val="000000" w:themeColor="text1"/>
          <w:lang w:val="en-US"/>
        </w:rPr>
        <w:t xml:space="preserve">to this study </w:t>
      </w:r>
      <w:r w:rsidRPr="000941C6">
        <w:rPr>
          <w:color w:val="000000" w:themeColor="text1"/>
          <w:lang w:val="en-US"/>
        </w:rPr>
        <w:t xml:space="preserve">follow the protocols established in the </w:t>
      </w:r>
      <w:proofErr w:type="spellStart"/>
      <w:r>
        <w:rPr>
          <w:color w:val="000000" w:themeColor="text1"/>
          <w:lang w:val="en-US"/>
        </w:rPr>
        <w:t>Laboratorio</w:t>
      </w:r>
      <w:proofErr w:type="spellEnd"/>
      <w:r>
        <w:rPr>
          <w:color w:val="000000" w:themeColor="text1"/>
          <w:lang w:val="en-US"/>
        </w:rPr>
        <w:t xml:space="preserve"> de </w:t>
      </w:r>
      <w:proofErr w:type="spellStart"/>
      <w:r>
        <w:rPr>
          <w:color w:val="000000" w:themeColor="text1"/>
          <w:lang w:val="en-US"/>
        </w:rPr>
        <w:t>Prospección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Arqueológica</w:t>
      </w:r>
      <w:proofErr w:type="spellEnd"/>
      <w:r>
        <w:rPr>
          <w:color w:val="000000" w:themeColor="text1"/>
          <w:lang w:val="en-US"/>
        </w:rPr>
        <w:t xml:space="preserve"> at the Instituto de </w:t>
      </w:r>
      <w:proofErr w:type="spellStart"/>
      <w:r>
        <w:rPr>
          <w:color w:val="000000" w:themeColor="text1"/>
          <w:lang w:val="en-US"/>
        </w:rPr>
        <w:t>Investigaciones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Antropológicas</w:t>
      </w:r>
      <w:proofErr w:type="spellEnd"/>
      <w:r>
        <w:rPr>
          <w:color w:val="000000" w:themeColor="text1"/>
          <w:lang w:val="en-US"/>
        </w:rPr>
        <w:t xml:space="preserve"> at the Universidad Nacional </w:t>
      </w:r>
      <w:proofErr w:type="spellStart"/>
      <w:r>
        <w:rPr>
          <w:color w:val="000000" w:themeColor="text1"/>
          <w:lang w:val="en-US"/>
        </w:rPr>
        <w:t>Autónoma</w:t>
      </w:r>
      <w:proofErr w:type="spellEnd"/>
      <w:r>
        <w:rPr>
          <w:color w:val="000000" w:themeColor="text1"/>
          <w:lang w:val="en-US"/>
        </w:rPr>
        <w:t xml:space="preserve"> de </w:t>
      </w:r>
      <w:r w:rsidRPr="000168A3">
        <w:rPr>
          <w:color w:val="000000" w:themeColor="text1"/>
          <w:lang w:val="en-US"/>
        </w:rPr>
        <w:t>México (Barba et al. 1991; Barba 2007). The procedures have been widely published (</w:t>
      </w:r>
      <w:proofErr w:type="gramStart"/>
      <w:r w:rsidRPr="000168A3">
        <w:rPr>
          <w:color w:val="000000" w:themeColor="text1"/>
          <w:lang w:val="en-US"/>
        </w:rPr>
        <w:t>e.g.</w:t>
      </w:r>
      <w:proofErr w:type="gramEnd"/>
      <w:r w:rsidRPr="000168A3">
        <w:rPr>
          <w:color w:val="000000" w:themeColor="text1"/>
          <w:lang w:val="en-US"/>
        </w:rPr>
        <w:t xml:space="preserve"> Barba et al. 1991; Barba 2007; </w:t>
      </w:r>
      <w:proofErr w:type="spellStart"/>
      <w:r w:rsidRPr="000168A3">
        <w:rPr>
          <w:color w:val="000000" w:themeColor="text1"/>
          <w:lang w:val="en-US"/>
        </w:rPr>
        <w:t>Terreros</w:t>
      </w:r>
      <w:proofErr w:type="spellEnd"/>
      <w:r w:rsidRPr="000168A3">
        <w:rPr>
          <w:color w:val="000000" w:themeColor="text1"/>
          <w:lang w:val="en-US"/>
        </w:rPr>
        <w:t xml:space="preserve"> 2013) and </w:t>
      </w:r>
      <w:r>
        <w:rPr>
          <w:color w:val="000000" w:themeColor="text1"/>
          <w:lang w:val="en-US"/>
        </w:rPr>
        <w:t>we</w:t>
      </w:r>
      <w:r w:rsidRPr="000941C6">
        <w:rPr>
          <w:color w:val="000000" w:themeColor="text1"/>
          <w:lang w:val="en-US"/>
        </w:rPr>
        <w:t xml:space="preserve"> summarize</w:t>
      </w:r>
      <w:r>
        <w:rPr>
          <w:color w:val="000000" w:themeColor="text1"/>
          <w:lang w:val="en-US"/>
        </w:rPr>
        <w:t xml:space="preserve"> them </w:t>
      </w:r>
      <w:r w:rsidRPr="000941C6">
        <w:rPr>
          <w:color w:val="000000" w:themeColor="text1"/>
          <w:lang w:val="en-US"/>
        </w:rPr>
        <w:t>below:</w:t>
      </w:r>
    </w:p>
    <w:p w14:paraId="45BDEEA8" w14:textId="77777777" w:rsidR="00D25D3D" w:rsidRPr="000941C6" w:rsidRDefault="00D25D3D" w:rsidP="00D25D3D">
      <w:pPr>
        <w:spacing w:line="480" w:lineRule="auto"/>
        <w:rPr>
          <w:color w:val="000000" w:themeColor="text1"/>
          <w:lang w:val="en-US"/>
        </w:rPr>
      </w:pPr>
      <w:r w:rsidRPr="000941C6">
        <w:rPr>
          <w:color w:val="000000" w:themeColor="text1"/>
          <w:lang w:val="en-US"/>
        </w:rPr>
        <w:t>- Phosphates: it is extracted in a reaction with</w:t>
      </w:r>
      <w:r>
        <w:rPr>
          <w:color w:val="000000" w:themeColor="text1"/>
          <w:lang w:val="en-US"/>
        </w:rPr>
        <w:t xml:space="preserve"> hydrochloric</w:t>
      </w:r>
      <w:r w:rsidRPr="000941C6">
        <w:rPr>
          <w:color w:val="000000" w:themeColor="text1"/>
          <w:lang w:val="en-US"/>
        </w:rPr>
        <w:t xml:space="preserve"> acid, in which the dissolved </w:t>
      </w:r>
      <w:r>
        <w:rPr>
          <w:color w:val="000000" w:themeColor="text1"/>
          <w:lang w:val="en-US"/>
        </w:rPr>
        <w:t xml:space="preserve">phosphate </w:t>
      </w:r>
      <w:r w:rsidRPr="000941C6">
        <w:rPr>
          <w:color w:val="000000" w:themeColor="text1"/>
          <w:lang w:val="en-US"/>
        </w:rPr>
        <w:t xml:space="preserve">reacts </w:t>
      </w:r>
      <w:r>
        <w:rPr>
          <w:color w:val="000000" w:themeColor="text1"/>
          <w:lang w:val="en-US"/>
        </w:rPr>
        <w:t xml:space="preserve">with </w:t>
      </w:r>
      <w:r w:rsidRPr="000941C6">
        <w:rPr>
          <w:color w:val="000000" w:themeColor="text1"/>
          <w:lang w:val="en-US"/>
        </w:rPr>
        <w:t xml:space="preserve">molybdate and produces yellow phosphomolybdate. This is reduced with ascorbic acid to form molybdenum blue compounds whose </w:t>
      </w:r>
      <w:r>
        <w:rPr>
          <w:color w:val="000000" w:themeColor="text1"/>
          <w:lang w:val="en-US"/>
        </w:rPr>
        <w:t xml:space="preserve">color </w:t>
      </w:r>
      <w:r w:rsidRPr="000941C6">
        <w:rPr>
          <w:color w:val="000000" w:themeColor="text1"/>
          <w:lang w:val="en-US"/>
        </w:rPr>
        <w:t>intensity are assigned from 0-5</w:t>
      </w:r>
      <w:r w:rsidRPr="007B7272">
        <w:rPr>
          <w:color w:val="000000" w:themeColor="text1"/>
          <w:lang w:val="en-US"/>
        </w:rPr>
        <w:t xml:space="preserve"> </w:t>
      </w:r>
      <w:r w:rsidRPr="000941C6">
        <w:rPr>
          <w:color w:val="000000" w:themeColor="text1"/>
          <w:lang w:val="en-US"/>
        </w:rPr>
        <w:t xml:space="preserve">values. </w:t>
      </w:r>
    </w:p>
    <w:p w14:paraId="22798138" w14:textId="77777777" w:rsidR="00D25D3D" w:rsidRPr="000941C6" w:rsidRDefault="00D25D3D" w:rsidP="00D25D3D">
      <w:pPr>
        <w:spacing w:line="480" w:lineRule="auto"/>
        <w:rPr>
          <w:color w:val="000000" w:themeColor="text1"/>
          <w:lang w:val="en-US"/>
        </w:rPr>
      </w:pPr>
      <w:r w:rsidRPr="000941C6">
        <w:rPr>
          <w:color w:val="000000" w:themeColor="text1"/>
          <w:lang w:val="en-US"/>
        </w:rPr>
        <w:t>- Carbonates: samples containing carbonates react with 10% hydrochloric acid</w:t>
      </w:r>
      <w:r w:rsidRPr="007B7272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and produce </w:t>
      </w:r>
      <w:r w:rsidRPr="000941C6">
        <w:rPr>
          <w:color w:val="000000" w:themeColor="text1"/>
          <w:lang w:val="en-US"/>
        </w:rPr>
        <w:t>effervesce</w:t>
      </w:r>
      <w:r>
        <w:rPr>
          <w:color w:val="000000" w:themeColor="text1"/>
          <w:lang w:val="en-US"/>
        </w:rPr>
        <w:t>nce. A value from 0-6 is assigned according to the visual and audible perception</w:t>
      </w:r>
      <w:r w:rsidRPr="000941C6">
        <w:rPr>
          <w:color w:val="000000" w:themeColor="text1"/>
          <w:lang w:val="en-US"/>
        </w:rPr>
        <w:t xml:space="preserve">. </w:t>
      </w:r>
    </w:p>
    <w:p w14:paraId="2A5F012F" w14:textId="77777777" w:rsidR="00D25D3D" w:rsidRPr="000941C6" w:rsidRDefault="00D25D3D" w:rsidP="00D25D3D">
      <w:pPr>
        <w:spacing w:line="480" w:lineRule="auto"/>
        <w:rPr>
          <w:color w:val="000000" w:themeColor="text1"/>
          <w:lang w:val="en-US"/>
        </w:rPr>
      </w:pPr>
      <w:r w:rsidRPr="000941C6">
        <w:rPr>
          <w:color w:val="000000" w:themeColor="text1"/>
          <w:lang w:val="en-US"/>
        </w:rPr>
        <w:t>- Hydrogen potential (pH): the degree of acidity</w:t>
      </w:r>
      <w:r>
        <w:rPr>
          <w:color w:val="000000" w:themeColor="text1"/>
          <w:lang w:val="en-US"/>
        </w:rPr>
        <w:t xml:space="preserve"> or alkalinity</w:t>
      </w:r>
      <w:r w:rsidRPr="000941C6">
        <w:rPr>
          <w:color w:val="000000" w:themeColor="text1"/>
          <w:lang w:val="en-US"/>
        </w:rPr>
        <w:t xml:space="preserve"> is measured with a pH-meter </w:t>
      </w:r>
      <w:r>
        <w:rPr>
          <w:color w:val="000000" w:themeColor="text1"/>
          <w:lang w:val="en-US"/>
        </w:rPr>
        <w:t>with</w:t>
      </w:r>
      <w:r w:rsidRPr="000941C6">
        <w:rPr>
          <w:color w:val="000000" w:themeColor="text1"/>
          <w:lang w:val="en-US"/>
        </w:rPr>
        <w:t xml:space="preserve"> an electrode that is immersed in the samples with distilled water.</w:t>
      </w:r>
    </w:p>
    <w:p w14:paraId="19BD38A0" w14:textId="77777777" w:rsidR="00D25D3D" w:rsidRDefault="00D25D3D" w:rsidP="00D25D3D">
      <w:pPr>
        <w:spacing w:line="480" w:lineRule="auto"/>
        <w:rPr>
          <w:color w:val="000000" w:themeColor="text1"/>
          <w:lang w:val="en-US"/>
        </w:rPr>
      </w:pPr>
      <w:r w:rsidRPr="000941C6">
        <w:rPr>
          <w:color w:val="000000" w:themeColor="text1"/>
          <w:lang w:val="en-US"/>
        </w:rPr>
        <w:t xml:space="preserve">- Protein residues: </w:t>
      </w:r>
      <w:r>
        <w:rPr>
          <w:color w:val="000000" w:themeColor="text1"/>
          <w:lang w:val="en-US"/>
        </w:rPr>
        <w:t xml:space="preserve">they </w:t>
      </w:r>
      <w:r w:rsidRPr="000941C6">
        <w:rPr>
          <w:color w:val="000000" w:themeColor="text1"/>
          <w:lang w:val="en-US"/>
        </w:rPr>
        <w:t>react with an alkaline agent that releases gas ammonia. This ammonia is detectable with a wet pH paper</w:t>
      </w:r>
      <w:r>
        <w:rPr>
          <w:color w:val="000000" w:themeColor="text1"/>
          <w:lang w:val="en-US"/>
        </w:rPr>
        <w:t>. Values superior to 8 are considered positive for protein residues.</w:t>
      </w:r>
    </w:p>
    <w:p w14:paraId="0B320FB8" w14:textId="77777777" w:rsidR="00D25D3D" w:rsidRPr="000941C6" w:rsidRDefault="00D25D3D" w:rsidP="00D25D3D">
      <w:pPr>
        <w:spacing w:line="480" w:lineRule="auto"/>
        <w:rPr>
          <w:color w:val="000000" w:themeColor="text1"/>
          <w:lang w:val="en-US"/>
        </w:rPr>
      </w:pPr>
      <w:r w:rsidRPr="000941C6">
        <w:rPr>
          <w:color w:val="000000" w:themeColor="text1"/>
          <w:lang w:val="en-US"/>
        </w:rPr>
        <w:t xml:space="preserve">- Fatty acids: they are extracted with </w:t>
      </w:r>
      <w:r>
        <w:rPr>
          <w:color w:val="000000" w:themeColor="text1"/>
          <w:lang w:val="en-US"/>
        </w:rPr>
        <w:t xml:space="preserve">warm </w:t>
      </w:r>
      <w:r w:rsidRPr="000941C6">
        <w:rPr>
          <w:color w:val="000000" w:themeColor="text1"/>
          <w:lang w:val="en-US"/>
        </w:rPr>
        <w:t xml:space="preserve">chloroform, reacted with ammonium hydroxide (25%) to produce </w:t>
      </w:r>
      <w:r>
        <w:rPr>
          <w:color w:val="000000" w:themeColor="text1"/>
          <w:lang w:val="en-US"/>
        </w:rPr>
        <w:t xml:space="preserve">a </w:t>
      </w:r>
      <w:r w:rsidRPr="000941C6">
        <w:rPr>
          <w:color w:val="000000" w:themeColor="text1"/>
          <w:lang w:val="en-US"/>
        </w:rPr>
        <w:t>saponification reaction</w:t>
      </w:r>
      <w:r>
        <w:rPr>
          <w:color w:val="000000" w:themeColor="text1"/>
          <w:lang w:val="en-US"/>
        </w:rPr>
        <w:t>, that produces</w:t>
      </w:r>
      <w:r w:rsidRPr="000941C6">
        <w:rPr>
          <w:color w:val="000000" w:themeColor="text1"/>
          <w:lang w:val="en-US"/>
        </w:rPr>
        <w:t xml:space="preserve"> foam</w:t>
      </w:r>
      <w:r>
        <w:rPr>
          <w:color w:val="000000" w:themeColor="text1"/>
          <w:lang w:val="en-US"/>
        </w:rPr>
        <w:t xml:space="preserve"> adding</w:t>
      </w:r>
      <w:r w:rsidRPr="000941C6">
        <w:rPr>
          <w:color w:val="000000" w:themeColor="text1"/>
          <w:lang w:val="en-US"/>
        </w:rPr>
        <w:t xml:space="preserve"> hydrogen peroxide</w:t>
      </w:r>
      <w:r>
        <w:rPr>
          <w:color w:val="000000" w:themeColor="text1"/>
          <w:lang w:val="en-US"/>
        </w:rPr>
        <w:t xml:space="preserve"> to the mixture</w:t>
      </w:r>
      <w:r w:rsidRPr="000941C6">
        <w:rPr>
          <w:color w:val="000000" w:themeColor="text1"/>
          <w:lang w:val="en-US"/>
        </w:rPr>
        <w:t xml:space="preserve">. </w:t>
      </w:r>
      <w:r>
        <w:rPr>
          <w:color w:val="000000" w:themeColor="text1"/>
          <w:lang w:val="en-US"/>
        </w:rPr>
        <w:t>The relative presence of f</w:t>
      </w:r>
      <w:r w:rsidRPr="000941C6">
        <w:rPr>
          <w:color w:val="000000" w:themeColor="text1"/>
          <w:lang w:val="en-US"/>
        </w:rPr>
        <w:t>atty acids</w:t>
      </w:r>
      <w:r>
        <w:rPr>
          <w:color w:val="000000" w:themeColor="text1"/>
          <w:lang w:val="en-US"/>
        </w:rPr>
        <w:t xml:space="preserve"> is measured in a scale from 0-3 by</w:t>
      </w:r>
      <w:r w:rsidRPr="000941C6">
        <w:rPr>
          <w:color w:val="000000" w:themeColor="text1"/>
          <w:lang w:val="en-US"/>
        </w:rPr>
        <w:t xml:space="preserve"> the amount of foam</w:t>
      </w:r>
      <w:r>
        <w:rPr>
          <w:color w:val="000000" w:themeColor="text1"/>
          <w:lang w:val="en-US"/>
        </w:rPr>
        <w:t xml:space="preserve"> produced</w:t>
      </w:r>
      <w:r w:rsidRPr="000941C6">
        <w:rPr>
          <w:color w:val="000000" w:themeColor="text1"/>
          <w:lang w:val="en-US"/>
        </w:rPr>
        <w:t xml:space="preserve">. </w:t>
      </w:r>
    </w:p>
    <w:p w14:paraId="1A91C529" w14:textId="77777777" w:rsidR="00D25D3D" w:rsidRDefault="00D25D3D" w:rsidP="00D25D3D">
      <w:pPr>
        <w:spacing w:line="480" w:lineRule="auto"/>
        <w:rPr>
          <w:color w:val="000000" w:themeColor="text1"/>
          <w:lang w:val="en-US"/>
        </w:rPr>
      </w:pPr>
      <w:r w:rsidRPr="000941C6">
        <w:rPr>
          <w:color w:val="000000" w:themeColor="text1"/>
          <w:lang w:val="en-US"/>
        </w:rPr>
        <w:lastRenderedPageBreak/>
        <w:t xml:space="preserve">- Carbohydrates: they are hydrolyzed to furfural or </w:t>
      </w:r>
      <w:proofErr w:type="spellStart"/>
      <w:r w:rsidRPr="000941C6">
        <w:rPr>
          <w:color w:val="000000" w:themeColor="text1"/>
          <w:lang w:val="en-US"/>
        </w:rPr>
        <w:t>hydroxymethylfurfural</w:t>
      </w:r>
      <w:proofErr w:type="spellEnd"/>
      <w:r w:rsidRPr="000941C6">
        <w:rPr>
          <w:color w:val="000000" w:themeColor="text1"/>
          <w:lang w:val="en-US"/>
        </w:rPr>
        <w:t xml:space="preserve"> by the action of concentrated sulfuric acid and </w:t>
      </w:r>
      <w:r>
        <w:rPr>
          <w:color w:val="000000" w:themeColor="text1"/>
          <w:lang w:val="en-US"/>
        </w:rPr>
        <w:t xml:space="preserve">then </w:t>
      </w:r>
      <w:r w:rsidRPr="000941C6">
        <w:rPr>
          <w:color w:val="000000" w:themeColor="text1"/>
          <w:lang w:val="en-US"/>
        </w:rPr>
        <w:t xml:space="preserve">a reaction with resorcinol, which generates </w:t>
      </w:r>
      <w:r>
        <w:rPr>
          <w:color w:val="000000" w:themeColor="text1"/>
          <w:lang w:val="en-US"/>
        </w:rPr>
        <w:t xml:space="preserve">red </w:t>
      </w:r>
      <w:r w:rsidRPr="000941C6">
        <w:rPr>
          <w:color w:val="000000" w:themeColor="text1"/>
          <w:lang w:val="en-US"/>
        </w:rPr>
        <w:t>colorful compounds that are assigned values of 0-4</w:t>
      </w:r>
      <w:r>
        <w:rPr>
          <w:color w:val="000000" w:themeColor="text1"/>
          <w:lang w:val="en-US"/>
        </w:rPr>
        <w:t>.</w:t>
      </w:r>
    </w:p>
    <w:p w14:paraId="65457C07" w14:textId="77777777" w:rsidR="00D25D3D" w:rsidRDefault="00D25D3D" w:rsidP="00D25D3D">
      <w:pPr>
        <w:spacing w:line="480" w:lineRule="auto"/>
        <w:rPr>
          <w:color w:val="000000" w:themeColor="text1"/>
          <w:lang w:val="en-US"/>
        </w:rPr>
      </w:pPr>
    </w:p>
    <w:p w14:paraId="35B3F2FB" w14:textId="77777777" w:rsidR="00D25D3D" w:rsidRDefault="00D25D3D" w:rsidP="00D25D3D">
      <w:pPr>
        <w:spacing w:line="480" w:lineRule="auto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Supplemental R</w:t>
      </w:r>
      <w:r w:rsidRPr="00765109">
        <w:rPr>
          <w:b/>
          <w:bCs/>
          <w:color w:val="000000" w:themeColor="text1"/>
          <w:lang w:val="en-US"/>
        </w:rPr>
        <w:t xml:space="preserve">eferences </w:t>
      </w:r>
      <w:r>
        <w:rPr>
          <w:b/>
          <w:bCs/>
          <w:color w:val="000000" w:themeColor="text1"/>
          <w:lang w:val="en-US"/>
        </w:rPr>
        <w:t>C</w:t>
      </w:r>
      <w:r w:rsidRPr="00765109">
        <w:rPr>
          <w:b/>
          <w:bCs/>
          <w:color w:val="000000" w:themeColor="text1"/>
          <w:lang w:val="en-US"/>
        </w:rPr>
        <w:t>ited</w:t>
      </w:r>
    </w:p>
    <w:p w14:paraId="537D6A3D" w14:textId="77777777" w:rsidR="00D25D3D" w:rsidRDefault="00D25D3D" w:rsidP="00D25D3D">
      <w:pPr>
        <w:widowControl w:val="0"/>
        <w:autoSpaceDE w:val="0"/>
        <w:autoSpaceDN w:val="0"/>
        <w:adjustRightInd w:val="0"/>
        <w:spacing w:line="480" w:lineRule="auto"/>
        <w:jc w:val="both"/>
        <w:rPr>
          <w:color w:val="000000" w:themeColor="text1"/>
          <w:lang w:val="en-US"/>
        </w:rPr>
      </w:pPr>
      <w:r w:rsidRPr="00F547CD">
        <w:rPr>
          <w:color w:val="000000" w:themeColor="text1"/>
          <w:lang w:val="en-US"/>
        </w:rPr>
        <w:t>Barba, L</w:t>
      </w:r>
      <w:r>
        <w:rPr>
          <w:color w:val="000000" w:themeColor="text1"/>
          <w:lang w:val="en-US"/>
        </w:rPr>
        <w:t>uis</w:t>
      </w:r>
      <w:r w:rsidRPr="00F547CD">
        <w:rPr>
          <w:color w:val="000000" w:themeColor="text1"/>
          <w:lang w:val="en-US"/>
        </w:rPr>
        <w:t xml:space="preserve">. </w:t>
      </w:r>
    </w:p>
    <w:p w14:paraId="0D6184F3" w14:textId="77777777" w:rsidR="00D25D3D" w:rsidRDefault="00D25D3D" w:rsidP="00D25D3D">
      <w:pPr>
        <w:widowControl w:val="0"/>
        <w:autoSpaceDE w:val="0"/>
        <w:autoSpaceDN w:val="0"/>
        <w:adjustRightInd w:val="0"/>
        <w:spacing w:line="480" w:lineRule="auto"/>
        <w:jc w:val="both"/>
        <w:rPr>
          <w:color w:val="000000" w:themeColor="text1"/>
          <w:lang w:val="en-US"/>
        </w:rPr>
      </w:pPr>
      <w:r w:rsidRPr="00F547CD">
        <w:rPr>
          <w:color w:val="000000" w:themeColor="text1"/>
          <w:lang w:val="en-US"/>
        </w:rPr>
        <w:t xml:space="preserve">2007. Chemical residues in lime-plastered archaeological floors. </w:t>
      </w:r>
      <w:r w:rsidRPr="00F547CD">
        <w:rPr>
          <w:i/>
          <w:iCs/>
          <w:color w:val="000000" w:themeColor="text1"/>
          <w:lang w:val="en-US"/>
        </w:rPr>
        <w:t>Geoarchaeology</w:t>
      </w:r>
      <w:r w:rsidRPr="00F547CD">
        <w:rPr>
          <w:color w:val="000000" w:themeColor="text1"/>
          <w:lang w:val="en-US"/>
        </w:rPr>
        <w:t xml:space="preserve">, </w:t>
      </w:r>
      <w:r w:rsidRPr="00F547CD">
        <w:rPr>
          <w:i/>
          <w:iCs/>
          <w:color w:val="000000" w:themeColor="text1"/>
          <w:lang w:val="en-US"/>
        </w:rPr>
        <w:t>22</w:t>
      </w:r>
      <w:r w:rsidRPr="00F547CD">
        <w:rPr>
          <w:color w:val="000000" w:themeColor="text1"/>
          <w:lang w:val="en-US"/>
        </w:rPr>
        <w:t xml:space="preserve">(4): 439-452. </w:t>
      </w:r>
      <w:hyperlink r:id="rId4" w:history="1">
        <w:r w:rsidRPr="000A6236">
          <w:rPr>
            <w:rStyle w:val="Hipervnculo"/>
            <w:lang w:val="en-US"/>
          </w:rPr>
          <w:t>https://doi.org/10.1002/gea.20160</w:t>
        </w:r>
      </w:hyperlink>
    </w:p>
    <w:p w14:paraId="71360922" w14:textId="77777777" w:rsidR="00D25D3D" w:rsidRPr="00F547CD" w:rsidRDefault="00D25D3D" w:rsidP="00D25D3D">
      <w:pPr>
        <w:widowControl w:val="0"/>
        <w:autoSpaceDE w:val="0"/>
        <w:autoSpaceDN w:val="0"/>
        <w:adjustRightInd w:val="0"/>
        <w:spacing w:line="480" w:lineRule="auto"/>
        <w:jc w:val="both"/>
        <w:rPr>
          <w:color w:val="000000" w:themeColor="text1"/>
          <w:lang w:val="en-US"/>
        </w:rPr>
      </w:pPr>
    </w:p>
    <w:p w14:paraId="410959A8" w14:textId="77777777" w:rsidR="00D25D3D" w:rsidRDefault="00D25D3D" w:rsidP="00D25D3D">
      <w:pPr>
        <w:pStyle w:val="Bibliografa"/>
        <w:spacing w:line="48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F547CD">
        <w:rPr>
          <w:rFonts w:ascii="Times New Roman" w:hAnsi="Times New Roman" w:cs="Times New Roman"/>
          <w:color w:val="000000" w:themeColor="text1"/>
          <w:lang w:val="en-US"/>
        </w:rPr>
        <w:t>Barba, L</w:t>
      </w:r>
      <w:r>
        <w:rPr>
          <w:rFonts w:ascii="Times New Roman" w:hAnsi="Times New Roman" w:cs="Times New Roman"/>
          <w:color w:val="000000" w:themeColor="text1"/>
          <w:lang w:val="en-US"/>
        </w:rPr>
        <w:t>uis</w:t>
      </w:r>
      <w:r w:rsidRPr="00F547CD">
        <w:rPr>
          <w:rFonts w:ascii="Times New Roman" w:hAnsi="Times New Roman" w:cs="Times New Roman"/>
          <w:color w:val="000000" w:themeColor="text1"/>
          <w:lang w:val="en-US"/>
        </w:rPr>
        <w:t xml:space="preserve">, Rodríguez, </w:t>
      </w:r>
      <w:proofErr w:type="gramStart"/>
      <w:r w:rsidRPr="00F547CD">
        <w:rPr>
          <w:rFonts w:ascii="Times New Roman" w:hAnsi="Times New Roman" w:cs="Times New Roman"/>
          <w:color w:val="000000" w:themeColor="text1"/>
          <w:lang w:val="en-US"/>
        </w:rPr>
        <w:t>R</w:t>
      </w:r>
      <w:r>
        <w:rPr>
          <w:rFonts w:ascii="Times New Roman" w:hAnsi="Times New Roman" w:cs="Times New Roman"/>
          <w:color w:val="000000" w:themeColor="text1"/>
          <w:lang w:val="en-US"/>
        </w:rPr>
        <w:t>oberto</w:t>
      </w:r>
      <w:proofErr w:type="gramEnd"/>
      <w:r w:rsidRPr="00F547C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and</w:t>
      </w:r>
      <w:r w:rsidRPr="00F547CD">
        <w:rPr>
          <w:rFonts w:ascii="Times New Roman" w:hAnsi="Times New Roman" w:cs="Times New Roman"/>
          <w:color w:val="000000" w:themeColor="text1"/>
          <w:lang w:val="en-US"/>
        </w:rPr>
        <w:t xml:space="preserve"> J</w:t>
      </w:r>
      <w:r>
        <w:rPr>
          <w:rFonts w:ascii="Times New Roman" w:hAnsi="Times New Roman" w:cs="Times New Roman"/>
          <w:color w:val="000000" w:themeColor="text1"/>
          <w:lang w:val="en-US"/>
        </w:rPr>
        <w:t>osé</w:t>
      </w:r>
      <w:r w:rsidRPr="00F547CD">
        <w:rPr>
          <w:rFonts w:ascii="Times New Roman" w:hAnsi="Times New Roman" w:cs="Times New Roman"/>
          <w:color w:val="000000" w:themeColor="text1"/>
          <w:lang w:val="en-US"/>
        </w:rPr>
        <w:t xml:space="preserve"> L. Córdoba. </w:t>
      </w:r>
    </w:p>
    <w:p w14:paraId="1EC1690F" w14:textId="77777777" w:rsidR="00D25D3D" w:rsidRDefault="00D25D3D" w:rsidP="00D25D3D">
      <w:pPr>
        <w:pStyle w:val="Bibliografa"/>
        <w:spacing w:line="48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F547CD">
        <w:rPr>
          <w:rFonts w:ascii="Times New Roman" w:hAnsi="Times New Roman" w:cs="Times New Roman"/>
          <w:color w:val="000000" w:themeColor="text1"/>
          <w:lang w:val="en-US"/>
        </w:rPr>
        <w:t xml:space="preserve">1991. </w:t>
      </w:r>
      <w:r w:rsidRPr="00F547CD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Manual de </w:t>
      </w:r>
      <w:proofErr w:type="spellStart"/>
      <w:r w:rsidRPr="00F547CD">
        <w:rPr>
          <w:rFonts w:ascii="Times New Roman" w:hAnsi="Times New Roman" w:cs="Times New Roman"/>
          <w:i/>
          <w:iCs/>
          <w:color w:val="000000" w:themeColor="text1"/>
          <w:lang w:val="en-US"/>
        </w:rPr>
        <w:t>técnicas</w:t>
      </w:r>
      <w:proofErr w:type="spellEnd"/>
      <w:r w:rsidRPr="00F547CD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proofErr w:type="spellStart"/>
      <w:r w:rsidRPr="00F547CD">
        <w:rPr>
          <w:rFonts w:ascii="Times New Roman" w:hAnsi="Times New Roman" w:cs="Times New Roman"/>
          <w:i/>
          <w:iCs/>
          <w:color w:val="000000" w:themeColor="text1"/>
          <w:lang w:val="en-US"/>
        </w:rPr>
        <w:t>microquímicas</w:t>
      </w:r>
      <w:proofErr w:type="spellEnd"/>
      <w:r w:rsidRPr="00F547CD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de campo para la </w:t>
      </w:r>
      <w:proofErr w:type="spellStart"/>
      <w:r w:rsidRPr="00F547CD">
        <w:rPr>
          <w:rFonts w:ascii="Times New Roman" w:hAnsi="Times New Roman" w:cs="Times New Roman"/>
          <w:i/>
          <w:iCs/>
          <w:color w:val="000000" w:themeColor="text1"/>
          <w:lang w:val="en-US"/>
        </w:rPr>
        <w:t>arqueología</w:t>
      </w:r>
      <w:proofErr w:type="spellEnd"/>
      <w:r w:rsidRPr="00F547CD">
        <w:rPr>
          <w:rFonts w:ascii="Times New Roman" w:hAnsi="Times New Roman" w:cs="Times New Roman"/>
          <w:color w:val="000000" w:themeColor="text1"/>
          <w:lang w:val="en-US"/>
        </w:rPr>
        <w:t xml:space="preserve">. México: Instituto de </w:t>
      </w:r>
      <w:proofErr w:type="spellStart"/>
      <w:r w:rsidRPr="00F547CD">
        <w:rPr>
          <w:rFonts w:ascii="Times New Roman" w:hAnsi="Times New Roman" w:cs="Times New Roman"/>
          <w:color w:val="000000" w:themeColor="text1"/>
          <w:lang w:val="en-US"/>
        </w:rPr>
        <w:t>Investigaciones</w:t>
      </w:r>
      <w:proofErr w:type="spellEnd"/>
      <w:r w:rsidRPr="00F547C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F547CD">
        <w:rPr>
          <w:rFonts w:ascii="Times New Roman" w:hAnsi="Times New Roman" w:cs="Times New Roman"/>
          <w:color w:val="000000" w:themeColor="text1"/>
          <w:lang w:val="en-US"/>
        </w:rPr>
        <w:t>Antropológicas</w:t>
      </w:r>
      <w:proofErr w:type="spellEnd"/>
      <w:r w:rsidRPr="00F547CD">
        <w:rPr>
          <w:rFonts w:ascii="Times New Roman" w:hAnsi="Times New Roman" w:cs="Times New Roman"/>
          <w:color w:val="000000" w:themeColor="text1"/>
          <w:lang w:val="en-US"/>
        </w:rPr>
        <w:t xml:space="preserve">, Universidad Nacional </w:t>
      </w:r>
      <w:proofErr w:type="spellStart"/>
      <w:r w:rsidRPr="00F547CD">
        <w:rPr>
          <w:rFonts w:ascii="Times New Roman" w:hAnsi="Times New Roman" w:cs="Times New Roman"/>
          <w:color w:val="000000" w:themeColor="text1"/>
          <w:lang w:val="en-US"/>
        </w:rPr>
        <w:t>Autónoma</w:t>
      </w:r>
      <w:proofErr w:type="spellEnd"/>
      <w:r w:rsidRPr="00F547CD">
        <w:rPr>
          <w:rFonts w:ascii="Times New Roman" w:hAnsi="Times New Roman" w:cs="Times New Roman"/>
          <w:color w:val="000000" w:themeColor="text1"/>
          <w:lang w:val="en-US"/>
        </w:rPr>
        <w:t xml:space="preserve"> de México.</w:t>
      </w:r>
    </w:p>
    <w:p w14:paraId="7CE834EB" w14:textId="77777777" w:rsidR="00D25D3D" w:rsidRDefault="00D25D3D" w:rsidP="00D25D3D">
      <w:pPr>
        <w:spacing w:line="480" w:lineRule="auto"/>
        <w:rPr>
          <w:b/>
          <w:bCs/>
          <w:color w:val="000000" w:themeColor="text1"/>
          <w:lang w:val="en-US"/>
        </w:rPr>
      </w:pPr>
    </w:p>
    <w:p w14:paraId="73431EB8" w14:textId="77777777" w:rsidR="00D25D3D" w:rsidRDefault="00D25D3D" w:rsidP="00D25D3D">
      <w:pPr>
        <w:autoSpaceDE w:val="0"/>
        <w:autoSpaceDN w:val="0"/>
        <w:adjustRightInd w:val="0"/>
        <w:spacing w:line="480" w:lineRule="auto"/>
        <w:rPr>
          <w:rFonts w:eastAsiaTheme="minorHAnsi"/>
          <w:lang w:val="es-ES_tradnl" w:eastAsia="en-US"/>
        </w:rPr>
      </w:pPr>
      <w:r w:rsidRPr="000168A3">
        <w:rPr>
          <w:rFonts w:eastAsiaTheme="minorHAnsi"/>
          <w:lang w:val="es-ES_tradnl" w:eastAsia="en-US"/>
        </w:rPr>
        <w:t>Terreros, M</w:t>
      </w:r>
      <w:r>
        <w:rPr>
          <w:rFonts w:eastAsiaTheme="minorHAnsi"/>
          <w:lang w:val="es-ES_tradnl" w:eastAsia="en-US"/>
        </w:rPr>
        <w:t>artín</w:t>
      </w:r>
      <w:r w:rsidRPr="000168A3">
        <w:rPr>
          <w:rFonts w:eastAsiaTheme="minorHAnsi"/>
          <w:lang w:val="es-ES_tradnl" w:eastAsia="en-US"/>
        </w:rPr>
        <w:t xml:space="preserve">. </w:t>
      </w:r>
    </w:p>
    <w:p w14:paraId="70FE62B7" w14:textId="77777777" w:rsidR="00D25D3D" w:rsidRDefault="00D25D3D" w:rsidP="00D25D3D">
      <w:pPr>
        <w:autoSpaceDE w:val="0"/>
        <w:autoSpaceDN w:val="0"/>
        <w:adjustRightInd w:val="0"/>
        <w:spacing w:line="480" w:lineRule="auto"/>
        <w:rPr>
          <w:rFonts w:eastAsiaTheme="minorHAnsi"/>
          <w:lang w:val="es-ES_tradnl" w:eastAsia="en-US"/>
        </w:rPr>
      </w:pPr>
      <w:r w:rsidRPr="000168A3">
        <w:rPr>
          <w:rFonts w:eastAsiaTheme="minorHAnsi"/>
          <w:lang w:val="es-ES_tradnl" w:eastAsia="en-US"/>
        </w:rPr>
        <w:t>2013. Una aproximación a la alimentación por medio del análisis de residuos químicos y FRX de comales provenientes de un sitio lacustre, Santa Cruz Atizapán (550-900 d.C.). Tesis de Licenciatura, Escuela Nacional de Antropología e Historia, Ciudad de México.</w:t>
      </w:r>
    </w:p>
    <w:p w14:paraId="46771C06" w14:textId="77777777" w:rsidR="00467E7B" w:rsidRDefault="00467E7B"/>
    <w:sectPr w:rsidR="00467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3D"/>
    <w:rsid w:val="000C186F"/>
    <w:rsid w:val="00467E7B"/>
    <w:rsid w:val="00517D87"/>
    <w:rsid w:val="0093577C"/>
    <w:rsid w:val="00D2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D2822"/>
  <w15:chartTrackingRefBased/>
  <w15:docId w15:val="{6FA0C80E-B9C1-2947-8149-8F4ABAE1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D3D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Bibliografa">
    <w:name w:val="Bibliography"/>
    <w:basedOn w:val="Normal"/>
    <w:next w:val="Normal"/>
    <w:uiPriority w:val="37"/>
    <w:unhideWhenUsed/>
    <w:rsid w:val="00D25D3D"/>
    <w:rPr>
      <w:rFonts w:asciiTheme="minorHAnsi" w:eastAsiaTheme="minorHAnsi" w:hAnsiTheme="minorHAnsi" w:cstheme="minorBidi"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D25D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02/gea.2016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Yajaira Núñez Cortés</dc:creator>
  <cp:keywords/>
  <dc:description/>
  <cp:lastModifiedBy>Yajaira Núñez Cortés</cp:lastModifiedBy>
  <cp:revision>1</cp:revision>
  <dcterms:created xsi:type="dcterms:W3CDTF">2023-03-17T15:32:00Z</dcterms:created>
  <dcterms:modified xsi:type="dcterms:W3CDTF">2023-03-17T15:32:00Z</dcterms:modified>
</cp:coreProperties>
</file>