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Material Suplementario 3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documento incluye varias ilustraciones de elementos arquitectónicos referidos en el texto principal del artículo. Las ilustraciones se organizan a partir de la filiación cultural de los ejemplos e incluyen la arquitectura del Bajío y teotihuacana.</w:t>
      </w:r>
    </w:p>
    <w:p w:rsidR="00000000" w:rsidDel="00000000" w:rsidP="00000000" w:rsidRDefault="00000000" w:rsidRPr="00000000" w14:paraId="00000003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Arquitectura del Bajío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774870" cy="2242521"/>
            <wp:effectExtent b="0" l="0" r="0" t="0"/>
            <wp:docPr id="4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4870" cy="2242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Figura 1.1. Perfil de basamento principal en San Bartolo Aguacaliente en Castañeda 1992.</w:t>
      </w:r>
    </w:p>
    <w:p w:rsidR="00000000" w:rsidDel="00000000" w:rsidP="00000000" w:rsidRDefault="00000000" w:rsidRPr="00000000" w14:paraId="00000006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Arquitectura teotihuacana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500606" cy="2855085"/>
            <wp:effectExtent b="0" l="0" r="0" t="0"/>
            <wp:docPr descr="Diagram, engineering drawing&#10;&#10;Description automatically generated" id="49" name="image1.png"/>
            <a:graphic>
              <a:graphicData uri="http://schemas.openxmlformats.org/drawingml/2006/picture">
                <pic:pic>
                  <pic:nvPicPr>
                    <pic:cNvPr descr="Diagram, engineering drawing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0606" cy="2855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Figura 2.1. Basamentos teotihuacanos. Cuerpo con fachadas en talud tablero (izquierda) y escalinata adosada con dado en la alfarda (derecha) en Cowgill 2015.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348503" cy="2410835"/>
            <wp:effectExtent b="0" l="0" r="0" t="0"/>
            <wp:docPr descr="Diagram, engineering drawing&#10;&#10;Description automatically generated" id="48" name="image2.png"/>
            <a:graphic>
              <a:graphicData uri="http://schemas.openxmlformats.org/drawingml/2006/picture">
                <pic:pic>
                  <pic:nvPicPr>
                    <pic:cNvPr descr="Diagram, engineering drawing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8503" cy="2410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Figura 2.2. Perfil de talud teotihuacano en Matos 2009.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715806" cy="4039234"/>
            <wp:effectExtent b="0" l="0" r="0" t="0"/>
            <wp:docPr descr="Diagram, engineering drawing&#10;&#10;Description automatically generated" id="51" name="image4.png"/>
            <a:graphic>
              <a:graphicData uri="http://schemas.openxmlformats.org/drawingml/2006/picture">
                <pic:pic>
                  <pic:nvPicPr>
                    <pic:cNvPr descr="Diagram, engineering drawing&#10;&#10;Description automatically generated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5806" cy="4039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Figura 2.3. Conjunto Plaza Oeste en Morelos 1993.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Arquitectura zapoteca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937250" cy="2241550"/>
            <wp:effectExtent b="0" l="0" r="0" t="0"/>
            <wp:docPr descr="A close-up of a keyboard&#10;&#10;Description automatically generated with low confidence" id="50" name="image5.png"/>
            <a:graphic>
              <a:graphicData uri="http://schemas.openxmlformats.org/drawingml/2006/picture">
                <pic:pic>
                  <pic:nvPicPr>
                    <pic:cNvPr descr="A close-up of a keyboard&#10;&#10;Description automatically generated with low confidence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24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Figura 3.1. Edificio II, Monte Albán. Doble escapulario con paneles elaborados con ‘opus nuevo’ en Robles 2009.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Referencias citadas</w:t>
      </w:r>
    </w:p>
    <w:p w:rsidR="00000000" w:rsidDel="00000000" w:rsidP="00000000" w:rsidRDefault="00000000" w:rsidRPr="00000000" w14:paraId="00000013">
      <w:pPr>
        <w:widowControl w:val="0"/>
        <w:spacing w:after="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Castañeda, Carlos</w:t>
      </w:r>
    </w:p>
    <w:p w:rsidR="00000000" w:rsidDel="00000000" w:rsidP="00000000" w:rsidRDefault="00000000" w:rsidRPr="00000000" w14:paraId="00000015">
      <w:pPr>
        <w:widowControl w:val="0"/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1992</w:t>
        <w:tab/>
        <w:t xml:space="preserve">Un antiguo señorío en el Bajío Guanajuatense. San Bartolo Agua Caliente. Tesis de Maestría, Facultad de Antropología, Universidad Veracruzana, Veracruz, México.</w:t>
      </w:r>
    </w:p>
    <w:p w:rsidR="00000000" w:rsidDel="00000000" w:rsidP="00000000" w:rsidRDefault="00000000" w:rsidRPr="00000000" w14:paraId="00000016">
      <w:pPr>
        <w:widowControl w:val="0"/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Cowgill, George</w:t>
      </w:r>
    </w:p>
    <w:p w:rsidR="00000000" w:rsidDel="00000000" w:rsidP="00000000" w:rsidRDefault="00000000" w:rsidRPr="00000000" w14:paraId="00000018">
      <w:pPr>
        <w:widowControl w:val="0"/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2015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Ancient Teotihuacan: Early Urbanism in Central Mexico</w:t>
      </w:r>
      <w:r w:rsidDel="00000000" w:rsidR="00000000" w:rsidRPr="00000000">
        <w:rPr>
          <w:sz w:val="24"/>
          <w:szCs w:val="24"/>
          <w:rtl w:val="0"/>
        </w:rPr>
        <w:t xml:space="preserve">. Cambridge University Press.</w:t>
      </w:r>
    </w:p>
    <w:p w:rsidR="00000000" w:rsidDel="00000000" w:rsidP="00000000" w:rsidRDefault="00000000" w:rsidRPr="00000000" w14:paraId="00000019">
      <w:pPr>
        <w:widowControl w:val="0"/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Matos, Eduardo</w:t>
      </w:r>
    </w:p>
    <w:p w:rsidR="00000000" w:rsidDel="00000000" w:rsidP="00000000" w:rsidRDefault="00000000" w:rsidRPr="00000000" w14:paraId="0000001B">
      <w:pPr>
        <w:widowControl w:val="0"/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2009</w:t>
        <w:tab/>
        <w:t xml:space="preserve">Teotihuacán: Excavaciones en la Calle de los Muertos. En </w:t>
      </w:r>
      <w:r w:rsidDel="00000000" w:rsidR="00000000" w:rsidRPr="00000000">
        <w:rPr>
          <w:i w:val="1"/>
          <w:sz w:val="24"/>
          <w:szCs w:val="24"/>
          <w:rtl w:val="0"/>
        </w:rPr>
        <w:t xml:space="preserve">Obras 6 Teotihuacán</w:t>
      </w:r>
      <w:r w:rsidDel="00000000" w:rsidR="00000000" w:rsidRPr="00000000">
        <w:rPr>
          <w:sz w:val="24"/>
          <w:szCs w:val="24"/>
          <w:rtl w:val="0"/>
        </w:rPr>
        <w:t xml:space="preserve">, pp. 55–90. El Colegio Nacional, México DF.</w:t>
      </w:r>
    </w:p>
    <w:p w:rsidR="00000000" w:rsidDel="00000000" w:rsidP="00000000" w:rsidRDefault="00000000" w:rsidRPr="00000000" w14:paraId="0000001C">
      <w:pPr>
        <w:widowControl w:val="0"/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Morelos, Noel</w:t>
      </w:r>
    </w:p>
    <w:p w:rsidR="00000000" w:rsidDel="00000000" w:rsidP="00000000" w:rsidRDefault="00000000" w:rsidRPr="00000000" w14:paraId="0000001E">
      <w:pPr>
        <w:widowControl w:val="0"/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1993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Proceso de producción de espacios y estructuras en Teotihuacán: Conjunto Plaza Oeste y Complejo Calle de los Muertos</w:t>
      </w:r>
      <w:r w:rsidDel="00000000" w:rsidR="00000000" w:rsidRPr="00000000">
        <w:rPr>
          <w:sz w:val="24"/>
          <w:szCs w:val="24"/>
          <w:rtl w:val="0"/>
        </w:rPr>
        <w:t xml:space="preserve">. Instituto Nacional de Antropología e Historia, México DF.</w:t>
      </w:r>
    </w:p>
    <w:p w:rsidR="00000000" w:rsidDel="00000000" w:rsidP="00000000" w:rsidRDefault="00000000" w:rsidRPr="00000000" w14:paraId="0000001F">
      <w:pPr>
        <w:widowControl w:val="0"/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Robles, Nelly</w:t>
      </w:r>
    </w:p>
    <w:p w:rsidR="00000000" w:rsidDel="00000000" w:rsidP="00000000" w:rsidRDefault="00000000" w:rsidRPr="00000000" w14:paraId="00000021">
      <w:pPr>
        <w:widowControl w:val="0"/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2009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Los Monumentos Arqueológicos de Monte Albán ante los Desastres Naturales: El Sismo de 1999</w:t>
      </w:r>
      <w:r w:rsidDel="00000000" w:rsidR="00000000" w:rsidRPr="00000000">
        <w:rPr>
          <w:sz w:val="24"/>
          <w:szCs w:val="24"/>
          <w:rtl w:val="0"/>
        </w:rPr>
        <w:t xml:space="preserve">. Instituto Nacional de Antropología e Historia, México DF.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MX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02DA"/>
    <w:pPr>
      <w:spacing w:line="36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702DA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1702DA"/>
    <w:rPr>
      <w:rFonts w:ascii="Times New Roman" w:hAnsi="Times New Roman" w:cstheme="majorBidi" w:eastAsiaTheme="majorEastAsia"/>
      <w:b w:val="1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1702D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02D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1702D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02DA"/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98OrTydUsKJz9LacchpATLXEkw==">AMUW2mWlCpxpdcwXQJZhLYnHyQEd2zHZ/V8CqsnEREx7fBtnzdgbUX+eMD+euf9oeTJhzsRr4h2fhlnrmneZJ62AHbWq+5HCWIF2J32p85aYGRX3u9ZCe5E=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2022-03-01T01:34:00Z</dcterms:created>
  <dc:creator>gsandoval@alumni.york.ac.uk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138052e4-81ef-361c-8513-1737efcd3ce1</vt:lpwstr>
  </property>
  <property fmtid="{D5CDD505-2E9C-101B-9397-08002B2CF9AE}" pid="4" name="Mendeley Citation Style_1">
    <vt:lpwstr>http://www.zotero.org/styles/american-antiquity</vt:lpwstr>
  </property>
</Properties>
</file>