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0927E" w14:textId="0C168D60" w:rsidR="002F5B7E" w:rsidRPr="00ED3FE3" w:rsidRDefault="002F5B7E" w:rsidP="002F5B7E">
      <w:pPr>
        <w:spacing w:before="240" w:line="480" w:lineRule="auto"/>
        <w:ind w:firstLine="720"/>
        <w:rPr>
          <w:bCs/>
          <w:color w:val="231F20"/>
        </w:rPr>
      </w:pPr>
      <w:r w:rsidRPr="00ED3FE3">
        <w:rPr>
          <w:b/>
          <w:color w:val="231F20"/>
        </w:rPr>
        <w:t xml:space="preserve">Table </w:t>
      </w:r>
      <w:r>
        <w:rPr>
          <w:b/>
          <w:color w:val="231F20"/>
        </w:rPr>
        <w:t>S2</w:t>
      </w:r>
      <w:r w:rsidRPr="00ED3FE3">
        <w:rPr>
          <w:b/>
          <w:color w:val="231F20"/>
        </w:rPr>
        <w:t xml:space="preserve">: </w:t>
      </w:r>
      <w:r w:rsidRPr="00ED3FE3">
        <w:rPr>
          <w:bCs/>
          <w:color w:val="231F20"/>
        </w:rPr>
        <w:t>Conceptualisation of risk – descriptor quotes from participants in the included papers</w:t>
      </w:r>
    </w:p>
    <w:tbl>
      <w:tblPr>
        <w:tblW w:w="141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980"/>
        <w:gridCol w:w="10185"/>
      </w:tblGrid>
      <w:tr w:rsidR="002F5B7E" w:rsidRPr="00ED3FE3" w14:paraId="5D854815" w14:textId="77777777" w:rsidTr="00DE363F">
        <w:trPr>
          <w:trHeight w:val="420"/>
          <w:jc w:val="center"/>
        </w:trPr>
        <w:tc>
          <w:tcPr>
            <w:tcW w:w="14165" w:type="dxa"/>
            <w:gridSpan w:val="2"/>
            <w:shd w:val="clear" w:color="auto" w:fill="FFFFFF" w:themeFill="background1"/>
          </w:tcPr>
          <w:p w14:paraId="2AB0D918" w14:textId="77777777" w:rsidR="002F5B7E" w:rsidRPr="00ED3FE3" w:rsidRDefault="002F5B7E" w:rsidP="00DE363F">
            <w:pPr>
              <w:widowControl w:val="0"/>
              <w:rPr>
                <w:b/>
                <w:color w:val="231F20"/>
              </w:rPr>
            </w:pPr>
            <w:r w:rsidRPr="00ED3FE3">
              <w:rPr>
                <w:b/>
                <w:color w:val="231F20"/>
              </w:rPr>
              <w:t>Subtheme 1: Factors that influence definitions of risk</w:t>
            </w:r>
            <w:r>
              <w:rPr>
                <w:b/>
                <w:color w:val="231F20"/>
              </w:rPr>
              <w:t xml:space="preserve"> and risk severity</w:t>
            </w:r>
          </w:p>
        </w:tc>
      </w:tr>
      <w:tr w:rsidR="002F5B7E" w:rsidRPr="00ED3FE3" w14:paraId="0FA28AD1" w14:textId="77777777" w:rsidTr="00DE363F">
        <w:trPr>
          <w:jc w:val="center"/>
        </w:trPr>
        <w:tc>
          <w:tcPr>
            <w:tcW w:w="3980" w:type="dxa"/>
            <w:shd w:val="clear" w:color="auto" w:fill="auto"/>
            <w:tcMar>
              <w:top w:w="100" w:type="dxa"/>
              <w:left w:w="100" w:type="dxa"/>
              <w:bottom w:w="100" w:type="dxa"/>
              <w:right w:w="100" w:type="dxa"/>
            </w:tcMar>
          </w:tcPr>
          <w:p w14:paraId="5D2B29B7" w14:textId="77777777" w:rsidR="002F5B7E" w:rsidRPr="00ED3FE3" w:rsidRDefault="002F5B7E" w:rsidP="00DE363F">
            <w:pPr>
              <w:widowControl w:val="0"/>
              <w:rPr>
                <w:b/>
                <w:bCs/>
                <w:color w:val="231F20"/>
                <w:sz w:val="20"/>
                <w:szCs w:val="20"/>
              </w:rPr>
            </w:pPr>
            <w:r w:rsidRPr="00ED3FE3">
              <w:rPr>
                <w:b/>
                <w:bCs/>
                <w:color w:val="231F20"/>
                <w:sz w:val="20"/>
                <w:szCs w:val="20"/>
              </w:rPr>
              <w:t>Factor</w:t>
            </w:r>
          </w:p>
        </w:tc>
        <w:tc>
          <w:tcPr>
            <w:tcW w:w="10185" w:type="dxa"/>
            <w:shd w:val="clear" w:color="auto" w:fill="auto"/>
            <w:tcMar>
              <w:top w:w="100" w:type="dxa"/>
              <w:left w:w="100" w:type="dxa"/>
              <w:bottom w:w="100" w:type="dxa"/>
              <w:right w:w="100" w:type="dxa"/>
            </w:tcMar>
          </w:tcPr>
          <w:p w14:paraId="5BEC3462" w14:textId="77777777" w:rsidR="002F5B7E" w:rsidRPr="00ED3FE3" w:rsidRDefault="002F5B7E" w:rsidP="00DE363F">
            <w:pPr>
              <w:widowControl w:val="0"/>
              <w:rPr>
                <w:b/>
                <w:bCs/>
                <w:color w:val="231F20"/>
                <w:sz w:val="20"/>
                <w:szCs w:val="20"/>
              </w:rPr>
            </w:pPr>
            <w:r w:rsidRPr="00ED3FE3">
              <w:rPr>
                <w:b/>
                <w:bCs/>
                <w:color w:val="231F20"/>
                <w:sz w:val="20"/>
                <w:szCs w:val="20"/>
              </w:rPr>
              <w:t xml:space="preserve">Descriptor quote </w:t>
            </w:r>
          </w:p>
        </w:tc>
      </w:tr>
      <w:tr w:rsidR="002F5B7E" w:rsidRPr="00ED3FE3" w14:paraId="16D7764B" w14:textId="77777777" w:rsidTr="00DE363F">
        <w:trPr>
          <w:trHeight w:val="512"/>
          <w:jc w:val="center"/>
        </w:trPr>
        <w:tc>
          <w:tcPr>
            <w:tcW w:w="3980" w:type="dxa"/>
            <w:shd w:val="clear" w:color="auto" w:fill="auto"/>
            <w:tcMar>
              <w:top w:w="100" w:type="dxa"/>
              <w:left w:w="100" w:type="dxa"/>
              <w:bottom w:w="100" w:type="dxa"/>
              <w:right w:w="100" w:type="dxa"/>
            </w:tcMar>
          </w:tcPr>
          <w:p w14:paraId="69B42706" w14:textId="77777777" w:rsidR="002F5B7E" w:rsidRPr="00ED3FE3" w:rsidRDefault="002F5B7E" w:rsidP="00DE363F">
            <w:pPr>
              <w:widowControl w:val="0"/>
              <w:rPr>
                <w:color w:val="231F20"/>
                <w:sz w:val="20"/>
                <w:szCs w:val="20"/>
              </w:rPr>
            </w:pPr>
            <w:r w:rsidRPr="00ED3FE3">
              <w:rPr>
                <w:color w:val="231F20"/>
                <w:sz w:val="20"/>
                <w:szCs w:val="20"/>
              </w:rPr>
              <w:t>Daily life experiences</w:t>
            </w:r>
          </w:p>
        </w:tc>
        <w:tc>
          <w:tcPr>
            <w:tcW w:w="10185" w:type="dxa"/>
            <w:shd w:val="clear" w:color="auto" w:fill="auto"/>
            <w:tcMar>
              <w:top w:w="100" w:type="dxa"/>
              <w:left w:w="100" w:type="dxa"/>
              <w:bottom w:w="100" w:type="dxa"/>
              <w:right w:w="100" w:type="dxa"/>
            </w:tcMar>
          </w:tcPr>
          <w:p w14:paraId="3F4A0CBD" w14:textId="4E4DF85D" w:rsidR="002F5B7E" w:rsidRPr="00ED3FE3" w:rsidRDefault="002F5B7E" w:rsidP="00DE363F">
            <w:pPr>
              <w:rPr>
                <w:i/>
                <w:sz w:val="20"/>
                <w:szCs w:val="20"/>
              </w:rPr>
            </w:pPr>
            <w:r w:rsidRPr="00ED3FE3">
              <w:rPr>
                <w:i/>
                <w:sz w:val="20"/>
                <w:szCs w:val="20"/>
              </w:rPr>
              <w:t>“I think she’s deteriorated I think quite rapidly actually’; ‘three weeks ago yesterday, when she ran out of the house’ (Adams, 2001:</w:t>
            </w:r>
            <w:proofErr w:type="gramStart"/>
            <w:r w:rsidRPr="00ED3FE3">
              <w:rPr>
                <w:i/>
                <w:sz w:val="20"/>
                <w:szCs w:val="20"/>
              </w:rPr>
              <w:t>8)</w:t>
            </w:r>
            <w:r w:rsidR="00292429" w:rsidRPr="00033C0E">
              <w:rPr>
                <w:vertAlign w:val="superscript"/>
              </w:rPr>
              <w:t>P</w:t>
            </w:r>
            <w:proofErr w:type="gramEnd"/>
            <w:r w:rsidR="00292429" w:rsidRPr="00033C0E">
              <w:rPr>
                <w:vertAlign w:val="superscript"/>
              </w:rPr>
              <w:t>1</w:t>
            </w:r>
          </w:p>
        </w:tc>
      </w:tr>
      <w:tr w:rsidR="002F5B7E" w:rsidRPr="00ED3FE3" w14:paraId="0389D089" w14:textId="77777777" w:rsidTr="00DE363F">
        <w:trPr>
          <w:trHeight w:val="750"/>
          <w:jc w:val="center"/>
        </w:trPr>
        <w:tc>
          <w:tcPr>
            <w:tcW w:w="3980" w:type="dxa"/>
            <w:shd w:val="clear" w:color="auto" w:fill="auto"/>
            <w:tcMar>
              <w:top w:w="100" w:type="dxa"/>
              <w:left w:w="100" w:type="dxa"/>
              <w:bottom w:w="100" w:type="dxa"/>
              <w:right w:w="100" w:type="dxa"/>
            </w:tcMar>
          </w:tcPr>
          <w:p w14:paraId="62E1E799" w14:textId="77777777" w:rsidR="002F5B7E" w:rsidRPr="00ED3FE3" w:rsidRDefault="002F5B7E" w:rsidP="00DE363F">
            <w:pPr>
              <w:widowControl w:val="0"/>
              <w:rPr>
                <w:color w:val="231F20"/>
                <w:sz w:val="20"/>
                <w:szCs w:val="20"/>
              </w:rPr>
            </w:pPr>
            <w:r w:rsidRPr="00ED3FE3">
              <w:rPr>
                <w:color w:val="231F20"/>
                <w:sz w:val="20"/>
                <w:szCs w:val="20"/>
              </w:rPr>
              <w:t>Risk to self and risk to others</w:t>
            </w:r>
          </w:p>
        </w:tc>
        <w:tc>
          <w:tcPr>
            <w:tcW w:w="10185" w:type="dxa"/>
            <w:shd w:val="clear" w:color="auto" w:fill="auto"/>
            <w:tcMar>
              <w:top w:w="100" w:type="dxa"/>
              <w:left w:w="100" w:type="dxa"/>
              <w:bottom w:w="100" w:type="dxa"/>
              <w:right w:w="100" w:type="dxa"/>
            </w:tcMar>
          </w:tcPr>
          <w:p w14:paraId="0F7EB5F2" w14:textId="77777777" w:rsidR="002F5B7E" w:rsidRPr="00ED3FE3" w:rsidRDefault="002F5B7E" w:rsidP="00DE363F">
            <w:pPr>
              <w:rPr>
                <w:i/>
                <w:sz w:val="20"/>
                <w:szCs w:val="20"/>
              </w:rPr>
            </w:pPr>
            <w:r w:rsidRPr="00ED3FE3">
              <w:rPr>
                <w:i/>
                <w:sz w:val="20"/>
                <w:szCs w:val="20"/>
              </w:rPr>
              <w:t xml:space="preserve">‘You are going to hurt somebody or do something that will hurt yourself.’ </w:t>
            </w:r>
          </w:p>
          <w:p w14:paraId="0B16C4D5" w14:textId="3A3A3101" w:rsidR="002F5B7E" w:rsidRPr="00ED3FE3" w:rsidRDefault="002F5B7E" w:rsidP="00DE363F">
            <w:pPr>
              <w:rPr>
                <w:i/>
                <w:sz w:val="20"/>
                <w:szCs w:val="20"/>
              </w:rPr>
            </w:pPr>
            <w:r w:rsidRPr="00ED3FE3">
              <w:rPr>
                <w:i/>
                <w:sz w:val="20"/>
                <w:szCs w:val="20"/>
              </w:rPr>
              <w:t>‘It means to me risk about, about (my wife) ...that I might harm her or something with the dementia.’ (Stevenson et al., 2019:6</w:t>
            </w:r>
            <w:r w:rsidR="00AC25FE">
              <w:rPr>
                <w:i/>
                <w:sz w:val="20"/>
                <w:szCs w:val="20"/>
              </w:rPr>
              <w:t>)</w:t>
            </w:r>
            <w:r w:rsidR="004129A3" w:rsidRPr="00033C0E">
              <w:rPr>
                <w:vertAlign w:val="superscript"/>
              </w:rPr>
              <w:t xml:space="preserve"> P18</w:t>
            </w:r>
          </w:p>
        </w:tc>
      </w:tr>
      <w:tr w:rsidR="002F5B7E" w:rsidRPr="00ED3FE3" w14:paraId="3CDCBB98" w14:textId="77777777" w:rsidTr="00DE363F">
        <w:trPr>
          <w:jc w:val="center"/>
        </w:trPr>
        <w:tc>
          <w:tcPr>
            <w:tcW w:w="3980" w:type="dxa"/>
            <w:shd w:val="clear" w:color="auto" w:fill="auto"/>
            <w:tcMar>
              <w:top w:w="100" w:type="dxa"/>
              <w:left w:w="100" w:type="dxa"/>
              <w:bottom w:w="100" w:type="dxa"/>
              <w:right w:w="100" w:type="dxa"/>
            </w:tcMar>
          </w:tcPr>
          <w:p w14:paraId="5911D13D" w14:textId="77777777" w:rsidR="002F5B7E" w:rsidRPr="00ED3FE3" w:rsidRDefault="002F5B7E" w:rsidP="00DE363F">
            <w:pPr>
              <w:widowControl w:val="0"/>
              <w:rPr>
                <w:color w:val="231F20"/>
                <w:sz w:val="20"/>
                <w:szCs w:val="20"/>
              </w:rPr>
            </w:pPr>
            <w:r w:rsidRPr="00ED3FE3">
              <w:rPr>
                <w:color w:val="231F20"/>
                <w:sz w:val="20"/>
                <w:szCs w:val="20"/>
              </w:rPr>
              <w:t>Being in unfamiliar setting/ situation</w:t>
            </w:r>
          </w:p>
        </w:tc>
        <w:tc>
          <w:tcPr>
            <w:tcW w:w="10185" w:type="dxa"/>
            <w:shd w:val="clear" w:color="auto" w:fill="auto"/>
            <w:tcMar>
              <w:top w:w="100" w:type="dxa"/>
              <w:left w:w="100" w:type="dxa"/>
              <w:bottom w:w="100" w:type="dxa"/>
              <w:right w:w="100" w:type="dxa"/>
            </w:tcMar>
          </w:tcPr>
          <w:p w14:paraId="1B94F737" w14:textId="31335401" w:rsidR="002F5B7E" w:rsidRPr="00ED3FE3" w:rsidRDefault="002F5B7E" w:rsidP="00DE363F">
            <w:pPr>
              <w:rPr>
                <w:i/>
                <w:sz w:val="20"/>
                <w:szCs w:val="20"/>
              </w:rPr>
            </w:pPr>
            <w:r w:rsidRPr="00ED3FE3">
              <w:rPr>
                <w:sz w:val="20"/>
                <w:szCs w:val="20"/>
              </w:rPr>
              <w:t xml:space="preserve"> </w:t>
            </w:r>
            <w:r w:rsidRPr="00ED3FE3">
              <w:rPr>
                <w:i/>
                <w:sz w:val="20"/>
                <w:szCs w:val="20"/>
              </w:rPr>
              <w:t xml:space="preserve">‘I noticed that when I was driving that I suddenly didn’t know quite where I was. </w:t>
            </w:r>
            <w:proofErr w:type="gramStart"/>
            <w:r w:rsidRPr="00ED3FE3">
              <w:rPr>
                <w:i/>
                <w:sz w:val="20"/>
                <w:szCs w:val="20"/>
              </w:rPr>
              <w:t>So</w:t>
            </w:r>
            <w:proofErr w:type="gramEnd"/>
            <w:r w:rsidRPr="00ED3FE3">
              <w:rPr>
                <w:i/>
                <w:sz w:val="20"/>
                <w:szCs w:val="20"/>
              </w:rPr>
              <w:t xml:space="preserve"> I was beginning to lose the place... It was nasty, very nasty’. (Sandberg et al., 2015:</w:t>
            </w:r>
            <w:proofErr w:type="gramStart"/>
            <w:r w:rsidRPr="00ED3FE3">
              <w:rPr>
                <w:i/>
                <w:sz w:val="20"/>
                <w:szCs w:val="20"/>
              </w:rPr>
              <w:t>7)</w:t>
            </w:r>
            <w:r w:rsidR="00AC25FE" w:rsidRPr="00AC25FE">
              <w:rPr>
                <w:i/>
                <w:sz w:val="20"/>
                <w:szCs w:val="20"/>
                <w:vertAlign w:val="superscript"/>
              </w:rPr>
              <w:t>P</w:t>
            </w:r>
            <w:proofErr w:type="gramEnd"/>
            <w:r w:rsidR="00AC25FE" w:rsidRPr="00033C0E">
              <w:rPr>
                <w:vertAlign w:val="superscript"/>
              </w:rPr>
              <w:t>15</w:t>
            </w:r>
            <w:r w:rsidRPr="00ED3FE3">
              <w:rPr>
                <w:i/>
                <w:sz w:val="20"/>
                <w:szCs w:val="20"/>
              </w:rPr>
              <w:t xml:space="preserve"> </w:t>
            </w:r>
          </w:p>
        </w:tc>
      </w:tr>
      <w:tr w:rsidR="002F5B7E" w:rsidRPr="00ED3FE3" w14:paraId="27DE4AEC" w14:textId="77777777" w:rsidTr="00DE363F">
        <w:trPr>
          <w:jc w:val="center"/>
        </w:trPr>
        <w:tc>
          <w:tcPr>
            <w:tcW w:w="3980" w:type="dxa"/>
            <w:shd w:val="clear" w:color="auto" w:fill="auto"/>
            <w:tcMar>
              <w:top w:w="100" w:type="dxa"/>
              <w:left w:w="100" w:type="dxa"/>
              <w:bottom w:w="100" w:type="dxa"/>
              <w:right w:w="100" w:type="dxa"/>
            </w:tcMar>
          </w:tcPr>
          <w:p w14:paraId="7B157C0C" w14:textId="77777777" w:rsidR="002F5B7E" w:rsidRPr="00ED3FE3" w:rsidRDefault="002F5B7E" w:rsidP="00DE363F">
            <w:pPr>
              <w:widowControl w:val="0"/>
              <w:rPr>
                <w:color w:val="231F20"/>
                <w:sz w:val="20"/>
                <w:szCs w:val="20"/>
              </w:rPr>
            </w:pPr>
            <w:r w:rsidRPr="00ED3FE3">
              <w:rPr>
                <w:color w:val="231F20"/>
                <w:sz w:val="20"/>
                <w:szCs w:val="20"/>
              </w:rPr>
              <w:t>Autonomy and safety</w:t>
            </w:r>
          </w:p>
        </w:tc>
        <w:tc>
          <w:tcPr>
            <w:tcW w:w="10185" w:type="dxa"/>
            <w:shd w:val="clear" w:color="auto" w:fill="auto"/>
            <w:tcMar>
              <w:top w:w="100" w:type="dxa"/>
              <w:left w:w="100" w:type="dxa"/>
              <w:bottom w:w="100" w:type="dxa"/>
              <w:right w:w="100" w:type="dxa"/>
            </w:tcMar>
          </w:tcPr>
          <w:p w14:paraId="0244E3A8" w14:textId="0F4FD757" w:rsidR="002F5B7E" w:rsidRPr="00ED3FE3" w:rsidRDefault="002F5B7E" w:rsidP="00DE363F">
            <w:pPr>
              <w:rPr>
                <w:i/>
                <w:sz w:val="20"/>
                <w:szCs w:val="20"/>
              </w:rPr>
            </w:pPr>
            <w:r w:rsidRPr="00ED3FE3">
              <w:rPr>
                <w:i/>
                <w:sz w:val="20"/>
                <w:szCs w:val="20"/>
              </w:rPr>
              <w:t>‘It is really important that you can be independent but safe.’ (Stevenson et al., 2019:</w:t>
            </w:r>
            <w:proofErr w:type="gramStart"/>
            <w:r w:rsidRPr="00ED3FE3">
              <w:rPr>
                <w:i/>
                <w:sz w:val="20"/>
                <w:szCs w:val="20"/>
              </w:rPr>
              <w:t>6</w:t>
            </w:r>
            <w:r w:rsidRPr="00AC25FE">
              <w:rPr>
                <w:i/>
                <w:sz w:val="20"/>
                <w:szCs w:val="20"/>
              </w:rPr>
              <w:t>)</w:t>
            </w:r>
            <w:r w:rsidR="004129A3" w:rsidRPr="00033C0E">
              <w:rPr>
                <w:vertAlign w:val="superscript"/>
              </w:rPr>
              <w:t>P</w:t>
            </w:r>
            <w:proofErr w:type="gramEnd"/>
            <w:r w:rsidR="004129A3" w:rsidRPr="00033C0E">
              <w:rPr>
                <w:vertAlign w:val="superscript"/>
              </w:rPr>
              <w:t>18</w:t>
            </w:r>
          </w:p>
        </w:tc>
      </w:tr>
      <w:tr w:rsidR="002F5B7E" w:rsidRPr="00ED3FE3" w14:paraId="6366575F" w14:textId="77777777" w:rsidTr="00DE363F">
        <w:trPr>
          <w:jc w:val="center"/>
        </w:trPr>
        <w:tc>
          <w:tcPr>
            <w:tcW w:w="3980" w:type="dxa"/>
            <w:shd w:val="clear" w:color="auto" w:fill="auto"/>
            <w:tcMar>
              <w:top w:w="100" w:type="dxa"/>
              <w:left w:w="100" w:type="dxa"/>
              <w:bottom w:w="100" w:type="dxa"/>
              <w:right w:w="100" w:type="dxa"/>
            </w:tcMar>
          </w:tcPr>
          <w:p w14:paraId="15ECFDA1" w14:textId="77777777" w:rsidR="002F5B7E" w:rsidRPr="00ED3FE3" w:rsidRDefault="002F5B7E" w:rsidP="00DE363F">
            <w:pPr>
              <w:widowControl w:val="0"/>
              <w:rPr>
                <w:color w:val="231F20"/>
                <w:sz w:val="20"/>
                <w:szCs w:val="20"/>
              </w:rPr>
            </w:pPr>
            <w:r w:rsidRPr="00ED3FE3">
              <w:rPr>
                <w:color w:val="231F20"/>
                <w:sz w:val="20"/>
                <w:szCs w:val="20"/>
              </w:rPr>
              <w:t>Living arrangements</w:t>
            </w:r>
          </w:p>
        </w:tc>
        <w:tc>
          <w:tcPr>
            <w:tcW w:w="10185" w:type="dxa"/>
            <w:shd w:val="clear" w:color="auto" w:fill="auto"/>
            <w:tcMar>
              <w:top w:w="100" w:type="dxa"/>
              <w:left w:w="100" w:type="dxa"/>
              <w:bottom w:w="100" w:type="dxa"/>
              <w:right w:w="100" w:type="dxa"/>
            </w:tcMar>
          </w:tcPr>
          <w:p w14:paraId="3FCAD551" w14:textId="320CD425" w:rsidR="002F5B7E" w:rsidRPr="00ED3FE3" w:rsidRDefault="002F5B7E" w:rsidP="00DE363F">
            <w:pPr>
              <w:rPr>
                <w:i/>
                <w:sz w:val="20"/>
                <w:szCs w:val="20"/>
              </w:rPr>
            </w:pPr>
            <w:r w:rsidRPr="00ED3FE3">
              <w:rPr>
                <w:i/>
                <w:sz w:val="20"/>
                <w:szCs w:val="20"/>
              </w:rPr>
              <w:t>‘If they have family maybe the risks are a bit lower because of that input from the family but if somebody is living on their own and isolated ... the risks are higher as the illness progresses.’ (Sandberg et al., 2015:</w:t>
            </w:r>
            <w:proofErr w:type="gramStart"/>
            <w:r w:rsidRPr="00ED3FE3">
              <w:rPr>
                <w:i/>
                <w:sz w:val="20"/>
                <w:szCs w:val="20"/>
              </w:rPr>
              <w:t>7)</w:t>
            </w:r>
            <w:r w:rsidR="00AC25FE">
              <w:rPr>
                <w:vertAlign w:val="superscript"/>
              </w:rPr>
              <w:t>P</w:t>
            </w:r>
            <w:proofErr w:type="gramEnd"/>
            <w:r w:rsidR="00AC25FE" w:rsidRPr="00033C0E">
              <w:rPr>
                <w:vertAlign w:val="superscript"/>
              </w:rPr>
              <w:t>15</w:t>
            </w:r>
          </w:p>
        </w:tc>
      </w:tr>
      <w:tr w:rsidR="002F5B7E" w:rsidRPr="00ED3FE3" w14:paraId="7C3AB652" w14:textId="77777777" w:rsidTr="00DE363F">
        <w:trPr>
          <w:trHeight w:val="420"/>
          <w:jc w:val="center"/>
        </w:trPr>
        <w:tc>
          <w:tcPr>
            <w:tcW w:w="14165" w:type="dxa"/>
            <w:gridSpan w:val="2"/>
            <w:shd w:val="clear" w:color="auto" w:fill="FFFFFF" w:themeFill="background1"/>
          </w:tcPr>
          <w:p w14:paraId="6832B445" w14:textId="77777777" w:rsidR="002F5B7E" w:rsidRPr="00ED3FE3" w:rsidRDefault="002F5B7E" w:rsidP="00DE363F">
            <w:pPr>
              <w:widowControl w:val="0"/>
              <w:rPr>
                <w:b/>
                <w:color w:val="231F20"/>
                <w:sz w:val="20"/>
                <w:szCs w:val="20"/>
              </w:rPr>
            </w:pPr>
            <w:r w:rsidRPr="00ED3FE3">
              <w:rPr>
                <w:b/>
                <w:color w:val="231F20"/>
                <w:sz w:val="20"/>
                <w:szCs w:val="20"/>
              </w:rPr>
              <w:t xml:space="preserve">Subtheme 2: Factors that influence the construction of risk </w:t>
            </w:r>
          </w:p>
        </w:tc>
      </w:tr>
      <w:tr w:rsidR="002F5B7E" w:rsidRPr="00ED3FE3" w14:paraId="61D31EA3" w14:textId="77777777" w:rsidTr="00DE363F">
        <w:trPr>
          <w:trHeight w:val="420"/>
          <w:jc w:val="center"/>
        </w:trPr>
        <w:tc>
          <w:tcPr>
            <w:tcW w:w="3980" w:type="dxa"/>
            <w:shd w:val="clear" w:color="auto" w:fill="auto"/>
            <w:tcMar>
              <w:top w:w="100" w:type="dxa"/>
              <w:left w:w="100" w:type="dxa"/>
              <w:bottom w:w="100" w:type="dxa"/>
              <w:right w:w="100" w:type="dxa"/>
            </w:tcMar>
          </w:tcPr>
          <w:p w14:paraId="73716045" w14:textId="77777777" w:rsidR="002F5B7E" w:rsidRPr="00ED3FE3" w:rsidRDefault="002F5B7E" w:rsidP="00DE363F">
            <w:pPr>
              <w:widowControl w:val="0"/>
              <w:rPr>
                <w:color w:val="231F20"/>
                <w:sz w:val="20"/>
                <w:szCs w:val="20"/>
              </w:rPr>
            </w:pPr>
            <w:r w:rsidRPr="00ED3FE3">
              <w:rPr>
                <w:color w:val="231F20"/>
                <w:sz w:val="20"/>
                <w:szCs w:val="20"/>
              </w:rPr>
              <w:t xml:space="preserve">Personality </w:t>
            </w:r>
          </w:p>
        </w:tc>
        <w:tc>
          <w:tcPr>
            <w:tcW w:w="10185" w:type="dxa"/>
            <w:shd w:val="clear" w:color="auto" w:fill="auto"/>
            <w:tcMar>
              <w:top w:w="100" w:type="dxa"/>
              <w:left w:w="100" w:type="dxa"/>
              <w:bottom w:w="100" w:type="dxa"/>
              <w:right w:w="100" w:type="dxa"/>
            </w:tcMar>
          </w:tcPr>
          <w:p w14:paraId="5F873A44" w14:textId="2D3A4DB0" w:rsidR="002F5B7E" w:rsidRPr="00ED3FE3" w:rsidRDefault="002F5B7E" w:rsidP="00DE363F">
            <w:pPr>
              <w:widowControl w:val="0"/>
              <w:rPr>
                <w:i/>
                <w:sz w:val="20"/>
                <w:szCs w:val="20"/>
              </w:rPr>
            </w:pPr>
            <w:r w:rsidRPr="00ED3FE3">
              <w:rPr>
                <w:i/>
                <w:sz w:val="20"/>
                <w:szCs w:val="20"/>
              </w:rPr>
              <w:t>“</w:t>
            </w:r>
            <w:proofErr w:type="gramStart"/>
            <w:r w:rsidRPr="00ED3FE3">
              <w:rPr>
                <w:i/>
                <w:sz w:val="20"/>
                <w:szCs w:val="20"/>
              </w:rPr>
              <w:t>she</w:t>
            </w:r>
            <w:proofErr w:type="gramEnd"/>
            <w:r w:rsidRPr="00ED3FE3">
              <w:rPr>
                <w:i/>
                <w:sz w:val="20"/>
                <w:szCs w:val="20"/>
              </w:rPr>
              <w:t xml:space="preserve"> was ‘naturally not a worrier’ and ‘had always been careful” (Stevenson et al., 2019:6)</w:t>
            </w:r>
            <w:r w:rsidR="00AC25FE" w:rsidRPr="00033C0E">
              <w:rPr>
                <w:vertAlign w:val="superscript"/>
              </w:rPr>
              <w:t xml:space="preserve"> P18</w:t>
            </w:r>
          </w:p>
        </w:tc>
      </w:tr>
      <w:tr w:rsidR="002F5B7E" w:rsidRPr="00ED3FE3" w14:paraId="14832812" w14:textId="77777777" w:rsidTr="00DE363F">
        <w:trPr>
          <w:trHeight w:val="420"/>
          <w:jc w:val="center"/>
        </w:trPr>
        <w:tc>
          <w:tcPr>
            <w:tcW w:w="3980" w:type="dxa"/>
            <w:shd w:val="clear" w:color="auto" w:fill="auto"/>
            <w:tcMar>
              <w:top w:w="100" w:type="dxa"/>
              <w:left w:w="100" w:type="dxa"/>
              <w:bottom w:w="100" w:type="dxa"/>
              <w:right w:w="100" w:type="dxa"/>
            </w:tcMar>
          </w:tcPr>
          <w:p w14:paraId="7B4B4E8B" w14:textId="77777777" w:rsidR="002F5B7E" w:rsidRPr="00ED3FE3" w:rsidRDefault="002F5B7E" w:rsidP="00DE363F">
            <w:pPr>
              <w:widowControl w:val="0"/>
              <w:rPr>
                <w:color w:val="231F20"/>
                <w:sz w:val="20"/>
                <w:szCs w:val="20"/>
              </w:rPr>
            </w:pPr>
            <w:r w:rsidRPr="00ED3FE3">
              <w:rPr>
                <w:color w:val="231F20"/>
                <w:sz w:val="20"/>
                <w:szCs w:val="20"/>
              </w:rPr>
              <w:t>Work</w:t>
            </w:r>
          </w:p>
        </w:tc>
        <w:tc>
          <w:tcPr>
            <w:tcW w:w="10185" w:type="dxa"/>
            <w:shd w:val="clear" w:color="auto" w:fill="auto"/>
            <w:tcMar>
              <w:top w:w="100" w:type="dxa"/>
              <w:left w:w="100" w:type="dxa"/>
              <w:bottom w:w="100" w:type="dxa"/>
              <w:right w:w="100" w:type="dxa"/>
            </w:tcMar>
          </w:tcPr>
          <w:p w14:paraId="131129F4" w14:textId="6FF86C44" w:rsidR="002F5B7E" w:rsidRPr="00ED3FE3" w:rsidRDefault="002F5B7E" w:rsidP="00DE363F">
            <w:pPr>
              <w:widowControl w:val="0"/>
              <w:rPr>
                <w:i/>
                <w:sz w:val="20"/>
                <w:szCs w:val="20"/>
              </w:rPr>
            </w:pPr>
            <w:r w:rsidRPr="00ED3FE3">
              <w:rPr>
                <w:i/>
                <w:sz w:val="20"/>
                <w:szCs w:val="20"/>
              </w:rPr>
              <w:t>‘I would never have thought about risk, maybe it’s because of the way I worked.’ (Stevenson et al., 2017:</w:t>
            </w:r>
            <w:proofErr w:type="gramStart"/>
            <w:r w:rsidRPr="00ED3FE3">
              <w:rPr>
                <w:i/>
                <w:sz w:val="20"/>
                <w:szCs w:val="20"/>
              </w:rPr>
              <w:t>6)</w:t>
            </w:r>
            <w:r w:rsidR="00870E79" w:rsidRPr="00033C0E">
              <w:rPr>
                <w:vertAlign w:val="superscript"/>
              </w:rPr>
              <w:t>P</w:t>
            </w:r>
            <w:proofErr w:type="gramEnd"/>
            <w:r w:rsidR="00870E79" w:rsidRPr="00033C0E">
              <w:rPr>
                <w:vertAlign w:val="superscript"/>
              </w:rPr>
              <w:t>1</w:t>
            </w:r>
            <w:r w:rsidR="00870E79">
              <w:rPr>
                <w:vertAlign w:val="superscript"/>
              </w:rPr>
              <w:t>7</w:t>
            </w:r>
          </w:p>
        </w:tc>
      </w:tr>
      <w:tr w:rsidR="002F5B7E" w:rsidRPr="00ED3FE3" w14:paraId="526A1659" w14:textId="77777777" w:rsidTr="00DE363F">
        <w:trPr>
          <w:trHeight w:val="630"/>
          <w:jc w:val="center"/>
        </w:trPr>
        <w:tc>
          <w:tcPr>
            <w:tcW w:w="3980" w:type="dxa"/>
            <w:shd w:val="clear" w:color="auto" w:fill="auto"/>
            <w:tcMar>
              <w:top w:w="100" w:type="dxa"/>
              <w:left w:w="100" w:type="dxa"/>
              <w:bottom w:w="100" w:type="dxa"/>
              <w:right w:w="100" w:type="dxa"/>
            </w:tcMar>
          </w:tcPr>
          <w:p w14:paraId="06A4F762" w14:textId="77777777" w:rsidR="002F5B7E" w:rsidRPr="00ED3FE3" w:rsidRDefault="002F5B7E" w:rsidP="00DE363F">
            <w:pPr>
              <w:widowControl w:val="0"/>
              <w:rPr>
                <w:color w:val="231F20"/>
                <w:sz w:val="20"/>
                <w:szCs w:val="20"/>
              </w:rPr>
            </w:pPr>
            <w:r w:rsidRPr="00ED3FE3">
              <w:rPr>
                <w:color w:val="231F20"/>
                <w:sz w:val="20"/>
                <w:szCs w:val="20"/>
              </w:rPr>
              <w:t xml:space="preserve">Media </w:t>
            </w:r>
          </w:p>
        </w:tc>
        <w:tc>
          <w:tcPr>
            <w:tcW w:w="10185" w:type="dxa"/>
            <w:shd w:val="clear" w:color="auto" w:fill="auto"/>
            <w:tcMar>
              <w:top w:w="100" w:type="dxa"/>
              <w:left w:w="100" w:type="dxa"/>
              <w:bottom w:w="100" w:type="dxa"/>
              <w:right w:w="100" w:type="dxa"/>
            </w:tcMar>
          </w:tcPr>
          <w:p w14:paraId="01B330F7" w14:textId="303FB2E8" w:rsidR="002F5B7E" w:rsidRPr="00ED3FE3" w:rsidRDefault="002F5B7E" w:rsidP="00DE363F">
            <w:pPr>
              <w:widowControl w:val="0"/>
              <w:rPr>
                <w:i/>
                <w:sz w:val="20"/>
                <w:szCs w:val="20"/>
              </w:rPr>
            </w:pPr>
            <w:r w:rsidRPr="00ED3FE3">
              <w:rPr>
                <w:b/>
                <w:sz w:val="20"/>
                <w:szCs w:val="20"/>
              </w:rPr>
              <w:t xml:space="preserve"> </w:t>
            </w:r>
            <w:r w:rsidRPr="00ED3FE3">
              <w:rPr>
                <w:sz w:val="20"/>
                <w:szCs w:val="20"/>
              </w:rPr>
              <w:t>People with dementia feared that he may become violent towards his wife in the future</w:t>
            </w:r>
            <w:proofErr w:type="gramStart"/>
            <w:r w:rsidRPr="00ED3FE3">
              <w:rPr>
                <w:sz w:val="20"/>
                <w:szCs w:val="20"/>
              </w:rPr>
              <w:t xml:space="preserve">:  </w:t>
            </w:r>
            <w:r w:rsidRPr="00ED3FE3">
              <w:rPr>
                <w:i/>
                <w:sz w:val="20"/>
                <w:szCs w:val="20"/>
              </w:rPr>
              <w:t>‘</w:t>
            </w:r>
            <w:proofErr w:type="gramEnd"/>
            <w:r w:rsidRPr="00ED3FE3">
              <w:rPr>
                <w:i/>
                <w:sz w:val="20"/>
                <w:szCs w:val="20"/>
              </w:rPr>
              <w:t>because I [had] seen it on the TV with people with dementia’ (Stevenson et al., 2019:6)</w:t>
            </w:r>
            <w:r w:rsidR="004129A3" w:rsidRPr="00033C0E">
              <w:rPr>
                <w:vertAlign w:val="superscript"/>
              </w:rPr>
              <w:t>P18</w:t>
            </w:r>
          </w:p>
        </w:tc>
      </w:tr>
    </w:tbl>
    <w:p w14:paraId="6C358E3C" w14:textId="55E344A4" w:rsidR="00D715D4" w:rsidRDefault="00D715D4" w:rsidP="002F5B7E">
      <w:pPr>
        <w:spacing w:after="160" w:line="259" w:lineRule="auto"/>
      </w:pPr>
    </w:p>
    <w:sectPr w:rsidR="00D715D4" w:rsidSect="002F5B7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B7E"/>
    <w:rsid w:val="00292429"/>
    <w:rsid w:val="002F5B7E"/>
    <w:rsid w:val="004129A3"/>
    <w:rsid w:val="00870E79"/>
    <w:rsid w:val="00AC25FE"/>
    <w:rsid w:val="00C0226F"/>
    <w:rsid w:val="00D378F5"/>
    <w:rsid w:val="00D715D4"/>
    <w:rsid w:val="00D73FBD"/>
    <w:rsid w:val="00EB0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0B0C8"/>
  <w15:chartTrackingRefBased/>
  <w15:docId w15:val="{E0BB090D-E168-4310-8194-64965219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B7E"/>
    <w:pPr>
      <w:spacing w:after="0" w:line="276" w:lineRule="auto"/>
    </w:pPr>
    <w:rPr>
      <w:rFonts w:ascii="Arial" w:eastAsia="Arial" w:hAnsi="Arial" w:cs="Arial"/>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Hoe</dc:creator>
  <cp:keywords/>
  <dc:description/>
  <cp:lastModifiedBy>Juanita Hoe</cp:lastModifiedBy>
  <cp:revision>2</cp:revision>
  <dcterms:created xsi:type="dcterms:W3CDTF">2023-10-07T10:30:00Z</dcterms:created>
  <dcterms:modified xsi:type="dcterms:W3CDTF">2023-10-07T10:30:00Z</dcterms:modified>
</cp:coreProperties>
</file>