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DDB69" w14:textId="7CDBE52F" w:rsidR="00F742A4" w:rsidRPr="00F742A4" w:rsidRDefault="00F742A4" w:rsidP="00F742A4">
      <w:pPr>
        <w:spacing w:line="360" w:lineRule="auto"/>
        <w:rPr>
          <w:b/>
          <w:bCs/>
        </w:rPr>
      </w:pPr>
      <w:r w:rsidRPr="00F742A4">
        <w:rPr>
          <w:b/>
          <w:bCs/>
        </w:rPr>
        <w:t>Appendix</w:t>
      </w:r>
    </w:p>
    <w:p w14:paraId="322D9D9B" w14:textId="7E873374" w:rsidR="00F742A4" w:rsidRPr="00984F94" w:rsidRDefault="00F742A4" w:rsidP="00F742A4">
      <w:pPr>
        <w:spacing w:line="360" w:lineRule="auto"/>
      </w:pPr>
      <w:r w:rsidRPr="00984F94">
        <w:t>Table A1</w:t>
      </w:r>
      <w:r>
        <w:t xml:space="preserve"> presents the summary statistics for each of the variables used in the probit regression models. As noted in the text, each variable is constructed as a binary, with 0 indicating a business does not fall into a category and indicating that it does. The mean values presented in Table A1 therefore indicate the percentage of businesses that fall into each category, i.e. the mean value of the Indigenous Manager/s variable is 0.234, indicating that 23.4% of the businesses in the sample indicated that they had one or more Indigenous people in positions of management. </w:t>
      </w:r>
    </w:p>
    <w:p w14:paraId="1B040B78" w14:textId="77777777" w:rsidR="00F742A4" w:rsidRDefault="00F742A4" w:rsidP="00F742A4">
      <w:pPr>
        <w:rPr>
          <w:b/>
          <w:bCs/>
        </w:rPr>
      </w:pPr>
      <w:r>
        <w:rPr>
          <w:b/>
          <w:bCs/>
        </w:rPr>
        <w:t>Table A1: Summary Statistics</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50"/>
        <w:gridCol w:w="993"/>
        <w:gridCol w:w="709"/>
        <w:gridCol w:w="708"/>
      </w:tblGrid>
      <w:tr w:rsidR="00F742A4" w14:paraId="4CD1F8AC" w14:textId="77777777" w:rsidTr="000E6BFE">
        <w:trPr>
          <w:trHeight w:val="184"/>
          <w:jc w:val="center"/>
        </w:trPr>
        <w:tc>
          <w:tcPr>
            <w:tcW w:w="3114" w:type="dxa"/>
            <w:shd w:val="clear" w:color="auto" w:fill="auto"/>
            <w:noWrap/>
            <w:vAlign w:val="bottom"/>
            <w:hideMark/>
          </w:tcPr>
          <w:p w14:paraId="0538AB00" w14:textId="77777777" w:rsidR="00F742A4" w:rsidRPr="00790D6A" w:rsidRDefault="00F742A4" w:rsidP="000E6BFE">
            <w:pPr>
              <w:spacing w:after="0"/>
              <w:rPr>
                <w:rFonts w:eastAsia="Times New Roman" w:cs="Times New Roman"/>
                <w:b/>
                <w:bCs/>
                <w:color w:val="000000"/>
                <w:szCs w:val="20"/>
                <w:lang w:eastAsia="en-AU"/>
              </w:rPr>
            </w:pPr>
            <w:r>
              <w:rPr>
                <w:rFonts w:eastAsia="Times New Roman" w:cs="Times New Roman"/>
                <w:b/>
                <w:bCs/>
                <w:color w:val="000000"/>
                <w:szCs w:val="20"/>
                <w:lang w:eastAsia="en-AU"/>
              </w:rPr>
              <w:t>Variable</w:t>
            </w:r>
          </w:p>
        </w:tc>
        <w:tc>
          <w:tcPr>
            <w:tcW w:w="850" w:type="dxa"/>
          </w:tcPr>
          <w:p w14:paraId="6A04DF83" w14:textId="77777777" w:rsidR="00F742A4" w:rsidRPr="00790D6A" w:rsidRDefault="00F742A4" w:rsidP="000E6BFE">
            <w:pPr>
              <w:spacing w:after="0"/>
              <w:rPr>
                <w:rFonts w:eastAsia="Times New Roman" w:cs="Times New Roman"/>
                <w:b/>
                <w:bCs/>
                <w:color w:val="000000"/>
                <w:szCs w:val="20"/>
                <w:lang w:eastAsia="en-AU"/>
              </w:rPr>
            </w:pPr>
            <w:r>
              <w:rPr>
                <w:rFonts w:eastAsia="Times New Roman" w:cs="Times New Roman"/>
                <w:b/>
                <w:bCs/>
                <w:color w:val="000000"/>
                <w:szCs w:val="20"/>
                <w:lang w:eastAsia="en-AU"/>
              </w:rPr>
              <w:t>Obs.</w:t>
            </w:r>
          </w:p>
        </w:tc>
        <w:tc>
          <w:tcPr>
            <w:tcW w:w="850" w:type="dxa"/>
            <w:shd w:val="clear" w:color="auto" w:fill="auto"/>
            <w:noWrap/>
            <w:vAlign w:val="bottom"/>
            <w:hideMark/>
          </w:tcPr>
          <w:p w14:paraId="57FF8D7D" w14:textId="77777777" w:rsidR="00F742A4" w:rsidRPr="00790D6A" w:rsidRDefault="00F742A4" w:rsidP="000E6BFE">
            <w:pPr>
              <w:spacing w:after="0"/>
              <w:rPr>
                <w:rFonts w:eastAsia="Times New Roman" w:cs="Times New Roman"/>
                <w:b/>
                <w:bCs/>
                <w:color w:val="000000"/>
                <w:szCs w:val="20"/>
                <w:lang w:eastAsia="en-AU"/>
              </w:rPr>
            </w:pPr>
            <w:r w:rsidRPr="00790D6A">
              <w:rPr>
                <w:rFonts w:eastAsia="Times New Roman" w:cs="Times New Roman"/>
                <w:b/>
                <w:bCs/>
                <w:color w:val="000000"/>
                <w:szCs w:val="20"/>
                <w:lang w:eastAsia="en-AU"/>
              </w:rPr>
              <w:t>Mean</w:t>
            </w:r>
          </w:p>
        </w:tc>
        <w:tc>
          <w:tcPr>
            <w:tcW w:w="993" w:type="dxa"/>
          </w:tcPr>
          <w:p w14:paraId="01E3D9A4" w14:textId="77777777" w:rsidR="00F742A4" w:rsidRPr="00790D6A" w:rsidRDefault="00F742A4" w:rsidP="000E6BFE">
            <w:pPr>
              <w:spacing w:after="0"/>
              <w:rPr>
                <w:rFonts w:eastAsia="Times New Roman" w:cs="Times New Roman"/>
                <w:b/>
                <w:bCs/>
                <w:color w:val="000000"/>
                <w:szCs w:val="20"/>
                <w:lang w:eastAsia="en-AU"/>
              </w:rPr>
            </w:pPr>
            <w:r w:rsidRPr="00790D6A">
              <w:rPr>
                <w:rFonts w:eastAsia="Times New Roman" w:cs="Times New Roman"/>
                <w:b/>
                <w:bCs/>
                <w:color w:val="000000"/>
                <w:szCs w:val="20"/>
                <w:lang w:eastAsia="en-AU"/>
              </w:rPr>
              <w:t>Std. Dev</w:t>
            </w:r>
          </w:p>
        </w:tc>
        <w:tc>
          <w:tcPr>
            <w:tcW w:w="709" w:type="dxa"/>
          </w:tcPr>
          <w:p w14:paraId="1D212B44" w14:textId="77777777" w:rsidR="00F742A4" w:rsidRPr="00790D6A" w:rsidRDefault="00F742A4" w:rsidP="000E6BFE">
            <w:pPr>
              <w:spacing w:after="0"/>
              <w:rPr>
                <w:rFonts w:eastAsia="Times New Roman" w:cs="Times New Roman"/>
                <w:b/>
                <w:bCs/>
                <w:color w:val="000000"/>
                <w:szCs w:val="20"/>
                <w:lang w:eastAsia="en-AU"/>
              </w:rPr>
            </w:pPr>
            <w:r w:rsidRPr="00790D6A">
              <w:rPr>
                <w:rFonts w:eastAsia="Times New Roman" w:cs="Times New Roman"/>
                <w:b/>
                <w:bCs/>
                <w:color w:val="000000"/>
                <w:szCs w:val="20"/>
                <w:lang w:eastAsia="en-AU"/>
              </w:rPr>
              <w:t>Min</w:t>
            </w:r>
          </w:p>
        </w:tc>
        <w:tc>
          <w:tcPr>
            <w:tcW w:w="708" w:type="dxa"/>
            <w:shd w:val="clear" w:color="auto" w:fill="auto"/>
            <w:noWrap/>
            <w:vAlign w:val="bottom"/>
            <w:hideMark/>
          </w:tcPr>
          <w:p w14:paraId="1C859C82" w14:textId="77777777" w:rsidR="00F742A4" w:rsidRPr="00790D6A" w:rsidRDefault="00F742A4" w:rsidP="000E6BFE">
            <w:pPr>
              <w:spacing w:after="0"/>
              <w:rPr>
                <w:rFonts w:eastAsia="Times New Roman" w:cs="Times New Roman"/>
                <w:b/>
                <w:bCs/>
                <w:color w:val="000000"/>
                <w:szCs w:val="20"/>
                <w:lang w:eastAsia="en-AU"/>
              </w:rPr>
            </w:pPr>
            <w:r w:rsidRPr="00790D6A">
              <w:rPr>
                <w:rFonts w:eastAsia="Times New Roman" w:cs="Times New Roman"/>
                <w:b/>
                <w:bCs/>
                <w:color w:val="000000"/>
                <w:szCs w:val="20"/>
                <w:lang w:eastAsia="en-AU"/>
              </w:rPr>
              <w:t>Max</w:t>
            </w:r>
          </w:p>
        </w:tc>
      </w:tr>
      <w:tr w:rsidR="00F742A4" w14:paraId="6022DB69" w14:textId="77777777" w:rsidTr="000E6BFE">
        <w:trPr>
          <w:trHeight w:val="184"/>
          <w:jc w:val="center"/>
        </w:trPr>
        <w:tc>
          <w:tcPr>
            <w:tcW w:w="3114" w:type="dxa"/>
            <w:shd w:val="clear" w:color="auto" w:fill="auto"/>
            <w:noWrap/>
            <w:vAlign w:val="bottom"/>
          </w:tcPr>
          <w:p w14:paraId="2E3DC955" w14:textId="77777777" w:rsidR="00F742A4" w:rsidRPr="00CF111E" w:rsidRDefault="00F742A4" w:rsidP="000E6BFE">
            <w:pPr>
              <w:spacing w:after="0"/>
              <w:rPr>
                <w:rFonts w:eastAsia="Times New Roman" w:cs="Times New Roman"/>
                <w:color w:val="000000"/>
                <w:szCs w:val="20"/>
                <w:lang w:eastAsia="en-AU"/>
              </w:rPr>
            </w:pPr>
            <w:r w:rsidRPr="00CF111E">
              <w:rPr>
                <w:rFonts w:eastAsia="Times New Roman" w:cs="Times New Roman"/>
                <w:color w:val="000000"/>
                <w:szCs w:val="20"/>
                <w:lang w:eastAsia="en-AU"/>
              </w:rPr>
              <w:t>Indigenous Retention Rates</w:t>
            </w:r>
          </w:p>
        </w:tc>
        <w:tc>
          <w:tcPr>
            <w:tcW w:w="850" w:type="dxa"/>
          </w:tcPr>
          <w:p w14:paraId="13619C78" w14:textId="77777777" w:rsidR="00F742A4"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277</w:t>
            </w:r>
          </w:p>
        </w:tc>
        <w:tc>
          <w:tcPr>
            <w:tcW w:w="850" w:type="dxa"/>
            <w:shd w:val="clear" w:color="auto" w:fill="auto"/>
            <w:noWrap/>
            <w:vAlign w:val="bottom"/>
          </w:tcPr>
          <w:p w14:paraId="22BC7239"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0.809</w:t>
            </w:r>
          </w:p>
        </w:tc>
        <w:tc>
          <w:tcPr>
            <w:tcW w:w="993" w:type="dxa"/>
          </w:tcPr>
          <w:p w14:paraId="3276CB40"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0.55</w:t>
            </w:r>
          </w:p>
        </w:tc>
        <w:tc>
          <w:tcPr>
            <w:tcW w:w="709" w:type="dxa"/>
          </w:tcPr>
          <w:p w14:paraId="1260283A"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0</w:t>
            </w:r>
          </w:p>
        </w:tc>
        <w:tc>
          <w:tcPr>
            <w:tcW w:w="708" w:type="dxa"/>
            <w:shd w:val="clear" w:color="auto" w:fill="auto"/>
            <w:noWrap/>
            <w:vAlign w:val="bottom"/>
          </w:tcPr>
          <w:p w14:paraId="0DF3E19C"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2</w:t>
            </w:r>
          </w:p>
        </w:tc>
      </w:tr>
      <w:tr w:rsidR="00F742A4" w14:paraId="4FBC79EF" w14:textId="77777777" w:rsidTr="000E6BFE">
        <w:trPr>
          <w:trHeight w:val="134"/>
          <w:jc w:val="center"/>
        </w:trPr>
        <w:tc>
          <w:tcPr>
            <w:tcW w:w="3114" w:type="dxa"/>
            <w:shd w:val="clear" w:color="auto" w:fill="auto"/>
            <w:noWrap/>
            <w:vAlign w:val="bottom"/>
          </w:tcPr>
          <w:p w14:paraId="34483EC3" w14:textId="77777777" w:rsidR="00F742A4" w:rsidRPr="00CF111E" w:rsidRDefault="00F742A4" w:rsidP="000E6BFE">
            <w:pPr>
              <w:spacing w:after="0"/>
              <w:rPr>
                <w:rFonts w:eastAsia="Times New Roman" w:cs="Times New Roman"/>
                <w:color w:val="000000"/>
                <w:szCs w:val="20"/>
                <w:lang w:eastAsia="en-AU"/>
              </w:rPr>
            </w:pPr>
            <w:r w:rsidRPr="00CF111E">
              <w:rPr>
                <w:rFonts w:eastAsia="Times New Roman" w:cs="Times New Roman"/>
                <w:color w:val="000000"/>
                <w:szCs w:val="20"/>
                <w:lang w:eastAsia="en-AU"/>
              </w:rPr>
              <w:t xml:space="preserve">Indigenous </w:t>
            </w:r>
            <w:r>
              <w:rPr>
                <w:rFonts w:eastAsia="Times New Roman" w:cs="Times New Roman"/>
                <w:color w:val="000000"/>
                <w:szCs w:val="20"/>
                <w:lang w:eastAsia="en-AU"/>
              </w:rPr>
              <w:t>Employment</w:t>
            </w:r>
            <w:r w:rsidRPr="00CF111E">
              <w:rPr>
                <w:rFonts w:eastAsia="Times New Roman" w:cs="Times New Roman"/>
                <w:color w:val="000000"/>
                <w:szCs w:val="20"/>
                <w:lang w:eastAsia="en-AU"/>
              </w:rPr>
              <w:t xml:space="preserve"> Rate</w:t>
            </w:r>
            <w:r>
              <w:rPr>
                <w:rFonts w:eastAsia="Times New Roman" w:cs="Times New Roman"/>
                <w:color w:val="000000"/>
                <w:szCs w:val="20"/>
                <w:lang w:eastAsia="en-AU"/>
              </w:rPr>
              <w:t xml:space="preserve"> 3.8%</w:t>
            </w:r>
          </w:p>
        </w:tc>
        <w:tc>
          <w:tcPr>
            <w:tcW w:w="850" w:type="dxa"/>
          </w:tcPr>
          <w:p w14:paraId="529C7CBB"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680</w:t>
            </w:r>
          </w:p>
        </w:tc>
        <w:tc>
          <w:tcPr>
            <w:tcW w:w="850" w:type="dxa"/>
            <w:shd w:val="clear" w:color="auto" w:fill="auto"/>
            <w:noWrap/>
            <w:vAlign w:val="bottom"/>
          </w:tcPr>
          <w:p w14:paraId="5869ED1F" w14:textId="77777777" w:rsidR="00F742A4" w:rsidRPr="00790D6A" w:rsidRDefault="00F742A4" w:rsidP="000E6BFE">
            <w:pPr>
              <w:spacing w:after="0"/>
              <w:jc w:val="right"/>
              <w:rPr>
                <w:rFonts w:eastAsia="Times New Roman" w:cs="Times New Roman"/>
                <w:color w:val="000000"/>
                <w:szCs w:val="20"/>
                <w:lang w:eastAsia="en-AU"/>
              </w:rPr>
            </w:pPr>
            <w:r w:rsidRPr="00790D6A">
              <w:rPr>
                <w:rFonts w:eastAsia="Times New Roman" w:cs="Times New Roman"/>
                <w:color w:val="000000"/>
                <w:szCs w:val="20"/>
                <w:lang w:eastAsia="en-AU"/>
              </w:rPr>
              <w:t>0.321</w:t>
            </w:r>
          </w:p>
        </w:tc>
        <w:tc>
          <w:tcPr>
            <w:tcW w:w="993" w:type="dxa"/>
          </w:tcPr>
          <w:p w14:paraId="72BA9A45" w14:textId="77777777" w:rsidR="00F742A4" w:rsidRPr="00790D6A" w:rsidRDefault="00F742A4" w:rsidP="000E6BFE">
            <w:pPr>
              <w:spacing w:after="0"/>
              <w:jc w:val="right"/>
              <w:rPr>
                <w:rFonts w:eastAsia="Times New Roman" w:cs="Times New Roman"/>
                <w:color w:val="000000"/>
                <w:szCs w:val="20"/>
                <w:lang w:eastAsia="en-AU"/>
              </w:rPr>
            </w:pPr>
            <w:r w:rsidRPr="00790D6A">
              <w:rPr>
                <w:rFonts w:eastAsia="Times New Roman" w:cs="Times New Roman"/>
                <w:color w:val="000000"/>
                <w:szCs w:val="20"/>
                <w:lang w:eastAsia="en-AU"/>
              </w:rPr>
              <w:t>0.47</w:t>
            </w:r>
          </w:p>
        </w:tc>
        <w:tc>
          <w:tcPr>
            <w:tcW w:w="709" w:type="dxa"/>
          </w:tcPr>
          <w:p w14:paraId="7BBD4B5D" w14:textId="77777777" w:rsidR="00F742A4" w:rsidRPr="00790D6A" w:rsidRDefault="00F742A4" w:rsidP="000E6BFE">
            <w:pPr>
              <w:spacing w:after="0"/>
              <w:jc w:val="right"/>
              <w:rPr>
                <w:rFonts w:eastAsia="Times New Roman" w:cs="Times New Roman"/>
                <w:color w:val="000000"/>
                <w:szCs w:val="20"/>
                <w:lang w:eastAsia="en-AU"/>
              </w:rPr>
            </w:pPr>
            <w:r w:rsidRPr="00790D6A">
              <w:rPr>
                <w:rFonts w:eastAsia="Times New Roman" w:cs="Times New Roman"/>
                <w:color w:val="000000"/>
                <w:szCs w:val="20"/>
                <w:lang w:eastAsia="en-AU"/>
              </w:rPr>
              <w:t>0</w:t>
            </w:r>
          </w:p>
        </w:tc>
        <w:tc>
          <w:tcPr>
            <w:tcW w:w="708" w:type="dxa"/>
            <w:shd w:val="clear" w:color="auto" w:fill="auto"/>
            <w:noWrap/>
            <w:vAlign w:val="bottom"/>
          </w:tcPr>
          <w:p w14:paraId="28012A32" w14:textId="77777777" w:rsidR="00F742A4" w:rsidRPr="00790D6A" w:rsidRDefault="00F742A4" w:rsidP="000E6BFE">
            <w:pPr>
              <w:spacing w:after="0"/>
              <w:jc w:val="right"/>
              <w:rPr>
                <w:rFonts w:eastAsia="Times New Roman" w:cs="Times New Roman"/>
                <w:color w:val="000000"/>
                <w:szCs w:val="20"/>
                <w:lang w:eastAsia="en-AU"/>
              </w:rPr>
            </w:pPr>
            <w:r w:rsidRPr="00790D6A">
              <w:rPr>
                <w:rFonts w:eastAsia="Times New Roman" w:cs="Times New Roman"/>
                <w:color w:val="000000"/>
                <w:szCs w:val="20"/>
                <w:lang w:eastAsia="en-AU"/>
              </w:rPr>
              <w:t>1</w:t>
            </w:r>
          </w:p>
        </w:tc>
      </w:tr>
      <w:tr w:rsidR="00F742A4" w14:paraId="433A0366" w14:textId="77777777" w:rsidTr="000E6BFE">
        <w:trPr>
          <w:trHeight w:val="60"/>
          <w:jc w:val="center"/>
        </w:trPr>
        <w:tc>
          <w:tcPr>
            <w:tcW w:w="3114" w:type="dxa"/>
            <w:shd w:val="clear" w:color="auto" w:fill="auto"/>
            <w:noWrap/>
            <w:vAlign w:val="bottom"/>
            <w:hideMark/>
          </w:tcPr>
          <w:p w14:paraId="0C9EA164" w14:textId="77777777" w:rsidR="00F742A4" w:rsidRPr="00CF111E" w:rsidRDefault="00F742A4" w:rsidP="000E6BFE">
            <w:pPr>
              <w:spacing w:after="0"/>
              <w:rPr>
                <w:rFonts w:eastAsia="Times New Roman" w:cs="Times New Roman"/>
                <w:color w:val="000000"/>
                <w:szCs w:val="20"/>
                <w:lang w:eastAsia="en-AU"/>
              </w:rPr>
            </w:pPr>
            <w:r w:rsidRPr="00CF111E">
              <w:rPr>
                <w:rFonts w:eastAsia="Times New Roman" w:cs="Times New Roman"/>
                <w:color w:val="000000"/>
                <w:szCs w:val="20"/>
                <w:lang w:eastAsia="en-AU"/>
              </w:rPr>
              <w:t>Indigenous Manager/s</w:t>
            </w:r>
          </w:p>
        </w:tc>
        <w:tc>
          <w:tcPr>
            <w:tcW w:w="850" w:type="dxa"/>
          </w:tcPr>
          <w:p w14:paraId="3CA22B75" w14:textId="77777777" w:rsidR="00F742A4"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680</w:t>
            </w:r>
          </w:p>
        </w:tc>
        <w:tc>
          <w:tcPr>
            <w:tcW w:w="850" w:type="dxa"/>
            <w:shd w:val="clear" w:color="auto" w:fill="auto"/>
            <w:noWrap/>
            <w:hideMark/>
          </w:tcPr>
          <w:p w14:paraId="3469EED6"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0.234</w:t>
            </w:r>
          </w:p>
        </w:tc>
        <w:tc>
          <w:tcPr>
            <w:tcW w:w="993" w:type="dxa"/>
          </w:tcPr>
          <w:p w14:paraId="5EFC5E95" w14:textId="77777777" w:rsidR="00F742A4" w:rsidRPr="00790D6A" w:rsidRDefault="00F742A4" w:rsidP="000E6BFE">
            <w:pPr>
              <w:spacing w:after="0"/>
              <w:jc w:val="right"/>
            </w:pPr>
            <w:r>
              <w:t>0.42</w:t>
            </w:r>
          </w:p>
        </w:tc>
        <w:tc>
          <w:tcPr>
            <w:tcW w:w="709" w:type="dxa"/>
          </w:tcPr>
          <w:p w14:paraId="12C567FA" w14:textId="77777777" w:rsidR="00F742A4" w:rsidRPr="00790D6A" w:rsidRDefault="00F742A4" w:rsidP="000E6BFE">
            <w:pPr>
              <w:spacing w:after="0"/>
              <w:jc w:val="right"/>
            </w:pPr>
            <w:r>
              <w:t>0</w:t>
            </w:r>
          </w:p>
        </w:tc>
        <w:tc>
          <w:tcPr>
            <w:tcW w:w="708" w:type="dxa"/>
            <w:shd w:val="clear" w:color="auto" w:fill="auto"/>
            <w:noWrap/>
            <w:hideMark/>
          </w:tcPr>
          <w:p w14:paraId="3A32A03C"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1</w:t>
            </w:r>
          </w:p>
        </w:tc>
      </w:tr>
      <w:tr w:rsidR="00F742A4" w14:paraId="398627E8" w14:textId="77777777" w:rsidTr="000E6BFE">
        <w:trPr>
          <w:trHeight w:val="55"/>
          <w:jc w:val="center"/>
        </w:trPr>
        <w:tc>
          <w:tcPr>
            <w:tcW w:w="3114" w:type="dxa"/>
            <w:shd w:val="clear" w:color="auto" w:fill="auto"/>
            <w:noWrap/>
            <w:vAlign w:val="bottom"/>
          </w:tcPr>
          <w:p w14:paraId="23A14596" w14:textId="77777777" w:rsidR="00F742A4" w:rsidRPr="00CF111E" w:rsidRDefault="00F742A4" w:rsidP="000E6BFE">
            <w:pPr>
              <w:spacing w:after="0"/>
              <w:rPr>
                <w:rFonts w:eastAsia="Times New Roman" w:cs="Times New Roman"/>
                <w:color w:val="000000"/>
                <w:szCs w:val="20"/>
                <w:lang w:eastAsia="en-AU"/>
              </w:rPr>
            </w:pPr>
            <w:r w:rsidRPr="00CF111E">
              <w:rPr>
                <w:rFonts w:eastAsia="Times New Roman" w:cs="Times New Roman"/>
                <w:color w:val="000000"/>
                <w:szCs w:val="20"/>
                <w:lang w:eastAsia="en-AU"/>
              </w:rPr>
              <w:t>20-199 Business</w:t>
            </w:r>
            <w:r>
              <w:rPr>
                <w:rFonts w:eastAsia="Times New Roman" w:cs="Times New Roman"/>
                <w:color w:val="000000"/>
                <w:szCs w:val="20"/>
                <w:lang w:eastAsia="en-AU"/>
              </w:rPr>
              <w:t>es</w:t>
            </w:r>
          </w:p>
        </w:tc>
        <w:tc>
          <w:tcPr>
            <w:tcW w:w="850" w:type="dxa"/>
          </w:tcPr>
          <w:p w14:paraId="7CF743AF" w14:textId="77777777" w:rsidR="00F742A4" w:rsidRPr="00790D6A" w:rsidRDefault="00F742A4" w:rsidP="000E6BFE">
            <w:pPr>
              <w:spacing w:after="0"/>
              <w:jc w:val="right"/>
              <w:rPr>
                <w:rFonts w:eastAsia="Times New Roman" w:cs="Times New Roman"/>
                <w:color w:val="000000"/>
                <w:szCs w:val="20"/>
                <w:lang w:eastAsia="en-AU"/>
              </w:rPr>
            </w:pPr>
            <w:r>
              <w:rPr>
                <w:rFonts w:eastAsia="Times New Roman" w:cs="Times New Roman"/>
                <w:color w:val="000000"/>
                <w:szCs w:val="20"/>
                <w:lang w:eastAsia="en-AU"/>
              </w:rPr>
              <w:t>680</w:t>
            </w:r>
          </w:p>
        </w:tc>
        <w:tc>
          <w:tcPr>
            <w:tcW w:w="850" w:type="dxa"/>
            <w:tcBorders>
              <w:top w:val="outset" w:sz="6" w:space="0" w:color="auto"/>
              <w:left w:val="outset" w:sz="6" w:space="0" w:color="auto"/>
              <w:bottom w:val="outset" w:sz="6" w:space="0" w:color="auto"/>
              <w:right w:val="outset" w:sz="6" w:space="0" w:color="auto"/>
            </w:tcBorders>
            <w:noWrap/>
            <w:vAlign w:val="center"/>
          </w:tcPr>
          <w:p w14:paraId="34EC999E" w14:textId="77777777" w:rsidR="00F742A4" w:rsidRPr="00790D6A" w:rsidRDefault="00F742A4" w:rsidP="000E6BFE">
            <w:pPr>
              <w:spacing w:after="0"/>
              <w:jc w:val="right"/>
              <w:rPr>
                <w:rFonts w:eastAsia="Times New Roman" w:cs="Times New Roman"/>
                <w:color w:val="000000"/>
                <w:szCs w:val="20"/>
                <w:lang w:eastAsia="en-AU"/>
              </w:rPr>
            </w:pPr>
            <w:r>
              <w:t>0.329</w:t>
            </w:r>
          </w:p>
        </w:tc>
        <w:tc>
          <w:tcPr>
            <w:tcW w:w="993" w:type="dxa"/>
            <w:tcBorders>
              <w:top w:val="outset" w:sz="6" w:space="0" w:color="auto"/>
              <w:left w:val="outset" w:sz="6" w:space="0" w:color="auto"/>
              <w:bottom w:val="outset" w:sz="6" w:space="0" w:color="auto"/>
              <w:right w:val="outset" w:sz="6" w:space="0" w:color="auto"/>
            </w:tcBorders>
            <w:vAlign w:val="center"/>
          </w:tcPr>
          <w:p w14:paraId="73CE24C7" w14:textId="77777777" w:rsidR="00F742A4" w:rsidRPr="00790D6A" w:rsidRDefault="00F742A4" w:rsidP="000E6BFE">
            <w:pPr>
              <w:spacing w:after="0"/>
              <w:jc w:val="right"/>
            </w:pPr>
            <w:r>
              <w:t>0.47</w:t>
            </w:r>
          </w:p>
        </w:tc>
        <w:tc>
          <w:tcPr>
            <w:tcW w:w="709" w:type="dxa"/>
            <w:tcBorders>
              <w:top w:val="outset" w:sz="6" w:space="0" w:color="auto"/>
              <w:left w:val="outset" w:sz="6" w:space="0" w:color="auto"/>
              <w:bottom w:val="outset" w:sz="6" w:space="0" w:color="auto"/>
              <w:right w:val="outset" w:sz="6" w:space="0" w:color="auto"/>
            </w:tcBorders>
            <w:vAlign w:val="center"/>
          </w:tcPr>
          <w:p w14:paraId="4665D317" w14:textId="77777777" w:rsidR="00F742A4" w:rsidRPr="00790D6A" w:rsidRDefault="00F742A4" w:rsidP="000E6BFE">
            <w:pPr>
              <w:spacing w:after="0"/>
              <w:jc w:val="right"/>
            </w:pPr>
            <w:r>
              <w:t>0</w:t>
            </w:r>
          </w:p>
        </w:tc>
        <w:tc>
          <w:tcPr>
            <w:tcW w:w="708" w:type="dxa"/>
            <w:tcBorders>
              <w:top w:val="outset" w:sz="6" w:space="0" w:color="auto"/>
              <w:left w:val="outset" w:sz="6" w:space="0" w:color="auto"/>
              <w:bottom w:val="outset" w:sz="6" w:space="0" w:color="auto"/>
              <w:right w:val="outset" w:sz="6" w:space="0" w:color="auto"/>
            </w:tcBorders>
            <w:noWrap/>
            <w:vAlign w:val="center"/>
          </w:tcPr>
          <w:p w14:paraId="4B5FE94E" w14:textId="77777777" w:rsidR="00F742A4" w:rsidRPr="00790D6A" w:rsidRDefault="00F742A4" w:rsidP="000E6BFE">
            <w:pPr>
              <w:spacing w:after="0"/>
              <w:jc w:val="right"/>
              <w:rPr>
                <w:rFonts w:eastAsia="Times New Roman" w:cs="Times New Roman"/>
                <w:color w:val="000000"/>
                <w:szCs w:val="20"/>
                <w:lang w:eastAsia="en-AU"/>
              </w:rPr>
            </w:pPr>
            <w:r>
              <w:t>1</w:t>
            </w:r>
          </w:p>
        </w:tc>
      </w:tr>
      <w:tr w:rsidR="00F742A4" w14:paraId="5510698E" w14:textId="77777777" w:rsidTr="000E6BFE">
        <w:trPr>
          <w:trHeight w:val="55"/>
          <w:jc w:val="center"/>
        </w:trPr>
        <w:tc>
          <w:tcPr>
            <w:tcW w:w="3114" w:type="dxa"/>
            <w:shd w:val="clear" w:color="auto" w:fill="auto"/>
            <w:noWrap/>
            <w:vAlign w:val="bottom"/>
          </w:tcPr>
          <w:p w14:paraId="6AB5CF90" w14:textId="77777777" w:rsidR="00F742A4" w:rsidRPr="00CF111E" w:rsidRDefault="00F742A4" w:rsidP="000E6BFE">
            <w:pPr>
              <w:spacing w:after="0"/>
              <w:rPr>
                <w:rFonts w:eastAsia="Times New Roman" w:cs="Times New Roman"/>
                <w:color w:val="000000"/>
                <w:szCs w:val="20"/>
                <w:lang w:eastAsia="en-AU"/>
              </w:rPr>
            </w:pPr>
            <w:r w:rsidRPr="00CF111E">
              <w:rPr>
                <w:rFonts w:eastAsia="Times New Roman" w:cs="Times New Roman"/>
                <w:color w:val="000000"/>
                <w:szCs w:val="20"/>
                <w:lang w:eastAsia="en-AU"/>
              </w:rPr>
              <w:t>200+ Businesses</w:t>
            </w:r>
          </w:p>
        </w:tc>
        <w:tc>
          <w:tcPr>
            <w:tcW w:w="850" w:type="dxa"/>
            <w:tcBorders>
              <w:top w:val="outset" w:sz="6" w:space="0" w:color="auto"/>
              <w:left w:val="outset" w:sz="6" w:space="0" w:color="auto"/>
              <w:bottom w:val="outset" w:sz="6" w:space="0" w:color="auto"/>
              <w:right w:val="outset" w:sz="6" w:space="0" w:color="auto"/>
            </w:tcBorders>
            <w:vAlign w:val="center"/>
          </w:tcPr>
          <w:p w14:paraId="5BE8B0CF" w14:textId="77777777" w:rsidR="00F742A4" w:rsidRPr="00790D6A" w:rsidRDefault="00F742A4" w:rsidP="000E6BFE">
            <w:pPr>
              <w:spacing w:after="0"/>
              <w:jc w:val="right"/>
              <w:rPr>
                <w:rFonts w:eastAsia="Times New Roman" w:cs="Times New Roman"/>
                <w:color w:val="000000"/>
                <w:szCs w:val="20"/>
                <w:lang w:eastAsia="en-AU"/>
              </w:rPr>
            </w:pPr>
            <w:r>
              <w:t>680</w:t>
            </w:r>
          </w:p>
        </w:tc>
        <w:tc>
          <w:tcPr>
            <w:tcW w:w="850" w:type="dxa"/>
            <w:tcBorders>
              <w:top w:val="outset" w:sz="6" w:space="0" w:color="auto"/>
              <w:left w:val="outset" w:sz="6" w:space="0" w:color="auto"/>
              <w:bottom w:val="outset" w:sz="6" w:space="0" w:color="auto"/>
              <w:right w:val="outset" w:sz="6" w:space="0" w:color="auto"/>
            </w:tcBorders>
            <w:noWrap/>
            <w:vAlign w:val="center"/>
          </w:tcPr>
          <w:p w14:paraId="08D3EBD0" w14:textId="77777777" w:rsidR="00F742A4" w:rsidRPr="00790D6A" w:rsidRDefault="00F742A4" w:rsidP="000E6BFE">
            <w:pPr>
              <w:spacing w:after="0"/>
              <w:jc w:val="right"/>
              <w:rPr>
                <w:rFonts w:eastAsia="Times New Roman" w:cs="Times New Roman"/>
                <w:color w:val="000000"/>
                <w:szCs w:val="20"/>
                <w:lang w:eastAsia="en-AU"/>
              </w:rPr>
            </w:pPr>
            <w:r>
              <w:t>0.154</w:t>
            </w:r>
          </w:p>
        </w:tc>
        <w:tc>
          <w:tcPr>
            <w:tcW w:w="993" w:type="dxa"/>
            <w:tcBorders>
              <w:top w:val="outset" w:sz="6" w:space="0" w:color="auto"/>
              <w:left w:val="outset" w:sz="6" w:space="0" w:color="auto"/>
              <w:bottom w:val="outset" w:sz="6" w:space="0" w:color="auto"/>
              <w:right w:val="outset" w:sz="6" w:space="0" w:color="auto"/>
            </w:tcBorders>
            <w:vAlign w:val="center"/>
          </w:tcPr>
          <w:p w14:paraId="450A52A5" w14:textId="77777777" w:rsidR="00F742A4" w:rsidRPr="00790D6A" w:rsidRDefault="00F742A4" w:rsidP="000E6BFE">
            <w:pPr>
              <w:spacing w:after="0"/>
              <w:jc w:val="right"/>
            </w:pPr>
            <w:r>
              <w:t>0.36</w:t>
            </w:r>
          </w:p>
        </w:tc>
        <w:tc>
          <w:tcPr>
            <w:tcW w:w="709" w:type="dxa"/>
            <w:tcBorders>
              <w:top w:val="outset" w:sz="6" w:space="0" w:color="auto"/>
              <w:left w:val="outset" w:sz="6" w:space="0" w:color="auto"/>
              <w:bottom w:val="outset" w:sz="6" w:space="0" w:color="auto"/>
              <w:right w:val="outset" w:sz="6" w:space="0" w:color="auto"/>
            </w:tcBorders>
            <w:vAlign w:val="center"/>
          </w:tcPr>
          <w:p w14:paraId="381153BE" w14:textId="77777777" w:rsidR="00F742A4" w:rsidRPr="00790D6A" w:rsidRDefault="00F742A4" w:rsidP="000E6BFE">
            <w:pPr>
              <w:spacing w:after="0"/>
              <w:jc w:val="right"/>
            </w:pPr>
            <w:r>
              <w:t>0</w:t>
            </w:r>
          </w:p>
        </w:tc>
        <w:tc>
          <w:tcPr>
            <w:tcW w:w="708" w:type="dxa"/>
            <w:tcBorders>
              <w:top w:val="outset" w:sz="6" w:space="0" w:color="auto"/>
              <w:left w:val="outset" w:sz="6" w:space="0" w:color="auto"/>
              <w:bottom w:val="outset" w:sz="6" w:space="0" w:color="auto"/>
              <w:right w:val="outset" w:sz="6" w:space="0" w:color="auto"/>
            </w:tcBorders>
            <w:noWrap/>
            <w:vAlign w:val="center"/>
          </w:tcPr>
          <w:p w14:paraId="0BC664A9" w14:textId="77777777" w:rsidR="00F742A4" w:rsidRPr="00790D6A" w:rsidRDefault="00F742A4" w:rsidP="000E6BFE">
            <w:pPr>
              <w:spacing w:after="0"/>
              <w:jc w:val="right"/>
              <w:rPr>
                <w:rFonts w:eastAsia="Times New Roman" w:cs="Times New Roman"/>
                <w:color w:val="000000"/>
                <w:szCs w:val="20"/>
                <w:lang w:eastAsia="en-AU"/>
              </w:rPr>
            </w:pPr>
            <w:r>
              <w:t>1</w:t>
            </w:r>
          </w:p>
        </w:tc>
      </w:tr>
      <w:tr w:rsidR="00F742A4" w14:paraId="05768EDF" w14:textId="77777777" w:rsidTr="000E6BFE">
        <w:trPr>
          <w:trHeight w:val="60"/>
          <w:jc w:val="center"/>
        </w:trPr>
        <w:tc>
          <w:tcPr>
            <w:tcW w:w="3114" w:type="dxa"/>
            <w:shd w:val="clear" w:color="auto" w:fill="auto"/>
            <w:noWrap/>
            <w:vAlign w:val="bottom"/>
          </w:tcPr>
          <w:p w14:paraId="71AE5555" w14:textId="77777777" w:rsidR="00F742A4" w:rsidRPr="00010AB7" w:rsidRDefault="00F742A4" w:rsidP="000E6BFE">
            <w:pPr>
              <w:spacing w:after="0"/>
              <w:rPr>
                <w:rFonts w:eastAsia="Times New Roman" w:cs="Times New Roman"/>
                <w:color w:val="000000"/>
                <w:szCs w:val="20"/>
                <w:lang w:eastAsia="en-AU"/>
              </w:rPr>
            </w:pPr>
            <w:r w:rsidRPr="00010AB7">
              <w:rPr>
                <w:rFonts w:eastAsia="Times New Roman" w:cs="Times New Roman"/>
                <w:color w:val="000000"/>
                <w:szCs w:val="20"/>
                <w:lang w:eastAsia="en-AU"/>
              </w:rPr>
              <w:t>Reconciliation Action Plan</w:t>
            </w:r>
          </w:p>
        </w:tc>
        <w:tc>
          <w:tcPr>
            <w:tcW w:w="850" w:type="dxa"/>
            <w:tcBorders>
              <w:top w:val="outset" w:sz="6" w:space="0" w:color="auto"/>
              <w:left w:val="outset" w:sz="6" w:space="0" w:color="auto"/>
              <w:bottom w:val="outset" w:sz="6" w:space="0" w:color="auto"/>
              <w:right w:val="outset" w:sz="6" w:space="0" w:color="auto"/>
            </w:tcBorders>
            <w:vAlign w:val="center"/>
          </w:tcPr>
          <w:p w14:paraId="480C9B89" w14:textId="77777777" w:rsidR="00F742A4" w:rsidRPr="00010AB7" w:rsidRDefault="00F742A4" w:rsidP="000E6BFE">
            <w:pPr>
              <w:spacing w:after="0"/>
              <w:jc w:val="right"/>
              <w:rPr>
                <w:rFonts w:eastAsia="Times New Roman" w:cs="Times New Roman"/>
                <w:color w:val="000000"/>
                <w:szCs w:val="20"/>
                <w:lang w:eastAsia="en-AU"/>
              </w:rPr>
            </w:pPr>
            <w:r w:rsidRPr="00010AB7">
              <w:t>680</w:t>
            </w:r>
          </w:p>
        </w:tc>
        <w:tc>
          <w:tcPr>
            <w:tcW w:w="850" w:type="dxa"/>
            <w:tcBorders>
              <w:top w:val="outset" w:sz="6" w:space="0" w:color="auto"/>
              <w:left w:val="outset" w:sz="6" w:space="0" w:color="auto"/>
              <w:bottom w:val="outset" w:sz="6" w:space="0" w:color="auto"/>
              <w:right w:val="outset" w:sz="6" w:space="0" w:color="auto"/>
            </w:tcBorders>
            <w:noWrap/>
            <w:vAlign w:val="center"/>
          </w:tcPr>
          <w:p w14:paraId="26B7A1C6" w14:textId="77777777" w:rsidR="00F742A4" w:rsidRPr="00010AB7" w:rsidRDefault="00F742A4" w:rsidP="000E6BFE">
            <w:pPr>
              <w:spacing w:after="0"/>
              <w:jc w:val="right"/>
              <w:rPr>
                <w:rFonts w:eastAsia="Times New Roman" w:cs="Times New Roman"/>
                <w:color w:val="000000"/>
                <w:szCs w:val="20"/>
                <w:lang w:eastAsia="en-AU"/>
              </w:rPr>
            </w:pPr>
            <w:r w:rsidRPr="00010AB7">
              <w:t>0.207</w:t>
            </w:r>
          </w:p>
        </w:tc>
        <w:tc>
          <w:tcPr>
            <w:tcW w:w="993" w:type="dxa"/>
            <w:tcBorders>
              <w:top w:val="outset" w:sz="6" w:space="0" w:color="auto"/>
              <w:left w:val="outset" w:sz="6" w:space="0" w:color="auto"/>
              <w:bottom w:val="outset" w:sz="6" w:space="0" w:color="auto"/>
              <w:right w:val="outset" w:sz="6" w:space="0" w:color="auto"/>
            </w:tcBorders>
            <w:vAlign w:val="center"/>
          </w:tcPr>
          <w:p w14:paraId="6DC5FBF3" w14:textId="77777777" w:rsidR="00F742A4" w:rsidRPr="00010AB7" w:rsidRDefault="00F742A4" w:rsidP="000E6BFE">
            <w:pPr>
              <w:spacing w:after="0"/>
              <w:jc w:val="right"/>
            </w:pPr>
            <w:r w:rsidRPr="00010AB7">
              <w:t>0.41</w:t>
            </w:r>
          </w:p>
        </w:tc>
        <w:tc>
          <w:tcPr>
            <w:tcW w:w="709" w:type="dxa"/>
            <w:tcBorders>
              <w:top w:val="outset" w:sz="6" w:space="0" w:color="auto"/>
              <w:left w:val="outset" w:sz="6" w:space="0" w:color="auto"/>
              <w:bottom w:val="outset" w:sz="6" w:space="0" w:color="auto"/>
              <w:right w:val="outset" w:sz="6" w:space="0" w:color="auto"/>
            </w:tcBorders>
            <w:vAlign w:val="center"/>
          </w:tcPr>
          <w:p w14:paraId="5F5F7D01" w14:textId="77777777" w:rsidR="00F742A4" w:rsidRPr="00010AB7" w:rsidRDefault="00F742A4" w:rsidP="000E6BFE">
            <w:pPr>
              <w:spacing w:after="0"/>
              <w:jc w:val="right"/>
            </w:pPr>
            <w:r w:rsidRPr="00010AB7">
              <w:t>0</w:t>
            </w:r>
          </w:p>
        </w:tc>
        <w:tc>
          <w:tcPr>
            <w:tcW w:w="708" w:type="dxa"/>
            <w:tcBorders>
              <w:top w:val="outset" w:sz="6" w:space="0" w:color="auto"/>
              <w:left w:val="outset" w:sz="6" w:space="0" w:color="auto"/>
              <w:bottom w:val="outset" w:sz="6" w:space="0" w:color="auto"/>
              <w:right w:val="outset" w:sz="6" w:space="0" w:color="auto"/>
            </w:tcBorders>
            <w:noWrap/>
            <w:vAlign w:val="center"/>
          </w:tcPr>
          <w:p w14:paraId="6D4B8692" w14:textId="77777777" w:rsidR="00F742A4" w:rsidRPr="00010AB7" w:rsidRDefault="00F742A4" w:rsidP="000E6BFE">
            <w:pPr>
              <w:spacing w:after="0"/>
              <w:jc w:val="right"/>
              <w:rPr>
                <w:rFonts w:eastAsia="Times New Roman" w:cs="Times New Roman"/>
                <w:color w:val="000000"/>
                <w:szCs w:val="20"/>
                <w:lang w:eastAsia="en-AU"/>
              </w:rPr>
            </w:pPr>
            <w:r w:rsidRPr="00010AB7">
              <w:t>1</w:t>
            </w:r>
          </w:p>
        </w:tc>
      </w:tr>
      <w:tr w:rsidR="00F742A4" w14:paraId="6EB92F2F" w14:textId="77777777" w:rsidTr="000E6BFE">
        <w:trPr>
          <w:trHeight w:val="60"/>
          <w:jc w:val="center"/>
        </w:trPr>
        <w:tc>
          <w:tcPr>
            <w:tcW w:w="3114" w:type="dxa"/>
            <w:shd w:val="clear" w:color="auto" w:fill="auto"/>
            <w:noWrap/>
            <w:vAlign w:val="bottom"/>
          </w:tcPr>
          <w:p w14:paraId="3053AFFE" w14:textId="77777777" w:rsidR="00F742A4" w:rsidRPr="00010AB7" w:rsidRDefault="00F742A4" w:rsidP="000E6BFE">
            <w:pPr>
              <w:spacing w:after="0"/>
              <w:rPr>
                <w:rFonts w:eastAsia="Times New Roman" w:cs="Times New Roman"/>
                <w:color w:val="000000"/>
                <w:szCs w:val="20"/>
                <w:lang w:eastAsia="en-AU"/>
              </w:rPr>
            </w:pPr>
            <w:r w:rsidRPr="00010AB7">
              <w:rPr>
                <w:rFonts w:eastAsia="Times New Roman" w:cs="Times New Roman"/>
                <w:color w:val="000000"/>
                <w:szCs w:val="20"/>
                <w:lang w:eastAsia="en-AU"/>
              </w:rPr>
              <w:t>Cultural Competency Training</w:t>
            </w:r>
          </w:p>
        </w:tc>
        <w:tc>
          <w:tcPr>
            <w:tcW w:w="850" w:type="dxa"/>
            <w:tcBorders>
              <w:top w:val="outset" w:sz="6" w:space="0" w:color="auto"/>
              <w:left w:val="outset" w:sz="6" w:space="0" w:color="auto"/>
              <w:bottom w:val="outset" w:sz="6" w:space="0" w:color="auto"/>
              <w:right w:val="outset" w:sz="6" w:space="0" w:color="auto"/>
            </w:tcBorders>
            <w:vAlign w:val="center"/>
          </w:tcPr>
          <w:p w14:paraId="159378D8" w14:textId="77777777" w:rsidR="00F742A4" w:rsidRPr="00010AB7" w:rsidRDefault="00F742A4" w:rsidP="000E6BFE">
            <w:pPr>
              <w:spacing w:after="0"/>
              <w:jc w:val="right"/>
              <w:rPr>
                <w:rFonts w:eastAsia="Times New Roman" w:cs="Times New Roman"/>
                <w:color w:val="000000"/>
                <w:szCs w:val="20"/>
                <w:lang w:eastAsia="en-AU"/>
              </w:rPr>
            </w:pPr>
            <w:r w:rsidRPr="00010AB7">
              <w:t>680</w:t>
            </w:r>
          </w:p>
        </w:tc>
        <w:tc>
          <w:tcPr>
            <w:tcW w:w="850" w:type="dxa"/>
            <w:tcBorders>
              <w:top w:val="outset" w:sz="6" w:space="0" w:color="auto"/>
              <w:left w:val="outset" w:sz="6" w:space="0" w:color="auto"/>
              <w:bottom w:val="outset" w:sz="6" w:space="0" w:color="auto"/>
              <w:right w:val="outset" w:sz="6" w:space="0" w:color="auto"/>
            </w:tcBorders>
            <w:noWrap/>
            <w:vAlign w:val="center"/>
          </w:tcPr>
          <w:p w14:paraId="558FBA94" w14:textId="77777777" w:rsidR="00F742A4" w:rsidRPr="00010AB7" w:rsidRDefault="00F742A4" w:rsidP="000E6BFE">
            <w:pPr>
              <w:spacing w:after="0"/>
              <w:jc w:val="right"/>
              <w:rPr>
                <w:rFonts w:eastAsia="Times New Roman" w:cs="Times New Roman"/>
                <w:color w:val="000000"/>
                <w:szCs w:val="20"/>
                <w:lang w:eastAsia="en-AU"/>
              </w:rPr>
            </w:pPr>
            <w:r w:rsidRPr="00010AB7">
              <w:t>0.194</w:t>
            </w:r>
          </w:p>
        </w:tc>
        <w:tc>
          <w:tcPr>
            <w:tcW w:w="993" w:type="dxa"/>
            <w:tcBorders>
              <w:top w:val="outset" w:sz="6" w:space="0" w:color="auto"/>
              <w:left w:val="outset" w:sz="6" w:space="0" w:color="auto"/>
              <w:bottom w:val="outset" w:sz="6" w:space="0" w:color="auto"/>
              <w:right w:val="outset" w:sz="6" w:space="0" w:color="auto"/>
            </w:tcBorders>
            <w:vAlign w:val="center"/>
          </w:tcPr>
          <w:p w14:paraId="05F59DE1" w14:textId="77777777" w:rsidR="00F742A4" w:rsidRPr="00010AB7" w:rsidRDefault="00F742A4" w:rsidP="000E6BFE">
            <w:pPr>
              <w:spacing w:after="0"/>
              <w:jc w:val="right"/>
            </w:pPr>
            <w:r w:rsidRPr="00010AB7">
              <w:t>0.40</w:t>
            </w:r>
          </w:p>
        </w:tc>
        <w:tc>
          <w:tcPr>
            <w:tcW w:w="709" w:type="dxa"/>
            <w:tcBorders>
              <w:top w:val="outset" w:sz="6" w:space="0" w:color="auto"/>
              <w:left w:val="outset" w:sz="6" w:space="0" w:color="auto"/>
              <w:bottom w:val="outset" w:sz="6" w:space="0" w:color="auto"/>
              <w:right w:val="outset" w:sz="6" w:space="0" w:color="auto"/>
            </w:tcBorders>
            <w:vAlign w:val="center"/>
          </w:tcPr>
          <w:p w14:paraId="3AB6799C" w14:textId="77777777" w:rsidR="00F742A4" w:rsidRPr="00010AB7" w:rsidRDefault="00F742A4" w:rsidP="000E6BFE">
            <w:pPr>
              <w:spacing w:after="0"/>
              <w:jc w:val="right"/>
            </w:pPr>
            <w:r w:rsidRPr="00010AB7">
              <w:t>0</w:t>
            </w:r>
          </w:p>
        </w:tc>
        <w:tc>
          <w:tcPr>
            <w:tcW w:w="708" w:type="dxa"/>
            <w:tcBorders>
              <w:top w:val="outset" w:sz="6" w:space="0" w:color="auto"/>
              <w:left w:val="outset" w:sz="6" w:space="0" w:color="auto"/>
              <w:bottom w:val="outset" w:sz="6" w:space="0" w:color="auto"/>
              <w:right w:val="outset" w:sz="6" w:space="0" w:color="auto"/>
            </w:tcBorders>
            <w:noWrap/>
            <w:vAlign w:val="center"/>
          </w:tcPr>
          <w:p w14:paraId="05642A58" w14:textId="77777777" w:rsidR="00F742A4" w:rsidRPr="00010AB7" w:rsidRDefault="00F742A4" w:rsidP="000E6BFE">
            <w:pPr>
              <w:spacing w:after="0"/>
              <w:jc w:val="right"/>
              <w:rPr>
                <w:rFonts w:eastAsia="Times New Roman" w:cs="Times New Roman"/>
                <w:color w:val="000000"/>
                <w:szCs w:val="20"/>
                <w:lang w:eastAsia="en-AU"/>
              </w:rPr>
            </w:pPr>
            <w:r w:rsidRPr="00010AB7">
              <w:t>1</w:t>
            </w:r>
          </w:p>
        </w:tc>
      </w:tr>
      <w:tr w:rsidR="00F742A4" w14:paraId="2AA43DD6" w14:textId="77777777" w:rsidTr="000E6BFE">
        <w:trPr>
          <w:trHeight w:val="239"/>
          <w:jc w:val="center"/>
        </w:trPr>
        <w:tc>
          <w:tcPr>
            <w:tcW w:w="3114" w:type="dxa"/>
            <w:shd w:val="clear" w:color="auto" w:fill="auto"/>
            <w:noWrap/>
            <w:vAlign w:val="bottom"/>
          </w:tcPr>
          <w:p w14:paraId="51540746" w14:textId="77777777" w:rsidR="00F742A4" w:rsidRPr="00010AB7" w:rsidRDefault="00F742A4" w:rsidP="000E6BFE">
            <w:pPr>
              <w:spacing w:after="0"/>
              <w:rPr>
                <w:rFonts w:eastAsia="Times New Roman" w:cs="Times New Roman"/>
                <w:color w:val="000000"/>
                <w:szCs w:val="20"/>
                <w:lang w:eastAsia="en-AU"/>
              </w:rPr>
            </w:pPr>
            <w:r w:rsidRPr="00010AB7">
              <w:rPr>
                <w:rFonts w:eastAsia="Times New Roman" w:cs="Times New Roman"/>
                <w:color w:val="000000"/>
                <w:szCs w:val="20"/>
                <w:lang w:eastAsia="en-AU"/>
              </w:rPr>
              <w:t>NAIDOC/Reconciliation Weeks</w:t>
            </w:r>
          </w:p>
        </w:tc>
        <w:tc>
          <w:tcPr>
            <w:tcW w:w="850" w:type="dxa"/>
            <w:tcBorders>
              <w:top w:val="outset" w:sz="6" w:space="0" w:color="auto"/>
              <w:left w:val="outset" w:sz="6" w:space="0" w:color="auto"/>
              <w:bottom w:val="outset" w:sz="6" w:space="0" w:color="auto"/>
              <w:right w:val="outset" w:sz="6" w:space="0" w:color="auto"/>
            </w:tcBorders>
            <w:vAlign w:val="center"/>
          </w:tcPr>
          <w:p w14:paraId="1FA7E32C" w14:textId="77777777" w:rsidR="00F742A4" w:rsidRPr="00010AB7" w:rsidRDefault="00F742A4" w:rsidP="000E6BFE">
            <w:pPr>
              <w:spacing w:after="0"/>
              <w:jc w:val="right"/>
              <w:rPr>
                <w:rFonts w:eastAsia="Times New Roman" w:cs="Times New Roman"/>
                <w:color w:val="000000"/>
                <w:szCs w:val="20"/>
                <w:lang w:eastAsia="en-AU"/>
              </w:rPr>
            </w:pPr>
            <w:r w:rsidRPr="00010AB7">
              <w:t>680</w:t>
            </w:r>
          </w:p>
        </w:tc>
        <w:tc>
          <w:tcPr>
            <w:tcW w:w="850" w:type="dxa"/>
            <w:tcBorders>
              <w:top w:val="outset" w:sz="6" w:space="0" w:color="auto"/>
              <w:left w:val="outset" w:sz="6" w:space="0" w:color="auto"/>
              <w:bottom w:val="outset" w:sz="6" w:space="0" w:color="auto"/>
              <w:right w:val="outset" w:sz="6" w:space="0" w:color="auto"/>
            </w:tcBorders>
            <w:noWrap/>
            <w:vAlign w:val="center"/>
          </w:tcPr>
          <w:p w14:paraId="06C2C131" w14:textId="77777777" w:rsidR="00F742A4" w:rsidRPr="00010AB7" w:rsidRDefault="00F742A4" w:rsidP="000E6BFE">
            <w:pPr>
              <w:spacing w:after="0"/>
              <w:jc w:val="right"/>
              <w:rPr>
                <w:rFonts w:eastAsia="Times New Roman" w:cs="Times New Roman"/>
                <w:color w:val="000000"/>
                <w:szCs w:val="20"/>
                <w:lang w:eastAsia="en-AU"/>
              </w:rPr>
            </w:pPr>
            <w:r w:rsidRPr="00010AB7">
              <w:t>0.322</w:t>
            </w:r>
          </w:p>
        </w:tc>
        <w:tc>
          <w:tcPr>
            <w:tcW w:w="993" w:type="dxa"/>
            <w:tcBorders>
              <w:top w:val="outset" w:sz="6" w:space="0" w:color="auto"/>
              <w:left w:val="outset" w:sz="6" w:space="0" w:color="auto"/>
              <w:bottom w:val="outset" w:sz="6" w:space="0" w:color="auto"/>
              <w:right w:val="outset" w:sz="6" w:space="0" w:color="auto"/>
            </w:tcBorders>
            <w:vAlign w:val="center"/>
          </w:tcPr>
          <w:p w14:paraId="787A1CBC" w14:textId="77777777" w:rsidR="00F742A4" w:rsidRPr="00010AB7" w:rsidRDefault="00F742A4" w:rsidP="000E6BFE">
            <w:pPr>
              <w:spacing w:after="0"/>
              <w:jc w:val="right"/>
            </w:pPr>
            <w:r w:rsidRPr="00010AB7">
              <w:t>0.47</w:t>
            </w:r>
          </w:p>
        </w:tc>
        <w:tc>
          <w:tcPr>
            <w:tcW w:w="709" w:type="dxa"/>
            <w:tcBorders>
              <w:top w:val="outset" w:sz="6" w:space="0" w:color="auto"/>
              <w:left w:val="outset" w:sz="6" w:space="0" w:color="auto"/>
              <w:bottom w:val="outset" w:sz="6" w:space="0" w:color="auto"/>
              <w:right w:val="outset" w:sz="6" w:space="0" w:color="auto"/>
            </w:tcBorders>
            <w:vAlign w:val="center"/>
          </w:tcPr>
          <w:p w14:paraId="7FAD5161" w14:textId="77777777" w:rsidR="00F742A4" w:rsidRPr="00010AB7" w:rsidRDefault="00F742A4" w:rsidP="000E6BFE">
            <w:pPr>
              <w:spacing w:after="0"/>
              <w:jc w:val="right"/>
            </w:pPr>
            <w:r w:rsidRPr="00010AB7">
              <w:t>0</w:t>
            </w:r>
          </w:p>
        </w:tc>
        <w:tc>
          <w:tcPr>
            <w:tcW w:w="708" w:type="dxa"/>
            <w:tcBorders>
              <w:top w:val="outset" w:sz="6" w:space="0" w:color="auto"/>
              <w:left w:val="outset" w:sz="6" w:space="0" w:color="auto"/>
              <w:bottom w:val="outset" w:sz="6" w:space="0" w:color="auto"/>
              <w:right w:val="outset" w:sz="6" w:space="0" w:color="auto"/>
            </w:tcBorders>
            <w:noWrap/>
            <w:vAlign w:val="center"/>
          </w:tcPr>
          <w:p w14:paraId="3717E475" w14:textId="77777777" w:rsidR="00F742A4" w:rsidRPr="00010AB7" w:rsidRDefault="00F742A4" w:rsidP="000E6BFE">
            <w:pPr>
              <w:spacing w:after="0"/>
              <w:jc w:val="right"/>
              <w:rPr>
                <w:rFonts w:eastAsia="Times New Roman" w:cs="Times New Roman"/>
                <w:color w:val="000000"/>
                <w:szCs w:val="20"/>
                <w:lang w:eastAsia="en-AU"/>
              </w:rPr>
            </w:pPr>
            <w:r w:rsidRPr="00010AB7">
              <w:t>1</w:t>
            </w:r>
          </w:p>
        </w:tc>
      </w:tr>
      <w:tr w:rsidR="00F742A4" w14:paraId="22EE2E75" w14:textId="77777777" w:rsidTr="000E6BFE">
        <w:trPr>
          <w:trHeight w:val="239"/>
          <w:jc w:val="center"/>
        </w:trPr>
        <w:tc>
          <w:tcPr>
            <w:tcW w:w="3114" w:type="dxa"/>
            <w:shd w:val="clear" w:color="auto" w:fill="auto"/>
            <w:noWrap/>
            <w:vAlign w:val="bottom"/>
          </w:tcPr>
          <w:p w14:paraId="79E512B4" w14:textId="77777777" w:rsidR="00F742A4" w:rsidRPr="00010AB7" w:rsidRDefault="00F742A4" w:rsidP="000E6BFE">
            <w:pPr>
              <w:spacing w:after="0"/>
              <w:rPr>
                <w:rFonts w:eastAsia="Times New Roman" w:cs="Times New Roman"/>
                <w:color w:val="000000"/>
                <w:szCs w:val="20"/>
                <w:lang w:eastAsia="en-AU"/>
              </w:rPr>
            </w:pPr>
            <w:r w:rsidRPr="00010AB7">
              <w:rPr>
                <w:rFonts w:eastAsia="Times New Roman" w:cs="Times New Roman"/>
                <w:color w:val="000000"/>
                <w:szCs w:val="20"/>
                <w:lang w:eastAsia="en-AU"/>
              </w:rPr>
              <w:t>Indigenous Policy Bundle</w:t>
            </w:r>
          </w:p>
        </w:tc>
        <w:tc>
          <w:tcPr>
            <w:tcW w:w="850" w:type="dxa"/>
            <w:tcBorders>
              <w:top w:val="outset" w:sz="6" w:space="0" w:color="auto"/>
              <w:left w:val="outset" w:sz="6" w:space="0" w:color="auto"/>
              <w:bottom w:val="outset" w:sz="6" w:space="0" w:color="auto"/>
              <w:right w:val="outset" w:sz="6" w:space="0" w:color="auto"/>
            </w:tcBorders>
            <w:vAlign w:val="center"/>
          </w:tcPr>
          <w:p w14:paraId="640B8D08" w14:textId="77777777" w:rsidR="00F742A4" w:rsidRPr="00010AB7" w:rsidRDefault="00F742A4" w:rsidP="000E6BFE">
            <w:pPr>
              <w:spacing w:after="0"/>
              <w:jc w:val="right"/>
            </w:pPr>
            <w:r w:rsidRPr="00010AB7">
              <w:t>680</w:t>
            </w:r>
          </w:p>
        </w:tc>
        <w:tc>
          <w:tcPr>
            <w:tcW w:w="850" w:type="dxa"/>
            <w:tcBorders>
              <w:top w:val="outset" w:sz="6" w:space="0" w:color="auto"/>
              <w:left w:val="outset" w:sz="6" w:space="0" w:color="auto"/>
              <w:bottom w:val="outset" w:sz="6" w:space="0" w:color="auto"/>
              <w:right w:val="outset" w:sz="6" w:space="0" w:color="auto"/>
            </w:tcBorders>
            <w:noWrap/>
            <w:vAlign w:val="center"/>
          </w:tcPr>
          <w:p w14:paraId="2A2E5FAC" w14:textId="77777777" w:rsidR="00F742A4" w:rsidRPr="00010AB7" w:rsidRDefault="00F742A4" w:rsidP="000E6BFE">
            <w:pPr>
              <w:spacing w:after="0"/>
              <w:jc w:val="right"/>
            </w:pPr>
            <w:r w:rsidRPr="00010AB7">
              <w:t>0.100</w:t>
            </w:r>
          </w:p>
        </w:tc>
        <w:tc>
          <w:tcPr>
            <w:tcW w:w="993" w:type="dxa"/>
            <w:tcBorders>
              <w:top w:val="outset" w:sz="6" w:space="0" w:color="auto"/>
              <w:left w:val="outset" w:sz="6" w:space="0" w:color="auto"/>
              <w:bottom w:val="outset" w:sz="6" w:space="0" w:color="auto"/>
              <w:right w:val="outset" w:sz="6" w:space="0" w:color="auto"/>
            </w:tcBorders>
            <w:vAlign w:val="center"/>
          </w:tcPr>
          <w:p w14:paraId="50191550" w14:textId="77777777" w:rsidR="00F742A4" w:rsidRPr="00010AB7" w:rsidRDefault="00F742A4" w:rsidP="000E6BFE">
            <w:pPr>
              <w:spacing w:after="0"/>
              <w:jc w:val="right"/>
            </w:pPr>
            <w:r w:rsidRPr="00010AB7">
              <w:t>0.30</w:t>
            </w:r>
          </w:p>
        </w:tc>
        <w:tc>
          <w:tcPr>
            <w:tcW w:w="709" w:type="dxa"/>
            <w:tcBorders>
              <w:top w:val="outset" w:sz="6" w:space="0" w:color="auto"/>
              <w:left w:val="outset" w:sz="6" w:space="0" w:color="auto"/>
              <w:bottom w:val="outset" w:sz="6" w:space="0" w:color="auto"/>
              <w:right w:val="outset" w:sz="6" w:space="0" w:color="auto"/>
            </w:tcBorders>
            <w:vAlign w:val="center"/>
          </w:tcPr>
          <w:p w14:paraId="6D537101" w14:textId="77777777" w:rsidR="00F742A4" w:rsidRPr="00010AB7" w:rsidRDefault="00F742A4" w:rsidP="000E6BFE">
            <w:pPr>
              <w:spacing w:after="0"/>
              <w:jc w:val="right"/>
            </w:pPr>
            <w:r w:rsidRPr="00010AB7">
              <w:t>0</w:t>
            </w:r>
          </w:p>
        </w:tc>
        <w:tc>
          <w:tcPr>
            <w:tcW w:w="708" w:type="dxa"/>
            <w:tcBorders>
              <w:top w:val="outset" w:sz="6" w:space="0" w:color="auto"/>
              <w:left w:val="outset" w:sz="6" w:space="0" w:color="auto"/>
              <w:bottom w:val="outset" w:sz="6" w:space="0" w:color="auto"/>
              <w:right w:val="outset" w:sz="6" w:space="0" w:color="auto"/>
            </w:tcBorders>
            <w:noWrap/>
            <w:vAlign w:val="center"/>
          </w:tcPr>
          <w:p w14:paraId="3523367D" w14:textId="77777777" w:rsidR="00F742A4" w:rsidRPr="00010AB7" w:rsidRDefault="00F742A4" w:rsidP="000E6BFE">
            <w:pPr>
              <w:spacing w:after="0"/>
              <w:jc w:val="right"/>
            </w:pPr>
            <w:r w:rsidRPr="00010AB7">
              <w:t>1</w:t>
            </w:r>
          </w:p>
        </w:tc>
      </w:tr>
      <w:tr w:rsidR="00F742A4" w14:paraId="555FE694" w14:textId="77777777" w:rsidTr="000E6BFE">
        <w:trPr>
          <w:trHeight w:val="239"/>
          <w:jc w:val="center"/>
        </w:trPr>
        <w:tc>
          <w:tcPr>
            <w:tcW w:w="3114" w:type="dxa"/>
            <w:shd w:val="clear" w:color="auto" w:fill="auto"/>
            <w:noWrap/>
            <w:vAlign w:val="bottom"/>
            <w:hideMark/>
          </w:tcPr>
          <w:p w14:paraId="2678F833" w14:textId="77777777" w:rsidR="00F742A4" w:rsidRPr="00010AB7" w:rsidRDefault="00F742A4" w:rsidP="000E6BFE">
            <w:pPr>
              <w:spacing w:after="0"/>
              <w:rPr>
                <w:rFonts w:eastAsia="Times New Roman" w:cs="Times New Roman"/>
                <w:color w:val="000000"/>
                <w:szCs w:val="20"/>
                <w:lang w:eastAsia="en-AU"/>
              </w:rPr>
            </w:pPr>
            <w:r w:rsidRPr="00010AB7">
              <w:rPr>
                <w:rFonts w:eastAsia="Times New Roman" w:cs="Times New Roman"/>
                <w:color w:val="000000"/>
                <w:szCs w:val="20"/>
                <w:lang w:eastAsia="en-AU"/>
              </w:rPr>
              <w:t>Regional</w:t>
            </w:r>
          </w:p>
        </w:tc>
        <w:tc>
          <w:tcPr>
            <w:tcW w:w="850" w:type="dxa"/>
            <w:tcBorders>
              <w:top w:val="outset" w:sz="6" w:space="0" w:color="auto"/>
              <w:left w:val="outset" w:sz="6" w:space="0" w:color="auto"/>
              <w:bottom w:val="outset" w:sz="6" w:space="0" w:color="auto"/>
              <w:right w:val="outset" w:sz="6" w:space="0" w:color="auto"/>
            </w:tcBorders>
            <w:vAlign w:val="center"/>
          </w:tcPr>
          <w:p w14:paraId="09D69120" w14:textId="77777777" w:rsidR="00F742A4" w:rsidRPr="00010AB7" w:rsidRDefault="00F742A4" w:rsidP="000E6BFE">
            <w:pPr>
              <w:spacing w:after="0"/>
              <w:jc w:val="right"/>
              <w:rPr>
                <w:rFonts w:eastAsia="Times New Roman" w:cs="Times New Roman"/>
                <w:color w:val="000000"/>
                <w:szCs w:val="20"/>
                <w:lang w:eastAsia="en-AU"/>
              </w:rPr>
            </w:pPr>
            <w:r w:rsidRPr="00010AB7">
              <w:t>680</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078A2EE0" w14:textId="77777777" w:rsidR="00F742A4" w:rsidRPr="00010AB7" w:rsidRDefault="00F742A4" w:rsidP="000E6BFE">
            <w:pPr>
              <w:spacing w:after="0"/>
              <w:jc w:val="right"/>
              <w:rPr>
                <w:rFonts w:eastAsia="Times New Roman" w:cs="Times New Roman"/>
                <w:color w:val="000000"/>
                <w:szCs w:val="20"/>
                <w:lang w:eastAsia="en-AU"/>
              </w:rPr>
            </w:pPr>
            <w:r w:rsidRPr="00010AB7">
              <w:t>0.316</w:t>
            </w:r>
          </w:p>
        </w:tc>
        <w:tc>
          <w:tcPr>
            <w:tcW w:w="993" w:type="dxa"/>
            <w:tcBorders>
              <w:top w:val="outset" w:sz="6" w:space="0" w:color="auto"/>
              <w:left w:val="outset" w:sz="6" w:space="0" w:color="auto"/>
              <w:bottom w:val="outset" w:sz="6" w:space="0" w:color="auto"/>
              <w:right w:val="outset" w:sz="6" w:space="0" w:color="auto"/>
            </w:tcBorders>
            <w:vAlign w:val="center"/>
          </w:tcPr>
          <w:p w14:paraId="5B350E55" w14:textId="77777777" w:rsidR="00F742A4" w:rsidRPr="00010AB7" w:rsidRDefault="00F742A4" w:rsidP="000E6BFE">
            <w:pPr>
              <w:spacing w:after="0"/>
              <w:jc w:val="right"/>
            </w:pPr>
            <w:r w:rsidRPr="00010AB7">
              <w:t>0.47</w:t>
            </w:r>
          </w:p>
        </w:tc>
        <w:tc>
          <w:tcPr>
            <w:tcW w:w="709" w:type="dxa"/>
            <w:tcBorders>
              <w:top w:val="outset" w:sz="6" w:space="0" w:color="auto"/>
              <w:left w:val="outset" w:sz="6" w:space="0" w:color="auto"/>
              <w:bottom w:val="outset" w:sz="6" w:space="0" w:color="auto"/>
              <w:right w:val="outset" w:sz="6" w:space="0" w:color="auto"/>
            </w:tcBorders>
            <w:vAlign w:val="center"/>
          </w:tcPr>
          <w:p w14:paraId="1D73AD3F" w14:textId="77777777" w:rsidR="00F742A4" w:rsidRPr="00010AB7" w:rsidRDefault="00F742A4" w:rsidP="000E6BFE">
            <w:pPr>
              <w:spacing w:after="0"/>
              <w:jc w:val="right"/>
            </w:pPr>
            <w:r w:rsidRPr="00010AB7">
              <w:t>0</w:t>
            </w:r>
          </w:p>
        </w:tc>
        <w:tc>
          <w:tcPr>
            <w:tcW w:w="708" w:type="dxa"/>
            <w:tcBorders>
              <w:top w:val="outset" w:sz="6" w:space="0" w:color="auto"/>
              <w:left w:val="outset" w:sz="6" w:space="0" w:color="auto"/>
              <w:bottom w:val="outset" w:sz="6" w:space="0" w:color="auto"/>
              <w:right w:val="outset" w:sz="6" w:space="0" w:color="auto"/>
            </w:tcBorders>
            <w:noWrap/>
            <w:vAlign w:val="center"/>
            <w:hideMark/>
          </w:tcPr>
          <w:p w14:paraId="79C9FF9B" w14:textId="77777777" w:rsidR="00F742A4" w:rsidRPr="00010AB7" w:rsidRDefault="00F742A4" w:rsidP="000E6BFE">
            <w:pPr>
              <w:spacing w:after="0"/>
              <w:jc w:val="right"/>
              <w:rPr>
                <w:rFonts w:eastAsia="Times New Roman" w:cs="Times New Roman"/>
                <w:color w:val="000000"/>
                <w:szCs w:val="20"/>
                <w:lang w:eastAsia="en-AU"/>
              </w:rPr>
            </w:pPr>
            <w:r w:rsidRPr="00010AB7">
              <w:t>1</w:t>
            </w:r>
          </w:p>
        </w:tc>
      </w:tr>
      <w:tr w:rsidR="00F742A4" w14:paraId="271181D9" w14:textId="77777777" w:rsidTr="000E6BFE">
        <w:trPr>
          <w:trHeight w:val="60"/>
          <w:jc w:val="center"/>
        </w:trPr>
        <w:tc>
          <w:tcPr>
            <w:tcW w:w="3114" w:type="dxa"/>
            <w:shd w:val="clear" w:color="auto" w:fill="auto"/>
            <w:noWrap/>
            <w:vAlign w:val="bottom"/>
            <w:hideMark/>
          </w:tcPr>
          <w:p w14:paraId="5B1D8C9D" w14:textId="77777777" w:rsidR="00F742A4" w:rsidRPr="00010AB7" w:rsidRDefault="00F742A4" w:rsidP="000E6BFE">
            <w:pPr>
              <w:spacing w:after="0"/>
              <w:rPr>
                <w:rFonts w:eastAsia="Times New Roman" w:cs="Times New Roman"/>
                <w:color w:val="000000"/>
                <w:szCs w:val="20"/>
                <w:lang w:eastAsia="en-AU"/>
              </w:rPr>
            </w:pPr>
            <w:r w:rsidRPr="00010AB7">
              <w:rPr>
                <w:rFonts w:eastAsia="Times New Roman" w:cs="Times New Roman"/>
                <w:color w:val="000000"/>
                <w:szCs w:val="20"/>
                <w:lang w:eastAsia="en-AU"/>
              </w:rPr>
              <w:t>Remote</w:t>
            </w:r>
          </w:p>
        </w:tc>
        <w:tc>
          <w:tcPr>
            <w:tcW w:w="850" w:type="dxa"/>
            <w:tcBorders>
              <w:top w:val="outset" w:sz="6" w:space="0" w:color="auto"/>
              <w:left w:val="outset" w:sz="6" w:space="0" w:color="auto"/>
              <w:bottom w:val="outset" w:sz="6" w:space="0" w:color="auto"/>
              <w:right w:val="outset" w:sz="6" w:space="0" w:color="auto"/>
            </w:tcBorders>
            <w:vAlign w:val="center"/>
          </w:tcPr>
          <w:p w14:paraId="17A83C81" w14:textId="77777777" w:rsidR="00F742A4" w:rsidRPr="00010AB7" w:rsidRDefault="00F742A4" w:rsidP="000E6BFE">
            <w:pPr>
              <w:spacing w:after="0"/>
              <w:jc w:val="right"/>
              <w:rPr>
                <w:rFonts w:eastAsia="Times New Roman" w:cs="Times New Roman"/>
                <w:color w:val="000000"/>
                <w:szCs w:val="20"/>
                <w:lang w:eastAsia="en-AU"/>
              </w:rPr>
            </w:pPr>
            <w:r w:rsidRPr="00010AB7">
              <w:t>680</w:t>
            </w:r>
          </w:p>
        </w:tc>
        <w:tc>
          <w:tcPr>
            <w:tcW w:w="850" w:type="dxa"/>
            <w:tcBorders>
              <w:top w:val="outset" w:sz="6" w:space="0" w:color="auto"/>
              <w:left w:val="outset" w:sz="6" w:space="0" w:color="auto"/>
              <w:bottom w:val="outset" w:sz="6" w:space="0" w:color="auto"/>
              <w:right w:val="outset" w:sz="6" w:space="0" w:color="auto"/>
            </w:tcBorders>
            <w:noWrap/>
            <w:vAlign w:val="center"/>
            <w:hideMark/>
          </w:tcPr>
          <w:p w14:paraId="2C25CFB2" w14:textId="77777777" w:rsidR="00F742A4" w:rsidRPr="00010AB7" w:rsidRDefault="00F742A4" w:rsidP="000E6BFE">
            <w:pPr>
              <w:spacing w:after="0"/>
              <w:jc w:val="right"/>
              <w:rPr>
                <w:rFonts w:eastAsia="Times New Roman" w:cs="Times New Roman"/>
                <w:color w:val="000000"/>
                <w:szCs w:val="20"/>
                <w:lang w:eastAsia="en-AU"/>
              </w:rPr>
            </w:pPr>
            <w:r w:rsidRPr="00010AB7">
              <w:t>0.046</w:t>
            </w:r>
          </w:p>
        </w:tc>
        <w:tc>
          <w:tcPr>
            <w:tcW w:w="993" w:type="dxa"/>
            <w:tcBorders>
              <w:top w:val="outset" w:sz="6" w:space="0" w:color="auto"/>
              <w:left w:val="outset" w:sz="6" w:space="0" w:color="auto"/>
              <w:bottom w:val="outset" w:sz="6" w:space="0" w:color="auto"/>
              <w:right w:val="outset" w:sz="6" w:space="0" w:color="auto"/>
            </w:tcBorders>
            <w:vAlign w:val="center"/>
          </w:tcPr>
          <w:p w14:paraId="419DA74C" w14:textId="77777777" w:rsidR="00F742A4" w:rsidRPr="00010AB7" w:rsidRDefault="00F742A4" w:rsidP="000E6BFE">
            <w:pPr>
              <w:spacing w:after="0"/>
              <w:jc w:val="right"/>
            </w:pPr>
            <w:r w:rsidRPr="00010AB7">
              <w:t>0.21</w:t>
            </w:r>
          </w:p>
        </w:tc>
        <w:tc>
          <w:tcPr>
            <w:tcW w:w="709" w:type="dxa"/>
            <w:tcBorders>
              <w:top w:val="outset" w:sz="6" w:space="0" w:color="auto"/>
              <w:left w:val="outset" w:sz="6" w:space="0" w:color="auto"/>
              <w:bottom w:val="outset" w:sz="6" w:space="0" w:color="auto"/>
              <w:right w:val="outset" w:sz="6" w:space="0" w:color="auto"/>
            </w:tcBorders>
            <w:vAlign w:val="center"/>
          </w:tcPr>
          <w:p w14:paraId="5827DAF6" w14:textId="77777777" w:rsidR="00F742A4" w:rsidRPr="00010AB7" w:rsidRDefault="00F742A4" w:rsidP="000E6BFE">
            <w:pPr>
              <w:spacing w:after="0"/>
              <w:jc w:val="right"/>
            </w:pPr>
            <w:r w:rsidRPr="00010AB7">
              <w:t>0</w:t>
            </w:r>
          </w:p>
        </w:tc>
        <w:tc>
          <w:tcPr>
            <w:tcW w:w="708" w:type="dxa"/>
            <w:tcBorders>
              <w:top w:val="outset" w:sz="6" w:space="0" w:color="auto"/>
              <w:left w:val="outset" w:sz="6" w:space="0" w:color="auto"/>
              <w:bottom w:val="outset" w:sz="6" w:space="0" w:color="auto"/>
              <w:right w:val="outset" w:sz="6" w:space="0" w:color="auto"/>
            </w:tcBorders>
            <w:noWrap/>
            <w:vAlign w:val="center"/>
            <w:hideMark/>
          </w:tcPr>
          <w:p w14:paraId="0C07ECBB" w14:textId="77777777" w:rsidR="00F742A4" w:rsidRPr="00010AB7" w:rsidRDefault="00F742A4" w:rsidP="000E6BFE">
            <w:pPr>
              <w:spacing w:after="0"/>
              <w:jc w:val="right"/>
              <w:rPr>
                <w:rFonts w:eastAsia="Times New Roman" w:cs="Times New Roman"/>
                <w:color w:val="000000"/>
                <w:szCs w:val="20"/>
                <w:lang w:eastAsia="en-AU"/>
              </w:rPr>
            </w:pPr>
            <w:r w:rsidRPr="00010AB7">
              <w:t>1</w:t>
            </w:r>
          </w:p>
        </w:tc>
      </w:tr>
    </w:tbl>
    <w:p w14:paraId="65AF3959" w14:textId="77777777" w:rsidR="00F742A4" w:rsidRPr="00010AB7" w:rsidRDefault="00F742A4" w:rsidP="00F742A4">
      <w:pPr>
        <w:spacing w:line="360" w:lineRule="auto"/>
        <w:rPr>
          <w:rFonts w:cs="Times New Roman"/>
          <w:szCs w:val="20"/>
        </w:rPr>
      </w:pPr>
    </w:p>
    <w:p w14:paraId="0E37EB2B" w14:textId="05BB5B47" w:rsidR="00F742A4" w:rsidRDefault="00F742A4" w:rsidP="00F742A4">
      <w:pPr>
        <w:spacing w:line="360" w:lineRule="auto"/>
        <w:rPr>
          <w:rFonts w:cs="Times New Roman"/>
        </w:rPr>
      </w:pPr>
      <w:r w:rsidRPr="00010AB7">
        <w:rPr>
          <w:rFonts w:cs="Times New Roman"/>
        </w:rPr>
        <w:t xml:space="preserve">Table A2 presents the output from the probit regression model that allowed for the probability estimates presented in Table 4. Table A2 shows that the strongest statistically significant positive correlation with the likelihood of having 3.8% or more Indigenous employment is the presence of Indigenous management in the business </w:t>
      </w:r>
      <w:r w:rsidRPr="00010AB7">
        <w:rPr>
          <w:rFonts w:eastAsia="Times New Roman" w:cs="Times New Roman"/>
          <w:iCs/>
          <w:color w:val="000000"/>
          <w:lang w:eastAsia="en-AU"/>
        </w:rPr>
        <w:t>(</w:t>
      </w:r>
      <m:oMath>
        <m:acc>
          <m:accPr>
            <m:ctrlPr>
              <w:rPr>
                <w:rFonts w:ascii="Cambria Math" w:hAnsi="Cambria Math" w:cs="Times New Roman"/>
                <w:iCs/>
              </w:rPr>
            </m:ctrlPr>
          </m:accPr>
          <m:e>
            <m:r>
              <m:rPr>
                <m:sty m:val="p"/>
              </m:rPr>
              <w:rPr>
                <w:rFonts w:ascii="Cambria Math" w:hAnsi="Cambria Math" w:cs="Times New Roman"/>
              </w:rPr>
              <m:t>β</m:t>
            </m:r>
          </m:e>
        </m:acc>
      </m:oMath>
      <w:r w:rsidRPr="00010AB7">
        <w:rPr>
          <w:rFonts w:cs="Times New Roman"/>
          <w:iCs/>
        </w:rPr>
        <w:t xml:space="preserve"> </w:t>
      </w:r>
      <w:r w:rsidRPr="00010AB7">
        <w:rPr>
          <w:rFonts w:eastAsia="Times New Roman" w:cs="Times New Roman"/>
          <w:iCs/>
          <w:color w:val="000000"/>
          <w:lang w:eastAsia="en-AU"/>
        </w:rPr>
        <w:t>= 1</w:t>
      </w:r>
      <w:r>
        <w:rPr>
          <w:rFonts w:eastAsia="Times New Roman" w:cs="Times New Roman"/>
          <w:iCs/>
          <w:color w:val="000000"/>
          <w:lang w:eastAsia="en-AU"/>
        </w:rPr>
        <w:t>.65</w:t>
      </w:r>
      <w:r w:rsidRPr="000C1F0C">
        <w:rPr>
          <w:rFonts w:cs="Times New Roman"/>
        </w:rPr>
        <w:t xml:space="preserve">, </w:t>
      </w:r>
      <w:r w:rsidRPr="000C1F0C">
        <w:rPr>
          <w:rFonts w:cs="Times New Roman"/>
          <w:iCs/>
        </w:rPr>
        <w:t xml:space="preserve">p </w:t>
      </w:r>
      <w:r w:rsidRPr="000C1F0C">
        <w:rPr>
          <w:rFonts w:cs="Times New Roman"/>
        </w:rPr>
        <w:t>&lt; .05</w:t>
      </w:r>
      <w:r>
        <w:rPr>
          <w:rFonts w:cs="Times New Roman"/>
        </w:rPr>
        <w:t xml:space="preserve">). The size of the business is the only other factor that produces statistically significant findings, with businesses of 20-199 employees demonstrating a positive correlation </w:t>
      </w:r>
      <w:r w:rsidRPr="0043658B">
        <w:rPr>
          <w:rFonts w:eastAsia="Times New Roman" w:cs="Times New Roman"/>
          <w:iCs/>
          <w:color w:val="000000"/>
          <w:lang w:eastAsia="en-AU"/>
        </w:rPr>
        <w:t>(</w:t>
      </w:r>
      <m:oMath>
        <m:acc>
          <m:accPr>
            <m:ctrlPr>
              <w:rPr>
                <w:rFonts w:ascii="Cambria Math" w:hAnsi="Cambria Math" w:cs="Times New Roman"/>
                <w:iCs/>
              </w:rPr>
            </m:ctrlPr>
          </m:accPr>
          <m:e>
            <m:r>
              <m:rPr>
                <m:sty m:val="p"/>
              </m:rPr>
              <w:rPr>
                <w:rFonts w:ascii="Cambria Math" w:hAnsi="Cambria Math" w:cs="Times New Roman"/>
              </w:rPr>
              <m:t>β</m:t>
            </m:r>
          </m:e>
        </m:acc>
      </m:oMath>
      <w:r w:rsidRPr="000C1F0C">
        <w:rPr>
          <w:rFonts w:cs="Times New Roman"/>
          <w:iCs/>
        </w:rPr>
        <w:t xml:space="preserve"> </w:t>
      </w:r>
      <w:r w:rsidRPr="000C1F0C">
        <w:rPr>
          <w:rFonts w:eastAsia="Times New Roman" w:cs="Times New Roman"/>
          <w:iCs/>
          <w:color w:val="000000"/>
          <w:lang w:eastAsia="en-AU"/>
        </w:rPr>
        <w:t xml:space="preserve">= </w:t>
      </w:r>
      <w:r>
        <w:rPr>
          <w:rFonts w:cs="Times New Roman"/>
        </w:rPr>
        <w:t>0.35, p</w:t>
      </w:r>
      <w:r w:rsidRPr="000C1F0C">
        <w:rPr>
          <w:rFonts w:cs="Times New Roman"/>
          <w:iCs/>
        </w:rPr>
        <w:t xml:space="preserve"> </w:t>
      </w:r>
      <w:r w:rsidRPr="000C1F0C">
        <w:rPr>
          <w:rFonts w:cs="Times New Roman"/>
        </w:rPr>
        <w:t>&lt; .05</w:t>
      </w:r>
      <w:r>
        <w:rPr>
          <w:rFonts w:cs="Times New Roman"/>
        </w:rPr>
        <w:t xml:space="preserve">) with the dependent variable. Businesses of 200 or more employees had a weak negative correlation with the likelihood of maintaining 3.8% or more Indigenous employment </w:t>
      </w:r>
      <w:r w:rsidRPr="0043658B">
        <w:rPr>
          <w:rFonts w:eastAsia="Times New Roman" w:cs="Times New Roman"/>
          <w:iCs/>
          <w:color w:val="000000"/>
          <w:lang w:eastAsia="en-AU"/>
        </w:rPr>
        <w:t>(</w:t>
      </w:r>
      <m:oMath>
        <m:acc>
          <m:accPr>
            <m:ctrlPr>
              <w:rPr>
                <w:rFonts w:ascii="Cambria Math" w:hAnsi="Cambria Math" w:cs="Times New Roman"/>
                <w:iCs/>
              </w:rPr>
            </m:ctrlPr>
          </m:accPr>
          <m:e>
            <m:r>
              <m:rPr>
                <m:sty m:val="p"/>
              </m:rPr>
              <w:rPr>
                <w:rFonts w:ascii="Cambria Math" w:hAnsi="Cambria Math" w:cs="Times New Roman"/>
              </w:rPr>
              <m:t>β</m:t>
            </m:r>
          </m:e>
        </m:acc>
      </m:oMath>
      <w:r w:rsidRPr="000C1F0C">
        <w:rPr>
          <w:rFonts w:cs="Times New Roman"/>
          <w:iCs/>
        </w:rPr>
        <w:t xml:space="preserve"> </w:t>
      </w:r>
      <w:r w:rsidRPr="00A31C29">
        <w:rPr>
          <w:rFonts w:cs="Times New Roman"/>
        </w:rPr>
        <w:t xml:space="preserve">= </w:t>
      </w:r>
      <w:r>
        <w:rPr>
          <w:rFonts w:cs="Times New Roman"/>
        </w:rPr>
        <w:t>-0.61, p</w:t>
      </w:r>
      <w:r w:rsidRPr="000C1F0C">
        <w:rPr>
          <w:rFonts w:cs="Times New Roman"/>
          <w:iCs/>
        </w:rPr>
        <w:t xml:space="preserve"> </w:t>
      </w:r>
      <w:r w:rsidRPr="000C1F0C">
        <w:rPr>
          <w:rFonts w:cs="Times New Roman"/>
        </w:rPr>
        <w:t>&lt; .05</w:t>
      </w:r>
      <w:r>
        <w:rPr>
          <w:rFonts w:cs="Times New Roman"/>
        </w:rPr>
        <w:t xml:space="preserve">). </w:t>
      </w:r>
      <w:r w:rsidRPr="00213CE1">
        <w:rPr>
          <w:rFonts w:cs="Times New Roman"/>
        </w:rPr>
        <w:t xml:space="preserve">This may not be indicative that larger businesses are necessarily poorer employers of Indigenous people than medium and smaller sized businesses, but potentially demonstrative of the limitations of Indigenous labour supply within the local labour market to maintain 3.8% Indigenous employment. Table 1 revealed that Indigenous workplace policies (such as having a RAP, cultural awareness training, and celebrating NAIDOC/Reconciliation Week) may be associated with proportionate or greater </w:t>
      </w:r>
      <w:r>
        <w:rPr>
          <w:rFonts w:cs="Times New Roman"/>
        </w:rPr>
        <w:t>Indigenous employment</w:t>
      </w:r>
      <w:r w:rsidRPr="00010AB7">
        <w:rPr>
          <w:rFonts w:cs="Times New Roman"/>
        </w:rPr>
        <w:t>. Testing these policies individually within the regression models is unable to produce significant results, however when they are bundled into a single variable, they are able to demonstrate a significant positive association with the dependent variable.</w:t>
      </w:r>
      <w:r>
        <w:rPr>
          <w:rFonts w:cs="Times New Roman"/>
        </w:rPr>
        <w:t xml:space="preserve"> </w:t>
      </w:r>
    </w:p>
    <w:p w14:paraId="12459050" w14:textId="77777777" w:rsidR="00F742A4" w:rsidRDefault="00F742A4" w:rsidP="00F742A4">
      <w:pPr>
        <w:spacing w:line="360" w:lineRule="auto"/>
        <w:rPr>
          <w:rFonts w:cs="Times New Roman"/>
          <w:highlight w:val="yellow"/>
        </w:rPr>
      </w:pPr>
    </w:p>
    <w:p w14:paraId="22E75E2B" w14:textId="77777777" w:rsidR="00F742A4" w:rsidRDefault="00F742A4" w:rsidP="00F742A4">
      <w:pPr>
        <w:spacing w:line="360" w:lineRule="auto"/>
        <w:rPr>
          <w:rFonts w:cs="Times New Roman"/>
          <w:highlight w:val="yellow"/>
        </w:rPr>
      </w:pPr>
    </w:p>
    <w:p w14:paraId="25E4A97A" w14:textId="77777777" w:rsidR="00F742A4" w:rsidRDefault="00F742A4" w:rsidP="00F742A4">
      <w:pPr>
        <w:spacing w:line="360" w:lineRule="auto"/>
        <w:rPr>
          <w:rFonts w:cs="Times New Roman"/>
          <w:highlight w:val="yellow"/>
        </w:rPr>
      </w:pPr>
    </w:p>
    <w:p w14:paraId="3815F71C" w14:textId="77777777" w:rsidR="00F742A4" w:rsidRPr="003C0ACE" w:rsidRDefault="00F742A4" w:rsidP="00F742A4">
      <w:pPr>
        <w:spacing w:line="360" w:lineRule="auto"/>
        <w:rPr>
          <w:rFonts w:cs="Times New Roman"/>
          <w:highlight w:val="yellow"/>
        </w:rPr>
      </w:pPr>
    </w:p>
    <w:p w14:paraId="11FA9906" w14:textId="77777777" w:rsidR="00F742A4" w:rsidRDefault="00F742A4" w:rsidP="00F742A4">
      <w:pPr>
        <w:rPr>
          <w:b/>
          <w:bCs/>
        </w:rPr>
      </w:pPr>
    </w:p>
    <w:p w14:paraId="11BE0FAD" w14:textId="0387F625" w:rsidR="00F742A4" w:rsidRDefault="00F742A4" w:rsidP="00F742A4">
      <w:pPr>
        <w:rPr>
          <w:b/>
          <w:bCs/>
        </w:rPr>
      </w:pPr>
      <w:r>
        <w:rPr>
          <w:b/>
          <w:bCs/>
        </w:rPr>
        <w:lastRenderedPageBreak/>
        <w:t xml:space="preserve">Table A2: Probit Regression Model on Indigenous Employment Parity of 3.8%, 2022. </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252"/>
        <w:gridCol w:w="864"/>
      </w:tblGrid>
      <w:tr w:rsidR="00F742A4" w14:paraId="23445742" w14:textId="77777777" w:rsidTr="000E6BFE">
        <w:trPr>
          <w:trHeight w:val="322"/>
          <w:jc w:val="center"/>
        </w:trPr>
        <w:tc>
          <w:tcPr>
            <w:tcW w:w="3124" w:type="dxa"/>
            <w:shd w:val="clear" w:color="auto" w:fill="auto"/>
            <w:noWrap/>
            <w:vAlign w:val="bottom"/>
            <w:hideMark/>
          </w:tcPr>
          <w:p w14:paraId="436C25AE" w14:textId="77777777" w:rsidR="00F742A4" w:rsidRPr="00CF111E" w:rsidRDefault="00F742A4" w:rsidP="00F742A4">
            <w:pPr>
              <w:spacing w:after="0"/>
              <w:rPr>
                <w:rFonts w:eastAsia="Times New Roman" w:cs="Times New Roman"/>
                <w:szCs w:val="20"/>
                <w:lang w:eastAsia="en-AU"/>
              </w:rPr>
            </w:pPr>
          </w:p>
        </w:tc>
        <w:tc>
          <w:tcPr>
            <w:tcW w:w="2116" w:type="dxa"/>
            <w:gridSpan w:val="2"/>
            <w:shd w:val="clear" w:color="auto" w:fill="auto"/>
            <w:noWrap/>
            <w:vAlign w:val="bottom"/>
            <w:hideMark/>
          </w:tcPr>
          <w:p w14:paraId="26EE6924" w14:textId="77777777" w:rsidR="00F742A4" w:rsidRPr="00457138" w:rsidRDefault="00F742A4" w:rsidP="00F742A4">
            <w:pPr>
              <w:spacing w:after="0"/>
              <w:rPr>
                <w:rFonts w:eastAsia="Times New Roman" w:cs="Times New Roman"/>
                <w:b/>
                <w:bCs/>
                <w:color w:val="000000"/>
                <w:szCs w:val="20"/>
                <w:lang w:eastAsia="en-AU"/>
              </w:rPr>
            </w:pPr>
            <w:r w:rsidRPr="00457138">
              <w:rPr>
                <w:rFonts w:eastAsia="Times New Roman" w:cs="Times New Roman"/>
                <w:b/>
                <w:bCs/>
                <w:color w:val="000000"/>
                <w:szCs w:val="20"/>
                <w:lang w:eastAsia="en-AU"/>
              </w:rPr>
              <w:t>Probit Regression</w:t>
            </w:r>
          </w:p>
        </w:tc>
      </w:tr>
      <w:tr w:rsidR="00F742A4" w14:paraId="0A0F4132" w14:textId="77777777" w:rsidTr="00F742A4">
        <w:trPr>
          <w:trHeight w:val="270"/>
          <w:jc w:val="center"/>
        </w:trPr>
        <w:tc>
          <w:tcPr>
            <w:tcW w:w="3124" w:type="dxa"/>
            <w:shd w:val="clear" w:color="auto" w:fill="auto"/>
            <w:noWrap/>
            <w:vAlign w:val="bottom"/>
            <w:hideMark/>
          </w:tcPr>
          <w:p w14:paraId="0FD435E7"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 xml:space="preserve">Indigenous </w:t>
            </w:r>
            <w:r>
              <w:rPr>
                <w:rFonts w:eastAsia="Times New Roman" w:cs="Times New Roman"/>
                <w:color w:val="000000"/>
                <w:szCs w:val="20"/>
                <w:lang w:eastAsia="en-AU"/>
              </w:rPr>
              <w:t>Employment</w:t>
            </w:r>
            <w:r w:rsidRPr="00CF111E">
              <w:rPr>
                <w:rFonts w:eastAsia="Times New Roman" w:cs="Times New Roman"/>
                <w:color w:val="000000"/>
                <w:szCs w:val="20"/>
                <w:lang w:eastAsia="en-AU"/>
              </w:rPr>
              <w:t xml:space="preserve"> Rate</w:t>
            </w:r>
            <w:r>
              <w:rPr>
                <w:rFonts w:eastAsia="Times New Roman" w:cs="Times New Roman"/>
                <w:color w:val="000000"/>
                <w:szCs w:val="20"/>
                <w:lang w:eastAsia="en-AU"/>
              </w:rPr>
              <w:t xml:space="preserve"> 3.8%</w:t>
            </w:r>
          </w:p>
        </w:tc>
        <w:tc>
          <w:tcPr>
            <w:tcW w:w="1252" w:type="dxa"/>
            <w:shd w:val="clear" w:color="auto" w:fill="auto"/>
            <w:noWrap/>
            <w:vAlign w:val="bottom"/>
            <w:hideMark/>
          </w:tcPr>
          <w:p w14:paraId="5B2497DD"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Coefficient</w:t>
            </w:r>
          </w:p>
        </w:tc>
        <w:tc>
          <w:tcPr>
            <w:tcW w:w="864" w:type="dxa"/>
            <w:shd w:val="clear" w:color="auto" w:fill="auto"/>
            <w:noWrap/>
            <w:vAlign w:val="bottom"/>
            <w:hideMark/>
          </w:tcPr>
          <w:p w14:paraId="25E2D4ED"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Std. Err</w:t>
            </w:r>
          </w:p>
        </w:tc>
      </w:tr>
      <w:tr w:rsidR="00F742A4" w14:paraId="6CBB2F62" w14:textId="77777777" w:rsidTr="000E6BFE">
        <w:trPr>
          <w:trHeight w:val="271"/>
          <w:jc w:val="center"/>
        </w:trPr>
        <w:tc>
          <w:tcPr>
            <w:tcW w:w="3124" w:type="dxa"/>
            <w:shd w:val="clear" w:color="auto" w:fill="auto"/>
            <w:noWrap/>
            <w:vAlign w:val="bottom"/>
            <w:hideMark/>
          </w:tcPr>
          <w:p w14:paraId="0644DE61"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Indigenous Manager/s</w:t>
            </w:r>
          </w:p>
        </w:tc>
        <w:tc>
          <w:tcPr>
            <w:tcW w:w="1252" w:type="dxa"/>
            <w:shd w:val="clear" w:color="auto" w:fill="auto"/>
            <w:noWrap/>
            <w:hideMark/>
          </w:tcPr>
          <w:p w14:paraId="1B13E018" w14:textId="77777777" w:rsidR="00F742A4" w:rsidRPr="00CF111E" w:rsidRDefault="00F742A4" w:rsidP="00F742A4">
            <w:pPr>
              <w:spacing w:after="0"/>
              <w:rPr>
                <w:rFonts w:eastAsia="Times New Roman" w:cs="Times New Roman"/>
                <w:color w:val="000000"/>
                <w:szCs w:val="20"/>
                <w:lang w:eastAsia="en-AU"/>
              </w:rPr>
            </w:pPr>
            <w:r w:rsidRPr="00B44A0E">
              <w:t>1.</w:t>
            </w:r>
            <w:r>
              <w:t>71*</w:t>
            </w:r>
          </w:p>
        </w:tc>
        <w:tc>
          <w:tcPr>
            <w:tcW w:w="864" w:type="dxa"/>
            <w:shd w:val="clear" w:color="auto" w:fill="auto"/>
            <w:noWrap/>
            <w:hideMark/>
          </w:tcPr>
          <w:p w14:paraId="6488BCAD" w14:textId="77777777" w:rsidR="00F742A4" w:rsidRPr="00CF111E" w:rsidRDefault="00F742A4" w:rsidP="00F742A4">
            <w:pPr>
              <w:spacing w:after="0"/>
              <w:rPr>
                <w:rFonts w:eastAsia="Times New Roman" w:cs="Times New Roman"/>
                <w:color w:val="000000"/>
                <w:szCs w:val="20"/>
                <w:lang w:eastAsia="en-AU"/>
              </w:rPr>
            </w:pPr>
            <w:r w:rsidRPr="00B44A0E">
              <w:t>0.16</w:t>
            </w:r>
          </w:p>
        </w:tc>
      </w:tr>
      <w:tr w:rsidR="00F742A4" w14:paraId="307C009A" w14:textId="77777777" w:rsidTr="00F742A4">
        <w:trPr>
          <w:trHeight w:val="136"/>
          <w:jc w:val="center"/>
        </w:trPr>
        <w:tc>
          <w:tcPr>
            <w:tcW w:w="3124" w:type="dxa"/>
            <w:shd w:val="clear" w:color="auto" w:fill="auto"/>
            <w:noWrap/>
            <w:vAlign w:val="bottom"/>
          </w:tcPr>
          <w:p w14:paraId="6415AA13"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20-199 Business</w:t>
            </w:r>
            <w:r>
              <w:rPr>
                <w:rFonts w:eastAsia="Times New Roman" w:cs="Times New Roman"/>
                <w:color w:val="000000"/>
                <w:szCs w:val="20"/>
                <w:lang w:eastAsia="en-AU"/>
              </w:rPr>
              <w:t>es</w:t>
            </w:r>
          </w:p>
        </w:tc>
        <w:tc>
          <w:tcPr>
            <w:tcW w:w="1252" w:type="dxa"/>
            <w:shd w:val="clear" w:color="auto" w:fill="auto"/>
            <w:noWrap/>
          </w:tcPr>
          <w:p w14:paraId="2E2A9543" w14:textId="77777777" w:rsidR="00F742A4" w:rsidRPr="00CF6956" w:rsidRDefault="00F742A4" w:rsidP="00F742A4">
            <w:pPr>
              <w:spacing w:after="0"/>
              <w:rPr>
                <w:rFonts w:eastAsia="Times New Roman" w:cs="Times New Roman"/>
                <w:color w:val="000000"/>
                <w:szCs w:val="20"/>
                <w:lang w:eastAsia="en-AU"/>
              </w:rPr>
            </w:pPr>
            <w:r w:rsidRPr="00B44A0E">
              <w:t>0.3</w:t>
            </w:r>
            <w:r>
              <w:t>8*</w:t>
            </w:r>
          </w:p>
        </w:tc>
        <w:tc>
          <w:tcPr>
            <w:tcW w:w="864" w:type="dxa"/>
            <w:shd w:val="clear" w:color="auto" w:fill="auto"/>
            <w:noWrap/>
          </w:tcPr>
          <w:p w14:paraId="32ACF692" w14:textId="77777777" w:rsidR="00F742A4" w:rsidRPr="00CF6956" w:rsidRDefault="00F742A4" w:rsidP="00F742A4">
            <w:pPr>
              <w:spacing w:after="0"/>
              <w:rPr>
                <w:rFonts w:eastAsia="Times New Roman" w:cs="Times New Roman"/>
                <w:color w:val="000000"/>
                <w:szCs w:val="20"/>
                <w:lang w:eastAsia="en-AU"/>
              </w:rPr>
            </w:pPr>
            <w:r w:rsidRPr="00B44A0E">
              <w:t>0.13</w:t>
            </w:r>
          </w:p>
        </w:tc>
      </w:tr>
      <w:tr w:rsidR="00F742A4" w14:paraId="64B691D5" w14:textId="77777777" w:rsidTr="00F742A4">
        <w:trPr>
          <w:trHeight w:val="77"/>
          <w:jc w:val="center"/>
        </w:trPr>
        <w:tc>
          <w:tcPr>
            <w:tcW w:w="3124" w:type="dxa"/>
            <w:shd w:val="clear" w:color="auto" w:fill="auto"/>
            <w:noWrap/>
            <w:vAlign w:val="bottom"/>
          </w:tcPr>
          <w:p w14:paraId="202FEB50"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200+ Businesses</w:t>
            </w:r>
          </w:p>
        </w:tc>
        <w:tc>
          <w:tcPr>
            <w:tcW w:w="1252" w:type="dxa"/>
            <w:shd w:val="clear" w:color="auto" w:fill="auto"/>
            <w:noWrap/>
          </w:tcPr>
          <w:p w14:paraId="69632DF5" w14:textId="77777777" w:rsidR="00F742A4" w:rsidRPr="00CF6956" w:rsidRDefault="00F742A4" w:rsidP="00F742A4">
            <w:pPr>
              <w:spacing w:after="0"/>
              <w:rPr>
                <w:rFonts w:eastAsia="Times New Roman" w:cs="Times New Roman"/>
                <w:color w:val="000000"/>
                <w:szCs w:val="20"/>
                <w:lang w:eastAsia="en-AU"/>
              </w:rPr>
            </w:pPr>
            <w:r w:rsidRPr="00B44A0E">
              <w:t>-0.6</w:t>
            </w:r>
            <w:r>
              <w:t>0*</w:t>
            </w:r>
          </w:p>
        </w:tc>
        <w:tc>
          <w:tcPr>
            <w:tcW w:w="864" w:type="dxa"/>
            <w:shd w:val="clear" w:color="auto" w:fill="auto"/>
            <w:noWrap/>
          </w:tcPr>
          <w:p w14:paraId="1CE6FE4D" w14:textId="77777777" w:rsidR="00F742A4" w:rsidRPr="00CF6956" w:rsidRDefault="00F742A4" w:rsidP="00F742A4">
            <w:pPr>
              <w:spacing w:after="0"/>
              <w:rPr>
                <w:rFonts w:eastAsia="Times New Roman" w:cs="Times New Roman"/>
                <w:color w:val="000000"/>
                <w:szCs w:val="20"/>
                <w:lang w:eastAsia="en-AU"/>
              </w:rPr>
            </w:pPr>
            <w:r w:rsidRPr="00B44A0E">
              <w:t>0.20</w:t>
            </w:r>
          </w:p>
        </w:tc>
      </w:tr>
      <w:tr w:rsidR="00F742A4" w14:paraId="30BA6B6F" w14:textId="77777777" w:rsidTr="00F742A4">
        <w:trPr>
          <w:trHeight w:val="77"/>
          <w:jc w:val="center"/>
        </w:trPr>
        <w:tc>
          <w:tcPr>
            <w:tcW w:w="3124" w:type="dxa"/>
            <w:shd w:val="clear" w:color="auto" w:fill="auto"/>
            <w:noWrap/>
            <w:vAlign w:val="bottom"/>
          </w:tcPr>
          <w:p w14:paraId="4B058B9E" w14:textId="77777777" w:rsidR="00F742A4" w:rsidRPr="00CF111E" w:rsidRDefault="00F742A4" w:rsidP="00F742A4">
            <w:pPr>
              <w:spacing w:after="0"/>
              <w:rPr>
                <w:rFonts w:eastAsia="Times New Roman" w:cs="Times New Roman"/>
                <w:color w:val="000000"/>
                <w:szCs w:val="20"/>
                <w:lang w:eastAsia="en-AU"/>
              </w:rPr>
            </w:pPr>
            <w:r>
              <w:rPr>
                <w:rFonts w:eastAsia="Times New Roman" w:cs="Times New Roman"/>
                <w:color w:val="000000"/>
                <w:szCs w:val="20"/>
                <w:lang w:eastAsia="en-AU"/>
              </w:rPr>
              <w:t>Indigenous Policy Bundle</w:t>
            </w:r>
          </w:p>
        </w:tc>
        <w:tc>
          <w:tcPr>
            <w:tcW w:w="1252" w:type="dxa"/>
            <w:shd w:val="clear" w:color="auto" w:fill="auto"/>
            <w:noWrap/>
          </w:tcPr>
          <w:p w14:paraId="2ECA142D" w14:textId="77777777" w:rsidR="00F742A4" w:rsidRPr="00CF111E" w:rsidRDefault="00F742A4" w:rsidP="00F742A4">
            <w:pPr>
              <w:spacing w:after="0"/>
              <w:rPr>
                <w:rFonts w:eastAsia="Times New Roman" w:cs="Times New Roman"/>
                <w:color w:val="000000"/>
                <w:szCs w:val="20"/>
                <w:lang w:eastAsia="en-AU"/>
              </w:rPr>
            </w:pPr>
            <w:r w:rsidRPr="00B44A0E">
              <w:t>0</w:t>
            </w:r>
            <w:r>
              <w:t>.41*</w:t>
            </w:r>
          </w:p>
        </w:tc>
        <w:tc>
          <w:tcPr>
            <w:tcW w:w="864" w:type="dxa"/>
            <w:shd w:val="clear" w:color="auto" w:fill="auto"/>
            <w:noWrap/>
          </w:tcPr>
          <w:p w14:paraId="1974CBC8" w14:textId="77777777" w:rsidR="00F742A4" w:rsidRPr="00CF111E" w:rsidRDefault="00F742A4" w:rsidP="00F742A4">
            <w:pPr>
              <w:spacing w:after="0"/>
              <w:rPr>
                <w:rFonts w:eastAsia="Times New Roman" w:cs="Times New Roman"/>
                <w:color w:val="000000"/>
                <w:szCs w:val="20"/>
                <w:lang w:eastAsia="en-AU"/>
              </w:rPr>
            </w:pPr>
            <w:r w:rsidRPr="00B44A0E">
              <w:t>0.1</w:t>
            </w:r>
            <w:r>
              <w:t>9</w:t>
            </w:r>
          </w:p>
        </w:tc>
      </w:tr>
      <w:tr w:rsidR="00F742A4" w14:paraId="2966B0CE" w14:textId="77777777" w:rsidTr="00F742A4">
        <w:trPr>
          <w:trHeight w:val="117"/>
          <w:jc w:val="center"/>
        </w:trPr>
        <w:tc>
          <w:tcPr>
            <w:tcW w:w="3124" w:type="dxa"/>
            <w:shd w:val="clear" w:color="auto" w:fill="auto"/>
            <w:noWrap/>
            <w:vAlign w:val="bottom"/>
            <w:hideMark/>
          </w:tcPr>
          <w:p w14:paraId="7AB84881"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Regional</w:t>
            </w:r>
          </w:p>
        </w:tc>
        <w:tc>
          <w:tcPr>
            <w:tcW w:w="1252" w:type="dxa"/>
            <w:shd w:val="clear" w:color="auto" w:fill="auto"/>
            <w:noWrap/>
            <w:hideMark/>
          </w:tcPr>
          <w:p w14:paraId="0AC26C23" w14:textId="77777777" w:rsidR="00F742A4" w:rsidRPr="00CF111E" w:rsidRDefault="00F742A4" w:rsidP="00F742A4">
            <w:pPr>
              <w:spacing w:after="0"/>
              <w:rPr>
                <w:rFonts w:eastAsia="Times New Roman" w:cs="Times New Roman"/>
                <w:color w:val="000000"/>
                <w:szCs w:val="20"/>
                <w:lang w:eastAsia="en-AU"/>
              </w:rPr>
            </w:pPr>
            <w:r w:rsidRPr="00B44A0E">
              <w:t>0.1</w:t>
            </w:r>
            <w:r>
              <w:t>0</w:t>
            </w:r>
          </w:p>
        </w:tc>
        <w:tc>
          <w:tcPr>
            <w:tcW w:w="864" w:type="dxa"/>
            <w:shd w:val="clear" w:color="auto" w:fill="auto"/>
            <w:noWrap/>
            <w:hideMark/>
          </w:tcPr>
          <w:p w14:paraId="5FBB2426" w14:textId="77777777" w:rsidR="00F742A4" w:rsidRPr="00CF111E" w:rsidRDefault="00F742A4" w:rsidP="00F742A4">
            <w:pPr>
              <w:spacing w:after="0"/>
              <w:rPr>
                <w:rFonts w:eastAsia="Times New Roman" w:cs="Times New Roman"/>
                <w:color w:val="000000"/>
                <w:szCs w:val="20"/>
                <w:lang w:eastAsia="en-AU"/>
              </w:rPr>
            </w:pPr>
            <w:r w:rsidRPr="00B44A0E">
              <w:t>0.12</w:t>
            </w:r>
          </w:p>
        </w:tc>
      </w:tr>
      <w:tr w:rsidR="00F742A4" w14:paraId="6458AEE7" w14:textId="77777777" w:rsidTr="00F742A4">
        <w:trPr>
          <w:trHeight w:val="77"/>
          <w:jc w:val="center"/>
        </w:trPr>
        <w:tc>
          <w:tcPr>
            <w:tcW w:w="3124" w:type="dxa"/>
            <w:shd w:val="clear" w:color="auto" w:fill="auto"/>
            <w:noWrap/>
            <w:vAlign w:val="bottom"/>
            <w:hideMark/>
          </w:tcPr>
          <w:p w14:paraId="639990FF" w14:textId="77777777" w:rsidR="00F742A4" w:rsidRPr="00CF111E" w:rsidRDefault="00F742A4" w:rsidP="00F742A4">
            <w:pPr>
              <w:spacing w:after="0"/>
              <w:rPr>
                <w:rFonts w:eastAsia="Times New Roman" w:cs="Times New Roman"/>
                <w:color w:val="000000"/>
                <w:szCs w:val="20"/>
                <w:lang w:eastAsia="en-AU"/>
              </w:rPr>
            </w:pPr>
            <w:r w:rsidRPr="00CF111E">
              <w:rPr>
                <w:rFonts w:eastAsia="Times New Roman" w:cs="Times New Roman"/>
                <w:color w:val="000000"/>
                <w:szCs w:val="20"/>
                <w:lang w:eastAsia="en-AU"/>
              </w:rPr>
              <w:t>Remote</w:t>
            </w:r>
          </w:p>
        </w:tc>
        <w:tc>
          <w:tcPr>
            <w:tcW w:w="1252" w:type="dxa"/>
            <w:shd w:val="clear" w:color="auto" w:fill="auto"/>
            <w:noWrap/>
            <w:hideMark/>
          </w:tcPr>
          <w:p w14:paraId="155C6F64" w14:textId="77777777" w:rsidR="00F742A4" w:rsidRPr="00CF111E" w:rsidRDefault="00F742A4" w:rsidP="00F742A4">
            <w:pPr>
              <w:spacing w:after="0"/>
              <w:rPr>
                <w:rFonts w:eastAsia="Times New Roman" w:cs="Times New Roman"/>
                <w:color w:val="000000"/>
                <w:szCs w:val="20"/>
                <w:lang w:eastAsia="en-AU"/>
              </w:rPr>
            </w:pPr>
            <w:r w:rsidRPr="00B44A0E">
              <w:t>0.</w:t>
            </w:r>
            <w:r>
              <w:t>40</w:t>
            </w:r>
          </w:p>
        </w:tc>
        <w:tc>
          <w:tcPr>
            <w:tcW w:w="864" w:type="dxa"/>
            <w:shd w:val="clear" w:color="auto" w:fill="auto"/>
            <w:noWrap/>
            <w:hideMark/>
          </w:tcPr>
          <w:p w14:paraId="162A0042" w14:textId="77777777" w:rsidR="00F742A4" w:rsidRPr="00CF111E" w:rsidRDefault="00F742A4" w:rsidP="00F742A4">
            <w:pPr>
              <w:spacing w:after="0"/>
              <w:rPr>
                <w:rFonts w:eastAsia="Times New Roman" w:cs="Times New Roman"/>
                <w:color w:val="000000"/>
                <w:szCs w:val="20"/>
                <w:lang w:eastAsia="en-AU"/>
              </w:rPr>
            </w:pPr>
            <w:r w:rsidRPr="00B44A0E">
              <w:t>0.26</w:t>
            </w:r>
          </w:p>
        </w:tc>
      </w:tr>
      <w:tr w:rsidR="00F742A4" w14:paraId="54BEF2E5" w14:textId="77777777" w:rsidTr="00F742A4">
        <w:trPr>
          <w:trHeight w:val="77"/>
          <w:jc w:val="center"/>
        </w:trPr>
        <w:tc>
          <w:tcPr>
            <w:tcW w:w="3124" w:type="dxa"/>
            <w:shd w:val="clear" w:color="auto" w:fill="auto"/>
            <w:noWrap/>
            <w:vAlign w:val="bottom"/>
          </w:tcPr>
          <w:p w14:paraId="393AC656" w14:textId="77777777" w:rsidR="00F742A4" w:rsidRPr="005963CC" w:rsidRDefault="00F742A4" w:rsidP="00F742A4">
            <w:pPr>
              <w:spacing w:after="0"/>
              <w:rPr>
                <w:rFonts w:eastAsia="Times New Roman" w:cs="Times New Roman"/>
                <w:i/>
                <w:iCs/>
                <w:color w:val="000000"/>
                <w:szCs w:val="20"/>
                <w:lang w:eastAsia="en-AU"/>
              </w:rPr>
            </w:pPr>
            <w:r w:rsidRPr="005963CC">
              <w:rPr>
                <w:rFonts w:eastAsia="Times New Roman" w:cs="Times New Roman"/>
                <w:i/>
                <w:iCs/>
                <w:color w:val="000000"/>
                <w:szCs w:val="20"/>
                <w:lang w:eastAsia="en-AU"/>
              </w:rPr>
              <w:t>Constant</w:t>
            </w:r>
          </w:p>
        </w:tc>
        <w:tc>
          <w:tcPr>
            <w:tcW w:w="1252" w:type="dxa"/>
            <w:shd w:val="clear" w:color="auto" w:fill="auto"/>
            <w:noWrap/>
          </w:tcPr>
          <w:p w14:paraId="1ED792BB" w14:textId="77777777" w:rsidR="00F742A4" w:rsidRPr="00CF111E" w:rsidRDefault="00F742A4" w:rsidP="00F742A4">
            <w:pPr>
              <w:spacing w:after="0"/>
              <w:rPr>
                <w:rFonts w:eastAsia="Times New Roman" w:cs="Times New Roman"/>
                <w:color w:val="000000"/>
                <w:szCs w:val="20"/>
                <w:lang w:eastAsia="en-AU"/>
              </w:rPr>
            </w:pPr>
            <w:r>
              <w:rPr>
                <w:rFonts w:eastAsia="Times New Roman" w:cs="Times New Roman"/>
                <w:color w:val="000000"/>
                <w:szCs w:val="20"/>
                <w:lang w:eastAsia="en-AU"/>
              </w:rPr>
              <w:t>-1.05*</w:t>
            </w:r>
          </w:p>
        </w:tc>
        <w:tc>
          <w:tcPr>
            <w:tcW w:w="864" w:type="dxa"/>
            <w:shd w:val="clear" w:color="auto" w:fill="auto"/>
            <w:noWrap/>
          </w:tcPr>
          <w:p w14:paraId="4F24E055" w14:textId="77777777" w:rsidR="00F742A4" w:rsidRPr="00CF111E" w:rsidRDefault="00F742A4" w:rsidP="00F742A4">
            <w:pPr>
              <w:spacing w:after="0"/>
              <w:rPr>
                <w:rFonts w:eastAsia="Times New Roman" w:cs="Times New Roman"/>
                <w:color w:val="000000"/>
                <w:szCs w:val="20"/>
                <w:lang w:eastAsia="en-AU"/>
              </w:rPr>
            </w:pPr>
            <w:r>
              <w:rPr>
                <w:rFonts w:eastAsia="Times New Roman" w:cs="Times New Roman"/>
                <w:color w:val="000000"/>
                <w:szCs w:val="20"/>
                <w:lang w:eastAsia="en-AU"/>
              </w:rPr>
              <w:t>0.10</w:t>
            </w:r>
          </w:p>
        </w:tc>
      </w:tr>
      <w:tr w:rsidR="00F742A4" w14:paraId="4674DB19" w14:textId="77777777" w:rsidTr="000E6BFE">
        <w:trPr>
          <w:trHeight w:val="303"/>
          <w:jc w:val="center"/>
        </w:trPr>
        <w:tc>
          <w:tcPr>
            <w:tcW w:w="3124" w:type="dxa"/>
            <w:shd w:val="clear" w:color="auto" w:fill="auto"/>
            <w:noWrap/>
            <w:vAlign w:val="bottom"/>
            <w:hideMark/>
          </w:tcPr>
          <w:p w14:paraId="3C79291D" w14:textId="77777777" w:rsidR="00F742A4" w:rsidRPr="00CF111E" w:rsidRDefault="00F742A4" w:rsidP="00F742A4">
            <w:pPr>
              <w:spacing w:after="0"/>
              <w:rPr>
                <w:rFonts w:eastAsia="Times New Roman" w:cs="Times New Roman"/>
                <w:i/>
                <w:iCs/>
                <w:color w:val="000000"/>
                <w:szCs w:val="20"/>
                <w:lang w:eastAsia="en-AU"/>
              </w:rPr>
            </w:pPr>
            <w:r w:rsidRPr="00CF111E">
              <w:rPr>
                <w:rFonts w:eastAsia="Times New Roman" w:cs="Times New Roman"/>
                <w:i/>
                <w:iCs/>
                <w:color w:val="000000"/>
                <w:szCs w:val="20"/>
                <w:lang w:eastAsia="en-AU"/>
              </w:rPr>
              <w:t>No. of Obs. =</w:t>
            </w:r>
          </w:p>
        </w:tc>
        <w:tc>
          <w:tcPr>
            <w:tcW w:w="1252" w:type="dxa"/>
            <w:shd w:val="clear" w:color="auto" w:fill="auto"/>
            <w:noWrap/>
            <w:vAlign w:val="bottom"/>
            <w:hideMark/>
          </w:tcPr>
          <w:p w14:paraId="0F2B02EC" w14:textId="77777777" w:rsidR="00F742A4" w:rsidRPr="00CF111E" w:rsidRDefault="00F742A4" w:rsidP="00F742A4">
            <w:pPr>
              <w:spacing w:after="0"/>
              <w:rPr>
                <w:rFonts w:eastAsia="Times New Roman" w:cs="Times New Roman"/>
                <w:color w:val="000000"/>
                <w:szCs w:val="20"/>
                <w:lang w:eastAsia="en-AU"/>
              </w:rPr>
            </w:pPr>
          </w:p>
        </w:tc>
        <w:tc>
          <w:tcPr>
            <w:tcW w:w="864" w:type="dxa"/>
            <w:shd w:val="clear" w:color="auto" w:fill="auto"/>
            <w:noWrap/>
            <w:vAlign w:val="bottom"/>
            <w:hideMark/>
          </w:tcPr>
          <w:p w14:paraId="001BD2DB" w14:textId="77777777" w:rsidR="00F742A4" w:rsidRPr="00CF111E" w:rsidRDefault="00F742A4" w:rsidP="00F742A4">
            <w:pPr>
              <w:spacing w:after="0"/>
              <w:rPr>
                <w:rFonts w:eastAsia="Times New Roman" w:cs="Times New Roman"/>
                <w:color w:val="000000"/>
                <w:szCs w:val="20"/>
                <w:lang w:eastAsia="en-AU"/>
              </w:rPr>
            </w:pPr>
            <w:r>
              <w:rPr>
                <w:rFonts w:eastAsia="Times New Roman" w:cs="Times New Roman"/>
                <w:color w:val="000000"/>
                <w:szCs w:val="20"/>
                <w:lang w:eastAsia="en-AU"/>
              </w:rPr>
              <w:t>680</w:t>
            </w:r>
          </w:p>
        </w:tc>
      </w:tr>
      <w:tr w:rsidR="00F742A4" w14:paraId="4294D176" w14:textId="77777777" w:rsidTr="00F742A4">
        <w:trPr>
          <w:trHeight w:val="77"/>
          <w:jc w:val="center"/>
        </w:trPr>
        <w:tc>
          <w:tcPr>
            <w:tcW w:w="3124" w:type="dxa"/>
            <w:shd w:val="clear" w:color="auto" w:fill="auto"/>
            <w:noWrap/>
            <w:vAlign w:val="bottom"/>
            <w:hideMark/>
          </w:tcPr>
          <w:p w14:paraId="0C062920" w14:textId="77777777" w:rsidR="00F742A4" w:rsidRPr="00CF111E" w:rsidRDefault="00F742A4" w:rsidP="00F742A4">
            <w:pPr>
              <w:spacing w:after="0"/>
              <w:rPr>
                <w:rFonts w:eastAsia="Times New Roman" w:cs="Times New Roman"/>
                <w:i/>
                <w:iCs/>
                <w:color w:val="000000"/>
                <w:szCs w:val="20"/>
                <w:lang w:eastAsia="en-AU"/>
              </w:rPr>
            </w:pPr>
            <w:r w:rsidRPr="00CF111E">
              <w:rPr>
                <w:rFonts w:eastAsia="Times New Roman" w:cs="Times New Roman"/>
                <w:i/>
                <w:iCs/>
                <w:color w:val="000000"/>
                <w:szCs w:val="20"/>
                <w:lang w:eastAsia="en-AU"/>
              </w:rPr>
              <w:t>LR chi2(</w:t>
            </w:r>
            <w:r>
              <w:rPr>
                <w:rFonts w:eastAsia="Times New Roman" w:cs="Times New Roman"/>
                <w:i/>
                <w:iCs/>
                <w:color w:val="000000"/>
                <w:szCs w:val="20"/>
                <w:lang w:eastAsia="en-AU"/>
              </w:rPr>
              <w:t>6</w:t>
            </w:r>
            <w:r w:rsidRPr="00CF111E">
              <w:rPr>
                <w:rFonts w:eastAsia="Times New Roman" w:cs="Times New Roman"/>
                <w:i/>
                <w:iCs/>
                <w:color w:val="000000"/>
                <w:szCs w:val="20"/>
                <w:lang w:eastAsia="en-AU"/>
              </w:rPr>
              <w:t>) =</w:t>
            </w:r>
          </w:p>
        </w:tc>
        <w:tc>
          <w:tcPr>
            <w:tcW w:w="1252" w:type="dxa"/>
            <w:shd w:val="clear" w:color="auto" w:fill="auto"/>
            <w:noWrap/>
            <w:vAlign w:val="bottom"/>
            <w:hideMark/>
          </w:tcPr>
          <w:p w14:paraId="636466B9" w14:textId="77777777" w:rsidR="00F742A4" w:rsidRPr="00CF111E" w:rsidRDefault="00F742A4" w:rsidP="00F742A4">
            <w:pPr>
              <w:spacing w:after="0"/>
              <w:rPr>
                <w:rFonts w:eastAsia="Times New Roman" w:cs="Times New Roman"/>
                <w:color w:val="000000"/>
                <w:szCs w:val="20"/>
                <w:lang w:eastAsia="en-AU"/>
              </w:rPr>
            </w:pPr>
          </w:p>
        </w:tc>
        <w:tc>
          <w:tcPr>
            <w:tcW w:w="864" w:type="dxa"/>
            <w:shd w:val="clear" w:color="auto" w:fill="auto"/>
            <w:noWrap/>
            <w:vAlign w:val="bottom"/>
            <w:hideMark/>
          </w:tcPr>
          <w:p w14:paraId="1DC5A698" w14:textId="77777777" w:rsidR="00F742A4" w:rsidRPr="00CF111E" w:rsidRDefault="00F742A4" w:rsidP="00F742A4">
            <w:pPr>
              <w:spacing w:after="0"/>
              <w:rPr>
                <w:rFonts w:eastAsia="Times New Roman" w:cs="Times New Roman"/>
                <w:color w:val="000000"/>
                <w:szCs w:val="20"/>
                <w:lang w:eastAsia="en-AU"/>
              </w:rPr>
            </w:pPr>
            <w:r>
              <w:rPr>
                <w:rFonts w:eastAsia="Times New Roman" w:cs="Times New Roman"/>
                <w:color w:val="000000"/>
                <w:szCs w:val="20"/>
                <w:lang w:eastAsia="en-AU"/>
              </w:rPr>
              <w:t>215.75</w:t>
            </w:r>
          </w:p>
        </w:tc>
      </w:tr>
      <w:tr w:rsidR="00F742A4" w14:paraId="7F4E3430" w14:textId="77777777" w:rsidTr="00F742A4">
        <w:trPr>
          <w:trHeight w:val="77"/>
          <w:jc w:val="center"/>
        </w:trPr>
        <w:tc>
          <w:tcPr>
            <w:tcW w:w="3124" w:type="dxa"/>
            <w:shd w:val="clear" w:color="auto" w:fill="auto"/>
            <w:noWrap/>
            <w:vAlign w:val="bottom"/>
            <w:hideMark/>
          </w:tcPr>
          <w:p w14:paraId="62347734" w14:textId="77777777" w:rsidR="00F742A4" w:rsidRPr="00CF111E" w:rsidRDefault="00F742A4" w:rsidP="00F742A4">
            <w:pPr>
              <w:spacing w:after="0"/>
              <w:rPr>
                <w:rFonts w:eastAsia="Times New Roman" w:cs="Times New Roman"/>
                <w:i/>
                <w:iCs/>
                <w:color w:val="000000"/>
                <w:szCs w:val="20"/>
                <w:lang w:eastAsia="en-AU"/>
              </w:rPr>
            </w:pPr>
            <w:r w:rsidRPr="00CF111E">
              <w:rPr>
                <w:rFonts w:eastAsia="Times New Roman" w:cs="Times New Roman"/>
                <w:i/>
                <w:iCs/>
                <w:color w:val="000000"/>
                <w:szCs w:val="20"/>
                <w:lang w:eastAsia="en-AU"/>
              </w:rPr>
              <w:t>Prob &gt; chi2 =</w:t>
            </w:r>
          </w:p>
        </w:tc>
        <w:tc>
          <w:tcPr>
            <w:tcW w:w="1252" w:type="dxa"/>
            <w:shd w:val="clear" w:color="auto" w:fill="auto"/>
            <w:noWrap/>
            <w:vAlign w:val="bottom"/>
            <w:hideMark/>
          </w:tcPr>
          <w:p w14:paraId="11CDEFD8" w14:textId="77777777" w:rsidR="00F742A4" w:rsidRPr="00CF111E" w:rsidRDefault="00F742A4" w:rsidP="00F742A4">
            <w:pPr>
              <w:spacing w:after="0"/>
              <w:rPr>
                <w:rFonts w:eastAsia="Times New Roman" w:cs="Times New Roman"/>
                <w:color w:val="000000"/>
                <w:szCs w:val="20"/>
                <w:lang w:eastAsia="en-AU"/>
              </w:rPr>
            </w:pPr>
          </w:p>
        </w:tc>
        <w:tc>
          <w:tcPr>
            <w:tcW w:w="864" w:type="dxa"/>
            <w:shd w:val="clear" w:color="auto" w:fill="auto"/>
            <w:noWrap/>
            <w:vAlign w:val="bottom"/>
            <w:hideMark/>
          </w:tcPr>
          <w:p w14:paraId="2476DECD" w14:textId="77777777" w:rsidR="00F742A4" w:rsidRPr="00CF111E" w:rsidRDefault="00F742A4" w:rsidP="00F742A4">
            <w:pPr>
              <w:spacing w:after="0"/>
              <w:rPr>
                <w:rFonts w:eastAsia="Times New Roman" w:cs="Times New Roman"/>
                <w:color w:val="000000"/>
                <w:szCs w:val="20"/>
                <w:lang w:eastAsia="en-AU"/>
              </w:rPr>
            </w:pPr>
            <w:r>
              <w:rPr>
                <w:rFonts w:eastAsia="Times New Roman" w:cs="Times New Roman"/>
                <w:color w:val="000000"/>
                <w:szCs w:val="20"/>
                <w:lang w:eastAsia="en-AU"/>
              </w:rPr>
              <w:t>0.00</w:t>
            </w:r>
          </w:p>
        </w:tc>
      </w:tr>
    </w:tbl>
    <w:p w14:paraId="6C6113C6" w14:textId="3DB5B255" w:rsidR="00F742A4" w:rsidRPr="00F742A4" w:rsidRDefault="00F742A4" w:rsidP="00F742A4">
      <w:pPr>
        <w:spacing w:line="360" w:lineRule="auto"/>
        <w:rPr>
          <w:rFonts w:cs="Times New Roman"/>
          <w:i/>
          <w:iCs/>
        </w:rPr>
      </w:pPr>
      <w:r>
        <w:rPr>
          <w:rFonts w:cs="Times New Roman"/>
          <w:i/>
          <w:iCs/>
        </w:rPr>
        <w:t xml:space="preserve">Table note: *p&lt; 0.05. </w:t>
      </w:r>
    </w:p>
    <w:p w14:paraId="634079F4" w14:textId="77777777" w:rsidR="00F742A4" w:rsidRPr="003C0ACE" w:rsidRDefault="00F742A4" w:rsidP="00F742A4">
      <w:pPr>
        <w:spacing w:line="360" w:lineRule="auto"/>
        <w:ind w:firstLine="720"/>
        <w:rPr>
          <w:rFonts w:cs="Times New Roman"/>
        </w:rPr>
      </w:pPr>
      <w:r>
        <w:rPr>
          <w:rFonts w:cs="Times New Roman"/>
        </w:rPr>
        <w:t xml:space="preserve">Table A3 presents the output from the ordered probit regression model, which was used to produce the probability estimates presented in Table 5. Table A3 demonstrates the presence of Indigenous management has a positive correlation with the likelihood of maintaining higher rates of </w:t>
      </w:r>
      <w:r w:rsidRPr="00010AB7">
        <w:rPr>
          <w:rFonts w:cs="Times New Roman"/>
        </w:rPr>
        <w:t xml:space="preserve">Indigenous employee retention </w:t>
      </w:r>
      <w:r w:rsidRPr="00010AB7">
        <w:rPr>
          <w:rFonts w:eastAsia="Times New Roman" w:cs="Times New Roman"/>
          <w:iCs/>
          <w:color w:val="000000"/>
          <w:lang w:eastAsia="en-AU"/>
        </w:rPr>
        <w:t>(</w:t>
      </w:r>
      <m:oMath>
        <m:acc>
          <m:accPr>
            <m:ctrlPr>
              <w:rPr>
                <w:rFonts w:ascii="Cambria Math" w:hAnsi="Cambria Math" w:cs="Times New Roman"/>
                <w:iCs/>
              </w:rPr>
            </m:ctrlPr>
          </m:accPr>
          <m:e>
            <m:r>
              <m:rPr>
                <m:sty m:val="p"/>
              </m:rPr>
              <w:rPr>
                <w:rFonts w:ascii="Cambria Math" w:hAnsi="Cambria Math" w:cs="Times New Roman"/>
              </w:rPr>
              <m:t>β</m:t>
            </m:r>
          </m:e>
        </m:acc>
      </m:oMath>
      <w:r w:rsidRPr="00010AB7">
        <w:rPr>
          <w:rFonts w:cs="Times New Roman"/>
          <w:iCs/>
        </w:rPr>
        <w:t xml:space="preserve"> </w:t>
      </w:r>
      <w:r w:rsidRPr="00010AB7">
        <w:rPr>
          <w:rFonts w:cs="Times New Roman"/>
        </w:rPr>
        <w:t xml:space="preserve"> = 0.42, p</w:t>
      </w:r>
      <w:r w:rsidRPr="00010AB7">
        <w:rPr>
          <w:rFonts w:cs="Times New Roman"/>
          <w:iCs/>
        </w:rPr>
        <w:t xml:space="preserve"> </w:t>
      </w:r>
      <w:r w:rsidRPr="00010AB7">
        <w:rPr>
          <w:rFonts w:cs="Times New Roman"/>
        </w:rPr>
        <w:t xml:space="preserve">&lt; .05). Large businesses of 200 or more employees again show a negative correlation with the dependent variable </w:t>
      </w:r>
      <w:r w:rsidRPr="00010AB7">
        <w:rPr>
          <w:rFonts w:eastAsia="Times New Roman" w:cs="Times New Roman"/>
          <w:iCs/>
          <w:color w:val="000000"/>
          <w:lang w:eastAsia="en-AU"/>
        </w:rPr>
        <w:t>(</w:t>
      </w:r>
      <m:oMath>
        <m:acc>
          <m:accPr>
            <m:ctrlPr>
              <w:rPr>
                <w:rFonts w:ascii="Cambria Math" w:hAnsi="Cambria Math" w:cs="Times New Roman"/>
                <w:iCs/>
              </w:rPr>
            </m:ctrlPr>
          </m:accPr>
          <m:e>
            <m:r>
              <m:rPr>
                <m:sty m:val="p"/>
              </m:rPr>
              <w:rPr>
                <w:rFonts w:ascii="Cambria Math" w:hAnsi="Cambria Math" w:cs="Times New Roman"/>
              </w:rPr>
              <m:t>β</m:t>
            </m:r>
          </m:e>
        </m:acc>
      </m:oMath>
      <w:r w:rsidRPr="00010AB7">
        <w:rPr>
          <w:rFonts w:cs="Times New Roman"/>
          <w:iCs/>
        </w:rPr>
        <w:t xml:space="preserve"> </w:t>
      </w:r>
      <w:r w:rsidRPr="00010AB7">
        <w:rPr>
          <w:rFonts w:cs="Times New Roman"/>
        </w:rPr>
        <w:t>= -0.53, p</w:t>
      </w:r>
      <w:r w:rsidRPr="00010AB7">
        <w:rPr>
          <w:rFonts w:cs="Times New Roman"/>
          <w:iCs/>
        </w:rPr>
        <w:t xml:space="preserve"> </w:t>
      </w:r>
      <w:r w:rsidRPr="00010AB7">
        <w:rPr>
          <w:rFonts w:cs="Times New Roman"/>
        </w:rPr>
        <w:t>&lt; .05). For this model, Indigenous workplace policies were not able to demonstrate any statistically significant association with Indigenous employee retention. In summary, whilst there appears to be some small moderation based on the size of non-Indigenous businesses, the strongest and most consistent positive association with higher rates of Indigenous employment and retention is the presence of Indigenous management within non-Indigenous businesses. This allowed for the methodological decision to make probability estimations based on the two variables with statistical significance, Indigenous management and business size.</w:t>
      </w:r>
    </w:p>
    <w:p w14:paraId="3B937C8D" w14:textId="77777777" w:rsidR="00F742A4" w:rsidRPr="0064139B" w:rsidRDefault="00F742A4" w:rsidP="00F742A4">
      <w:pPr>
        <w:spacing w:line="360" w:lineRule="auto"/>
        <w:rPr>
          <w:rFonts w:cs="Times New Roman"/>
          <w:b/>
          <w:bCs/>
          <w:szCs w:val="20"/>
        </w:rPr>
      </w:pPr>
      <w:r w:rsidRPr="0064139B">
        <w:rPr>
          <w:rFonts w:cs="Times New Roman"/>
          <w:b/>
          <w:bCs/>
          <w:szCs w:val="20"/>
        </w:rPr>
        <w:t xml:space="preserve">Table </w:t>
      </w:r>
      <w:r>
        <w:rPr>
          <w:rFonts w:cs="Times New Roman"/>
          <w:b/>
          <w:bCs/>
          <w:szCs w:val="20"/>
        </w:rPr>
        <w:t>A3: Ordered Probit Regression Model of Indigenous Staff Retention Relative to Other Staff, 2022.</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386"/>
        <w:gridCol w:w="1276"/>
      </w:tblGrid>
      <w:tr w:rsidR="00F742A4" w14:paraId="18B0BFAE" w14:textId="77777777" w:rsidTr="000E6BFE">
        <w:trPr>
          <w:trHeight w:val="315"/>
          <w:jc w:val="center"/>
        </w:trPr>
        <w:tc>
          <w:tcPr>
            <w:tcW w:w="2862" w:type="dxa"/>
            <w:shd w:val="clear" w:color="auto" w:fill="auto"/>
            <w:noWrap/>
            <w:vAlign w:val="bottom"/>
            <w:hideMark/>
          </w:tcPr>
          <w:p w14:paraId="241E112E" w14:textId="77777777" w:rsidR="00F742A4" w:rsidRPr="00CF111E" w:rsidRDefault="00F742A4" w:rsidP="00F742A4">
            <w:pPr>
              <w:spacing w:after="0"/>
              <w:rPr>
                <w:rFonts w:eastAsia="Times New Roman" w:cs="Times New Roman"/>
                <w:szCs w:val="20"/>
                <w:lang w:eastAsia="en-AU"/>
              </w:rPr>
            </w:pPr>
            <w:bookmarkStart w:id="0" w:name="_Hlk169016013"/>
          </w:p>
        </w:tc>
        <w:tc>
          <w:tcPr>
            <w:tcW w:w="2662" w:type="dxa"/>
            <w:gridSpan w:val="2"/>
            <w:shd w:val="clear" w:color="auto" w:fill="auto"/>
            <w:noWrap/>
            <w:vAlign w:val="bottom"/>
            <w:hideMark/>
          </w:tcPr>
          <w:p w14:paraId="3085D107" w14:textId="77777777" w:rsidR="00F742A4" w:rsidRPr="00010AB7" w:rsidRDefault="00F742A4" w:rsidP="00F742A4">
            <w:pPr>
              <w:spacing w:after="0"/>
              <w:jc w:val="center"/>
              <w:rPr>
                <w:rFonts w:eastAsia="Times New Roman" w:cs="Times New Roman"/>
                <w:b/>
                <w:bCs/>
                <w:color w:val="000000"/>
                <w:szCs w:val="20"/>
                <w:lang w:eastAsia="en-AU"/>
              </w:rPr>
            </w:pPr>
            <w:r w:rsidRPr="00010AB7">
              <w:rPr>
                <w:rFonts w:eastAsia="Times New Roman" w:cs="Times New Roman"/>
                <w:b/>
                <w:bCs/>
                <w:color w:val="000000"/>
                <w:szCs w:val="20"/>
                <w:lang w:eastAsia="en-AU"/>
              </w:rPr>
              <w:t>Ordered Probit Regression</w:t>
            </w:r>
          </w:p>
        </w:tc>
      </w:tr>
      <w:tr w:rsidR="00F742A4" w14:paraId="6BC00DA8" w14:textId="77777777" w:rsidTr="000E6BFE">
        <w:trPr>
          <w:trHeight w:val="290"/>
          <w:jc w:val="center"/>
        </w:trPr>
        <w:tc>
          <w:tcPr>
            <w:tcW w:w="2862" w:type="dxa"/>
            <w:shd w:val="clear" w:color="auto" w:fill="auto"/>
            <w:noWrap/>
            <w:vAlign w:val="bottom"/>
            <w:hideMark/>
          </w:tcPr>
          <w:p w14:paraId="4FB62A49"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Indigenous Retention Rates</w:t>
            </w:r>
          </w:p>
        </w:tc>
        <w:tc>
          <w:tcPr>
            <w:tcW w:w="1386" w:type="dxa"/>
            <w:shd w:val="clear" w:color="auto" w:fill="auto"/>
            <w:noWrap/>
            <w:vAlign w:val="bottom"/>
            <w:hideMark/>
          </w:tcPr>
          <w:p w14:paraId="1A811594"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Coefficient</w:t>
            </w:r>
          </w:p>
        </w:tc>
        <w:tc>
          <w:tcPr>
            <w:tcW w:w="1276" w:type="dxa"/>
            <w:shd w:val="clear" w:color="auto" w:fill="auto"/>
            <w:noWrap/>
            <w:vAlign w:val="bottom"/>
            <w:hideMark/>
          </w:tcPr>
          <w:p w14:paraId="6525872F"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Std. Err</w:t>
            </w:r>
          </w:p>
        </w:tc>
      </w:tr>
      <w:tr w:rsidR="00F742A4" w14:paraId="6982BA1E" w14:textId="77777777" w:rsidTr="000E6BFE">
        <w:trPr>
          <w:trHeight w:val="259"/>
          <w:jc w:val="center"/>
        </w:trPr>
        <w:tc>
          <w:tcPr>
            <w:tcW w:w="2862" w:type="dxa"/>
            <w:shd w:val="clear" w:color="auto" w:fill="auto"/>
            <w:noWrap/>
            <w:vAlign w:val="bottom"/>
            <w:hideMark/>
          </w:tcPr>
          <w:p w14:paraId="41D8E256"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Indigenous Manager/s</w:t>
            </w:r>
          </w:p>
        </w:tc>
        <w:tc>
          <w:tcPr>
            <w:tcW w:w="1386" w:type="dxa"/>
            <w:shd w:val="clear" w:color="auto" w:fill="auto"/>
            <w:noWrap/>
            <w:vAlign w:val="bottom"/>
            <w:hideMark/>
          </w:tcPr>
          <w:p w14:paraId="386FE445"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0.42*</w:t>
            </w:r>
          </w:p>
        </w:tc>
        <w:tc>
          <w:tcPr>
            <w:tcW w:w="1276" w:type="dxa"/>
            <w:shd w:val="clear" w:color="auto" w:fill="auto"/>
            <w:noWrap/>
            <w:vAlign w:val="bottom"/>
            <w:hideMark/>
          </w:tcPr>
          <w:p w14:paraId="3794FB8A"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0.15</w:t>
            </w:r>
          </w:p>
        </w:tc>
      </w:tr>
      <w:tr w:rsidR="00F742A4" w14:paraId="25AD347C" w14:textId="77777777" w:rsidTr="000E6BFE">
        <w:trPr>
          <w:trHeight w:val="291"/>
          <w:jc w:val="center"/>
        </w:trPr>
        <w:tc>
          <w:tcPr>
            <w:tcW w:w="2862" w:type="dxa"/>
            <w:shd w:val="clear" w:color="auto" w:fill="auto"/>
            <w:noWrap/>
            <w:vAlign w:val="bottom"/>
          </w:tcPr>
          <w:p w14:paraId="572AFAB2"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20-199 Business</w:t>
            </w:r>
          </w:p>
        </w:tc>
        <w:tc>
          <w:tcPr>
            <w:tcW w:w="1386" w:type="dxa"/>
            <w:shd w:val="clear" w:color="auto" w:fill="auto"/>
            <w:noWrap/>
          </w:tcPr>
          <w:p w14:paraId="26E06ACA" w14:textId="77777777" w:rsidR="00F742A4" w:rsidRPr="00010AB7" w:rsidRDefault="00F742A4" w:rsidP="00F742A4">
            <w:pPr>
              <w:spacing w:after="0"/>
              <w:jc w:val="right"/>
              <w:rPr>
                <w:rFonts w:eastAsia="Times New Roman" w:cs="Times New Roman"/>
                <w:color w:val="000000"/>
                <w:szCs w:val="20"/>
                <w:lang w:eastAsia="en-AU"/>
              </w:rPr>
            </w:pPr>
            <w:r w:rsidRPr="00010AB7">
              <w:t>-0.19</w:t>
            </w:r>
          </w:p>
        </w:tc>
        <w:tc>
          <w:tcPr>
            <w:tcW w:w="1276" w:type="dxa"/>
            <w:shd w:val="clear" w:color="auto" w:fill="auto"/>
            <w:noWrap/>
          </w:tcPr>
          <w:p w14:paraId="0A6D7EFC" w14:textId="77777777" w:rsidR="00F742A4" w:rsidRPr="00010AB7" w:rsidRDefault="00F742A4" w:rsidP="00F742A4">
            <w:pPr>
              <w:spacing w:after="0"/>
              <w:jc w:val="right"/>
              <w:rPr>
                <w:rFonts w:eastAsia="Times New Roman" w:cs="Times New Roman"/>
                <w:color w:val="000000"/>
                <w:szCs w:val="20"/>
                <w:lang w:eastAsia="en-AU"/>
              </w:rPr>
            </w:pPr>
            <w:r w:rsidRPr="00010AB7">
              <w:t>0.18</w:t>
            </w:r>
          </w:p>
        </w:tc>
      </w:tr>
      <w:tr w:rsidR="00F742A4" w14:paraId="5670ADFE" w14:textId="77777777" w:rsidTr="000E6BFE">
        <w:trPr>
          <w:trHeight w:val="267"/>
          <w:jc w:val="center"/>
        </w:trPr>
        <w:tc>
          <w:tcPr>
            <w:tcW w:w="2862" w:type="dxa"/>
            <w:shd w:val="clear" w:color="auto" w:fill="auto"/>
            <w:noWrap/>
            <w:vAlign w:val="bottom"/>
          </w:tcPr>
          <w:p w14:paraId="00C32F99"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200+ Businesses</w:t>
            </w:r>
          </w:p>
        </w:tc>
        <w:tc>
          <w:tcPr>
            <w:tcW w:w="1386" w:type="dxa"/>
            <w:shd w:val="clear" w:color="auto" w:fill="auto"/>
            <w:noWrap/>
          </w:tcPr>
          <w:p w14:paraId="5B05BD0C" w14:textId="77777777" w:rsidR="00F742A4" w:rsidRPr="00010AB7" w:rsidRDefault="00F742A4" w:rsidP="00F742A4">
            <w:pPr>
              <w:spacing w:after="0"/>
              <w:jc w:val="right"/>
              <w:rPr>
                <w:rFonts w:eastAsia="Times New Roman" w:cs="Times New Roman"/>
                <w:color w:val="000000"/>
                <w:szCs w:val="20"/>
                <w:lang w:eastAsia="en-AU"/>
              </w:rPr>
            </w:pPr>
            <w:r w:rsidRPr="00010AB7">
              <w:t>-0.56*</w:t>
            </w:r>
          </w:p>
        </w:tc>
        <w:tc>
          <w:tcPr>
            <w:tcW w:w="1276" w:type="dxa"/>
            <w:shd w:val="clear" w:color="auto" w:fill="auto"/>
            <w:noWrap/>
          </w:tcPr>
          <w:p w14:paraId="0632659B" w14:textId="77777777" w:rsidR="00F742A4" w:rsidRPr="00010AB7" w:rsidRDefault="00F742A4" w:rsidP="00F742A4">
            <w:pPr>
              <w:spacing w:after="0"/>
              <w:jc w:val="right"/>
              <w:rPr>
                <w:rFonts w:eastAsia="Times New Roman" w:cs="Times New Roman"/>
                <w:color w:val="000000"/>
                <w:szCs w:val="20"/>
                <w:lang w:eastAsia="en-AU"/>
              </w:rPr>
            </w:pPr>
            <w:r w:rsidRPr="00010AB7">
              <w:t>0.21</w:t>
            </w:r>
          </w:p>
        </w:tc>
      </w:tr>
      <w:tr w:rsidR="00F742A4" w14:paraId="595397B3" w14:textId="77777777" w:rsidTr="000E6BFE">
        <w:trPr>
          <w:trHeight w:val="109"/>
          <w:jc w:val="center"/>
        </w:trPr>
        <w:tc>
          <w:tcPr>
            <w:tcW w:w="2862" w:type="dxa"/>
            <w:shd w:val="clear" w:color="auto" w:fill="auto"/>
            <w:noWrap/>
            <w:vAlign w:val="bottom"/>
          </w:tcPr>
          <w:p w14:paraId="3BCFDC70"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Indigenous Policy Bundle</w:t>
            </w:r>
          </w:p>
        </w:tc>
        <w:tc>
          <w:tcPr>
            <w:tcW w:w="1386" w:type="dxa"/>
            <w:shd w:val="clear" w:color="auto" w:fill="auto"/>
            <w:noWrap/>
          </w:tcPr>
          <w:p w14:paraId="3048957F" w14:textId="77777777" w:rsidR="00F742A4" w:rsidRPr="00010AB7" w:rsidRDefault="00F742A4" w:rsidP="00F742A4">
            <w:pPr>
              <w:spacing w:after="0"/>
              <w:jc w:val="right"/>
              <w:rPr>
                <w:rFonts w:eastAsia="Times New Roman" w:cs="Times New Roman"/>
                <w:color w:val="000000"/>
                <w:szCs w:val="20"/>
                <w:lang w:eastAsia="en-AU"/>
              </w:rPr>
            </w:pPr>
            <w:r w:rsidRPr="00010AB7">
              <w:t>0.27</w:t>
            </w:r>
          </w:p>
        </w:tc>
        <w:tc>
          <w:tcPr>
            <w:tcW w:w="1276" w:type="dxa"/>
            <w:shd w:val="clear" w:color="auto" w:fill="auto"/>
            <w:noWrap/>
          </w:tcPr>
          <w:p w14:paraId="6B9BF6AF" w14:textId="77777777" w:rsidR="00F742A4" w:rsidRPr="00010AB7" w:rsidRDefault="00F742A4" w:rsidP="00F742A4">
            <w:pPr>
              <w:spacing w:after="0"/>
              <w:jc w:val="right"/>
              <w:rPr>
                <w:rFonts w:eastAsia="Times New Roman" w:cs="Times New Roman"/>
                <w:color w:val="000000"/>
                <w:szCs w:val="20"/>
                <w:lang w:eastAsia="en-AU"/>
              </w:rPr>
            </w:pPr>
            <w:r w:rsidRPr="00010AB7">
              <w:t>0.18</w:t>
            </w:r>
          </w:p>
        </w:tc>
      </w:tr>
      <w:tr w:rsidR="00F742A4" w14:paraId="3401D1F1" w14:textId="77777777" w:rsidTr="000E6BFE">
        <w:trPr>
          <w:trHeight w:val="239"/>
          <w:jc w:val="center"/>
        </w:trPr>
        <w:tc>
          <w:tcPr>
            <w:tcW w:w="2862" w:type="dxa"/>
            <w:shd w:val="clear" w:color="auto" w:fill="auto"/>
            <w:noWrap/>
            <w:vAlign w:val="bottom"/>
            <w:hideMark/>
          </w:tcPr>
          <w:p w14:paraId="76EF9F3E"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Regional</w:t>
            </w:r>
          </w:p>
        </w:tc>
        <w:tc>
          <w:tcPr>
            <w:tcW w:w="1386" w:type="dxa"/>
            <w:shd w:val="clear" w:color="auto" w:fill="auto"/>
            <w:noWrap/>
            <w:hideMark/>
          </w:tcPr>
          <w:p w14:paraId="61BCF8F8" w14:textId="77777777" w:rsidR="00F742A4" w:rsidRPr="00010AB7" w:rsidRDefault="00F742A4" w:rsidP="00F742A4">
            <w:pPr>
              <w:spacing w:after="0"/>
              <w:jc w:val="right"/>
              <w:rPr>
                <w:rFonts w:eastAsia="Times New Roman" w:cs="Times New Roman"/>
                <w:color w:val="000000"/>
                <w:szCs w:val="20"/>
                <w:lang w:eastAsia="en-AU"/>
              </w:rPr>
            </w:pPr>
            <w:r w:rsidRPr="00010AB7">
              <w:t>-0.06</w:t>
            </w:r>
          </w:p>
        </w:tc>
        <w:tc>
          <w:tcPr>
            <w:tcW w:w="1276" w:type="dxa"/>
            <w:shd w:val="clear" w:color="auto" w:fill="auto"/>
            <w:noWrap/>
            <w:hideMark/>
          </w:tcPr>
          <w:p w14:paraId="29A82E38" w14:textId="77777777" w:rsidR="00F742A4" w:rsidRPr="00010AB7" w:rsidRDefault="00F742A4" w:rsidP="00F742A4">
            <w:pPr>
              <w:spacing w:after="0"/>
              <w:jc w:val="right"/>
              <w:rPr>
                <w:rFonts w:eastAsia="Times New Roman" w:cs="Times New Roman"/>
                <w:color w:val="000000"/>
                <w:szCs w:val="20"/>
                <w:lang w:eastAsia="en-AU"/>
              </w:rPr>
            </w:pPr>
            <w:r w:rsidRPr="00010AB7">
              <w:t>0.16</w:t>
            </w:r>
          </w:p>
        </w:tc>
      </w:tr>
      <w:tr w:rsidR="00F742A4" w14:paraId="0F6B1A71" w14:textId="77777777" w:rsidTr="000E6BFE">
        <w:trPr>
          <w:trHeight w:val="287"/>
          <w:jc w:val="center"/>
        </w:trPr>
        <w:tc>
          <w:tcPr>
            <w:tcW w:w="2862" w:type="dxa"/>
            <w:shd w:val="clear" w:color="auto" w:fill="auto"/>
            <w:noWrap/>
            <w:vAlign w:val="bottom"/>
            <w:hideMark/>
          </w:tcPr>
          <w:p w14:paraId="44DFDBD9"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Remote</w:t>
            </w:r>
          </w:p>
        </w:tc>
        <w:tc>
          <w:tcPr>
            <w:tcW w:w="1386" w:type="dxa"/>
            <w:shd w:val="clear" w:color="auto" w:fill="auto"/>
            <w:noWrap/>
            <w:hideMark/>
          </w:tcPr>
          <w:p w14:paraId="5B01F0BE" w14:textId="77777777" w:rsidR="00F742A4" w:rsidRPr="00010AB7" w:rsidRDefault="00F742A4" w:rsidP="00F742A4">
            <w:pPr>
              <w:spacing w:after="0"/>
              <w:jc w:val="right"/>
              <w:rPr>
                <w:rFonts w:eastAsia="Times New Roman" w:cs="Times New Roman"/>
                <w:color w:val="000000"/>
                <w:szCs w:val="20"/>
                <w:lang w:eastAsia="en-AU"/>
              </w:rPr>
            </w:pPr>
            <w:r w:rsidRPr="00010AB7">
              <w:t>-0.43</w:t>
            </w:r>
          </w:p>
        </w:tc>
        <w:tc>
          <w:tcPr>
            <w:tcW w:w="1276" w:type="dxa"/>
            <w:shd w:val="clear" w:color="auto" w:fill="auto"/>
            <w:noWrap/>
            <w:hideMark/>
          </w:tcPr>
          <w:p w14:paraId="747D8BDA" w14:textId="77777777" w:rsidR="00F742A4" w:rsidRPr="00010AB7" w:rsidRDefault="00F742A4" w:rsidP="00F742A4">
            <w:pPr>
              <w:spacing w:after="0"/>
              <w:jc w:val="right"/>
              <w:rPr>
                <w:rFonts w:eastAsia="Times New Roman" w:cs="Times New Roman"/>
                <w:color w:val="000000"/>
                <w:szCs w:val="20"/>
                <w:lang w:eastAsia="en-AU"/>
              </w:rPr>
            </w:pPr>
            <w:r w:rsidRPr="00010AB7">
              <w:t>0.36</w:t>
            </w:r>
          </w:p>
        </w:tc>
      </w:tr>
      <w:tr w:rsidR="00F742A4" w14:paraId="676664DB" w14:textId="77777777" w:rsidTr="000E6BFE">
        <w:trPr>
          <w:trHeight w:val="265"/>
          <w:jc w:val="center"/>
        </w:trPr>
        <w:tc>
          <w:tcPr>
            <w:tcW w:w="2862" w:type="dxa"/>
            <w:shd w:val="clear" w:color="auto" w:fill="auto"/>
            <w:noWrap/>
            <w:vAlign w:val="bottom"/>
            <w:hideMark/>
          </w:tcPr>
          <w:p w14:paraId="1AE2186D"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Cut 1</w:t>
            </w:r>
          </w:p>
        </w:tc>
        <w:tc>
          <w:tcPr>
            <w:tcW w:w="1386" w:type="dxa"/>
            <w:shd w:val="clear" w:color="auto" w:fill="auto"/>
            <w:noWrap/>
            <w:vAlign w:val="bottom"/>
            <w:hideMark/>
          </w:tcPr>
          <w:p w14:paraId="6ECFC9FD"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-0.64</w:t>
            </w:r>
          </w:p>
        </w:tc>
        <w:tc>
          <w:tcPr>
            <w:tcW w:w="1276" w:type="dxa"/>
            <w:shd w:val="clear" w:color="auto" w:fill="auto"/>
            <w:noWrap/>
            <w:vAlign w:val="bottom"/>
            <w:hideMark/>
          </w:tcPr>
          <w:p w14:paraId="3484D82F"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0.18</w:t>
            </w:r>
          </w:p>
        </w:tc>
      </w:tr>
      <w:tr w:rsidR="00F742A4" w14:paraId="7B217CD9" w14:textId="77777777" w:rsidTr="000E6BFE">
        <w:trPr>
          <w:trHeight w:val="290"/>
          <w:jc w:val="center"/>
        </w:trPr>
        <w:tc>
          <w:tcPr>
            <w:tcW w:w="2862" w:type="dxa"/>
            <w:shd w:val="clear" w:color="auto" w:fill="auto"/>
            <w:noWrap/>
            <w:vAlign w:val="bottom"/>
            <w:hideMark/>
          </w:tcPr>
          <w:p w14:paraId="5E3800F8" w14:textId="77777777" w:rsidR="00F742A4" w:rsidRPr="00010AB7" w:rsidRDefault="00F742A4" w:rsidP="00F742A4">
            <w:pPr>
              <w:spacing w:after="0"/>
              <w:rPr>
                <w:rFonts w:eastAsia="Times New Roman" w:cs="Times New Roman"/>
                <w:color w:val="000000"/>
                <w:szCs w:val="20"/>
                <w:lang w:eastAsia="en-AU"/>
              </w:rPr>
            </w:pPr>
            <w:r w:rsidRPr="00010AB7">
              <w:rPr>
                <w:rFonts w:eastAsia="Times New Roman" w:cs="Times New Roman"/>
                <w:color w:val="000000"/>
                <w:szCs w:val="20"/>
                <w:lang w:eastAsia="en-AU"/>
              </w:rPr>
              <w:t>Cut 2</w:t>
            </w:r>
          </w:p>
        </w:tc>
        <w:tc>
          <w:tcPr>
            <w:tcW w:w="1386" w:type="dxa"/>
            <w:shd w:val="clear" w:color="auto" w:fill="auto"/>
            <w:noWrap/>
            <w:vAlign w:val="bottom"/>
            <w:hideMark/>
          </w:tcPr>
          <w:p w14:paraId="258A1B03"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1.49</w:t>
            </w:r>
          </w:p>
        </w:tc>
        <w:tc>
          <w:tcPr>
            <w:tcW w:w="1276" w:type="dxa"/>
            <w:shd w:val="clear" w:color="auto" w:fill="auto"/>
            <w:noWrap/>
            <w:vAlign w:val="bottom"/>
            <w:hideMark/>
          </w:tcPr>
          <w:p w14:paraId="3E3B11AA"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0.20</w:t>
            </w:r>
          </w:p>
        </w:tc>
      </w:tr>
      <w:tr w:rsidR="00F742A4" w14:paraId="0DA1CA29" w14:textId="77777777" w:rsidTr="000E6BFE">
        <w:trPr>
          <w:trHeight w:val="290"/>
          <w:jc w:val="center"/>
        </w:trPr>
        <w:tc>
          <w:tcPr>
            <w:tcW w:w="2862" w:type="dxa"/>
            <w:shd w:val="clear" w:color="auto" w:fill="auto"/>
            <w:noWrap/>
            <w:vAlign w:val="bottom"/>
            <w:hideMark/>
          </w:tcPr>
          <w:p w14:paraId="4EBF85B8" w14:textId="77777777" w:rsidR="00F742A4" w:rsidRPr="00010AB7" w:rsidRDefault="00F742A4" w:rsidP="00F742A4">
            <w:pPr>
              <w:spacing w:after="0"/>
              <w:rPr>
                <w:rFonts w:eastAsia="Times New Roman" w:cs="Times New Roman"/>
                <w:i/>
                <w:iCs/>
                <w:color w:val="000000"/>
                <w:szCs w:val="20"/>
                <w:lang w:eastAsia="en-AU"/>
              </w:rPr>
            </w:pPr>
            <w:r w:rsidRPr="00010AB7">
              <w:rPr>
                <w:rFonts w:eastAsia="Times New Roman" w:cs="Times New Roman"/>
                <w:i/>
                <w:iCs/>
                <w:color w:val="000000"/>
                <w:szCs w:val="20"/>
                <w:lang w:eastAsia="en-AU"/>
              </w:rPr>
              <w:t>No. of Obs. =</w:t>
            </w:r>
          </w:p>
        </w:tc>
        <w:tc>
          <w:tcPr>
            <w:tcW w:w="1386" w:type="dxa"/>
            <w:shd w:val="clear" w:color="auto" w:fill="auto"/>
            <w:noWrap/>
            <w:vAlign w:val="bottom"/>
            <w:hideMark/>
          </w:tcPr>
          <w:p w14:paraId="2479CB79" w14:textId="77777777" w:rsidR="00F742A4" w:rsidRPr="00010AB7" w:rsidRDefault="00F742A4" w:rsidP="00F742A4">
            <w:pPr>
              <w:spacing w:after="0"/>
              <w:jc w:val="right"/>
              <w:rPr>
                <w:rFonts w:eastAsia="Times New Roman" w:cs="Times New Roman"/>
                <w:color w:val="000000"/>
                <w:szCs w:val="20"/>
                <w:lang w:eastAsia="en-AU"/>
              </w:rPr>
            </w:pPr>
          </w:p>
        </w:tc>
        <w:tc>
          <w:tcPr>
            <w:tcW w:w="1276" w:type="dxa"/>
            <w:shd w:val="clear" w:color="auto" w:fill="auto"/>
            <w:noWrap/>
            <w:vAlign w:val="bottom"/>
            <w:hideMark/>
          </w:tcPr>
          <w:p w14:paraId="6F7F9C73" w14:textId="77777777" w:rsidR="00F742A4" w:rsidRPr="00010AB7" w:rsidRDefault="00F742A4" w:rsidP="00F742A4">
            <w:pPr>
              <w:spacing w:after="0"/>
              <w:jc w:val="right"/>
              <w:rPr>
                <w:rFonts w:eastAsia="Times New Roman" w:cs="Times New Roman"/>
                <w:i/>
                <w:iCs/>
                <w:color w:val="000000"/>
                <w:szCs w:val="20"/>
                <w:lang w:eastAsia="en-AU"/>
              </w:rPr>
            </w:pPr>
            <w:r w:rsidRPr="00010AB7">
              <w:rPr>
                <w:rFonts w:eastAsia="Times New Roman" w:cs="Times New Roman"/>
                <w:color w:val="000000"/>
                <w:szCs w:val="20"/>
                <w:lang w:eastAsia="en-AU"/>
              </w:rPr>
              <w:t>277</w:t>
            </w:r>
          </w:p>
        </w:tc>
      </w:tr>
      <w:tr w:rsidR="00F742A4" w14:paraId="1FF62AF6" w14:textId="77777777" w:rsidTr="000E6BFE">
        <w:trPr>
          <w:trHeight w:val="290"/>
          <w:jc w:val="center"/>
        </w:trPr>
        <w:tc>
          <w:tcPr>
            <w:tcW w:w="2862" w:type="dxa"/>
            <w:shd w:val="clear" w:color="auto" w:fill="auto"/>
            <w:noWrap/>
            <w:vAlign w:val="bottom"/>
            <w:hideMark/>
          </w:tcPr>
          <w:p w14:paraId="12D54D68" w14:textId="77777777" w:rsidR="00F742A4" w:rsidRPr="00010AB7" w:rsidRDefault="00F742A4" w:rsidP="00F742A4">
            <w:pPr>
              <w:spacing w:after="0"/>
              <w:rPr>
                <w:rFonts w:eastAsia="Times New Roman" w:cs="Times New Roman"/>
                <w:i/>
                <w:iCs/>
                <w:color w:val="000000"/>
                <w:szCs w:val="20"/>
                <w:lang w:eastAsia="en-AU"/>
              </w:rPr>
            </w:pPr>
            <w:r w:rsidRPr="00010AB7">
              <w:rPr>
                <w:rFonts w:eastAsia="Times New Roman" w:cs="Times New Roman"/>
                <w:i/>
                <w:iCs/>
                <w:color w:val="000000"/>
                <w:szCs w:val="20"/>
                <w:lang w:eastAsia="en-AU"/>
              </w:rPr>
              <w:t xml:space="preserve">LR chi2(6) = </w:t>
            </w:r>
          </w:p>
        </w:tc>
        <w:tc>
          <w:tcPr>
            <w:tcW w:w="1386" w:type="dxa"/>
            <w:shd w:val="clear" w:color="auto" w:fill="auto"/>
            <w:noWrap/>
            <w:vAlign w:val="bottom"/>
            <w:hideMark/>
          </w:tcPr>
          <w:p w14:paraId="1C073F56" w14:textId="77777777" w:rsidR="00F742A4" w:rsidRPr="00010AB7" w:rsidRDefault="00F742A4" w:rsidP="00F742A4">
            <w:pPr>
              <w:spacing w:after="0"/>
              <w:jc w:val="right"/>
              <w:rPr>
                <w:rFonts w:eastAsia="Times New Roman" w:cs="Times New Roman"/>
                <w:color w:val="000000"/>
                <w:szCs w:val="20"/>
                <w:lang w:eastAsia="en-AU"/>
              </w:rPr>
            </w:pPr>
          </w:p>
        </w:tc>
        <w:tc>
          <w:tcPr>
            <w:tcW w:w="1276" w:type="dxa"/>
            <w:shd w:val="clear" w:color="auto" w:fill="auto"/>
            <w:noWrap/>
            <w:vAlign w:val="bottom"/>
            <w:hideMark/>
          </w:tcPr>
          <w:p w14:paraId="5D1594B1"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16.19</w:t>
            </w:r>
          </w:p>
        </w:tc>
      </w:tr>
      <w:tr w:rsidR="00F742A4" w14:paraId="127EDAAC" w14:textId="77777777" w:rsidTr="000E6BFE">
        <w:trPr>
          <w:trHeight w:val="290"/>
          <w:jc w:val="center"/>
        </w:trPr>
        <w:tc>
          <w:tcPr>
            <w:tcW w:w="2862" w:type="dxa"/>
            <w:shd w:val="clear" w:color="auto" w:fill="auto"/>
            <w:noWrap/>
            <w:vAlign w:val="bottom"/>
            <w:hideMark/>
          </w:tcPr>
          <w:p w14:paraId="41DADEFB" w14:textId="77777777" w:rsidR="00F742A4" w:rsidRPr="00010AB7" w:rsidRDefault="00F742A4" w:rsidP="00F742A4">
            <w:pPr>
              <w:spacing w:after="0"/>
              <w:rPr>
                <w:rFonts w:eastAsia="Times New Roman" w:cs="Times New Roman"/>
                <w:i/>
                <w:iCs/>
                <w:color w:val="000000"/>
                <w:szCs w:val="20"/>
                <w:lang w:eastAsia="en-AU"/>
              </w:rPr>
            </w:pPr>
            <w:r w:rsidRPr="00010AB7">
              <w:rPr>
                <w:rFonts w:eastAsia="Times New Roman" w:cs="Times New Roman"/>
                <w:i/>
                <w:iCs/>
                <w:color w:val="000000"/>
                <w:szCs w:val="20"/>
                <w:lang w:eastAsia="en-AU"/>
              </w:rPr>
              <w:t xml:space="preserve">Prob &gt; chi2 = </w:t>
            </w:r>
          </w:p>
        </w:tc>
        <w:tc>
          <w:tcPr>
            <w:tcW w:w="1386" w:type="dxa"/>
            <w:shd w:val="clear" w:color="auto" w:fill="auto"/>
            <w:noWrap/>
            <w:vAlign w:val="bottom"/>
            <w:hideMark/>
          </w:tcPr>
          <w:p w14:paraId="04A92532" w14:textId="77777777" w:rsidR="00F742A4" w:rsidRPr="00010AB7" w:rsidRDefault="00F742A4" w:rsidP="00F742A4">
            <w:pPr>
              <w:spacing w:after="0"/>
              <w:jc w:val="right"/>
              <w:rPr>
                <w:rFonts w:eastAsia="Times New Roman" w:cs="Times New Roman"/>
                <w:color w:val="000000"/>
                <w:szCs w:val="20"/>
                <w:lang w:eastAsia="en-AU"/>
              </w:rPr>
            </w:pPr>
          </w:p>
        </w:tc>
        <w:tc>
          <w:tcPr>
            <w:tcW w:w="1276" w:type="dxa"/>
            <w:shd w:val="clear" w:color="auto" w:fill="auto"/>
            <w:noWrap/>
            <w:vAlign w:val="bottom"/>
            <w:hideMark/>
          </w:tcPr>
          <w:p w14:paraId="680492C1" w14:textId="77777777" w:rsidR="00F742A4" w:rsidRPr="00010AB7" w:rsidRDefault="00F742A4" w:rsidP="00F742A4">
            <w:pPr>
              <w:spacing w:after="0"/>
              <w:jc w:val="right"/>
              <w:rPr>
                <w:rFonts w:eastAsia="Times New Roman" w:cs="Times New Roman"/>
                <w:color w:val="000000"/>
                <w:szCs w:val="20"/>
                <w:lang w:eastAsia="en-AU"/>
              </w:rPr>
            </w:pPr>
            <w:r w:rsidRPr="00010AB7">
              <w:rPr>
                <w:rFonts w:eastAsia="Times New Roman" w:cs="Times New Roman"/>
                <w:color w:val="000000"/>
                <w:szCs w:val="20"/>
                <w:lang w:eastAsia="en-AU"/>
              </w:rPr>
              <w:t>0.01</w:t>
            </w:r>
          </w:p>
        </w:tc>
      </w:tr>
    </w:tbl>
    <w:p w14:paraId="01ADF3CB" w14:textId="1AF42A39" w:rsidR="00BA6B7E" w:rsidRPr="00F742A4" w:rsidRDefault="00F742A4">
      <w:pPr>
        <w:rPr>
          <w:rFonts w:cs="Times New Roman"/>
          <w:b/>
          <w:bCs/>
          <w:i/>
          <w:iCs/>
        </w:rPr>
      </w:pPr>
      <w:bookmarkStart w:id="1" w:name="_Hlk169016036"/>
      <w:bookmarkEnd w:id="0"/>
      <w:r w:rsidRPr="00010AB7">
        <w:rPr>
          <w:rFonts w:cs="Times New Roman"/>
          <w:i/>
          <w:iCs/>
        </w:rPr>
        <w:t>This table presents an ordered probit regression. The dependent variable is an ordinal variable based on a survey question asked of the 307 businesses with Indigenous employees relating to their perceptions of Indigenous employee retention. This ordinal variable is defined as 0 = Indigenous retention lower than non-Indigenous</w:t>
      </w:r>
      <w:r>
        <w:rPr>
          <w:rFonts w:cs="Times New Roman"/>
          <w:i/>
          <w:iCs/>
        </w:rPr>
        <w:t>, 1 = the same, and 2 = Indigenous retention higher than non-Indigenous. N=30 of the sample is excluded as they answered 'don't know' to the retention question.</w:t>
      </w:r>
      <w:r w:rsidRPr="00E24F36">
        <w:rPr>
          <w:rFonts w:cs="Times New Roman"/>
          <w:i/>
          <w:iCs/>
        </w:rPr>
        <w:t xml:space="preserve"> *p &lt; 0.05.</w:t>
      </w:r>
      <w:bookmarkEnd w:id="1"/>
    </w:p>
    <w:sectPr w:rsidR="00BA6B7E" w:rsidRPr="00F7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8C"/>
    <w:rsid w:val="00474EB8"/>
    <w:rsid w:val="006E6D8C"/>
    <w:rsid w:val="00731EAC"/>
    <w:rsid w:val="009F1231"/>
    <w:rsid w:val="00BA6B7E"/>
    <w:rsid w:val="00CE383D"/>
    <w:rsid w:val="00F208CB"/>
    <w:rsid w:val="00F74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7242"/>
  <w15:chartTrackingRefBased/>
  <w15:docId w15:val="{6D3EE89D-749C-4EAF-BCD0-B3DCB762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A4"/>
    <w:pPr>
      <w:spacing w:line="240" w:lineRule="auto"/>
    </w:pPr>
    <w:rPr>
      <w:rFonts w:ascii="Times New Roman" w:hAnsi="Times New Roman"/>
      <w:kern w:val="0"/>
      <w:sz w:val="20"/>
      <w14:ligatures w14:val="none"/>
    </w:rPr>
  </w:style>
  <w:style w:type="paragraph" w:styleId="Heading1">
    <w:name w:val="heading 1"/>
    <w:basedOn w:val="Normal"/>
    <w:next w:val="Normal"/>
    <w:link w:val="Heading1Char"/>
    <w:uiPriority w:val="9"/>
    <w:qFormat/>
    <w:rsid w:val="006E6D8C"/>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6D8C"/>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6D8C"/>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6D8C"/>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E6D8C"/>
    <w:pPr>
      <w:keepNext/>
      <w:keepLines/>
      <w:spacing w:before="80" w:after="40" w:line="259" w:lineRule="auto"/>
      <w:outlineLvl w:val="4"/>
    </w:pPr>
    <w:rPr>
      <w:rFonts w:asciiTheme="minorHAnsi" w:eastAsiaTheme="majorEastAsia" w:hAnsiTheme="minorHAnsi" w:cstheme="majorBidi"/>
      <w:color w:val="2E74B5"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E6D8C"/>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E6D8C"/>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E6D8C"/>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E6D8C"/>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D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6D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6D8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6D8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6D8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6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D8C"/>
    <w:rPr>
      <w:rFonts w:eastAsiaTheme="majorEastAsia" w:cstheme="majorBidi"/>
      <w:color w:val="272727" w:themeColor="text1" w:themeTint="D8"/>
    </w:rPr>
  </w:style>
  <w:style w:type="paragraph" w:styleId="Title">
    <w:name w:val="Title"/>
    <w:basedOn w:val="Normal"/>
    <w:next w:val="Normal"/>
    <w:link w:val="TitleChar"/>
    <w:uiPriority w:val="10"/>
    <w:qFormat/>
    <w:rsid w:val="006E6D8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6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D8C"/>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6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D8C"/>
    <w:pPr>
      <w:spacing w:before="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E6D8C"/>
    <w:rPr>
      <w:i/>
      <w:iCs/>
      <w:color w:val="404040" w:themeColor="text1" w:themeTint="BF"/>
    </w:rPr>
  </w:style>
  <w:style w:type="paragraph" w:styleId="ListParagraph">
    <w:name w:val="List Paragraph"/>
    <w:basedOn w:val="Normal"/>
    <w:uiPriority w:val="34"/>
    <w:qFormat/>
    <w:rsid w:val="006E6D8C"/>
    <w:pPr>
      <w:spacing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6E6D8C"/>
    <w:rPr>
      <w:i/>
      <w:iCs/>
      <w:color w:val="2E74B5" w:themeColor="accent1" w:themeShade="BF"/>
    </w:rPr>
  </w:style>
  <w:style w:type="paragraph" w:styleId="IntenseQuote">
    <w:name w:val="Intense Quote"/>
    <w:basedOn w:val="Normal"/>
    <w:next w:val="Normal"/>
    <w:link w:val="IntenseQuoteChar"/>
    <w:uiPriority w:val="30"/>
    <w:qFormat/>
    <w:rsid w:val="006E6D8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i/>
      <w:iCs/>
      <w:color w:val="2E74B5"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E6D8C"/>
    <w:rPr>
      <w:i/>
      <w:iCs/>
      <w:color w:val="2E74B5" w:themeColor="accent1" w:themeShade="BF"/>
    </w:rPr>
  </w:style>
  <w:style w:type="character" w:styleId="IntenseReference">
    <w:name w:val="Intense Reference"/>
    <w:basedOn w:val="DefaultParagraphFont"/>
    <w:uiPriority w:val="32"/>
    <w:qFormat/>
    <w:rsid w:val="006E6D8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4330</Characters>
  <Application>Microsoft Office Word</Application>
  <DocSecurity>0</DocSecurity>
  <Lines>36</Lines>
  <Paragraphs>10</Paragraphs>
  <ScaleCrop>false</ScaleCrop>
  <Company>The Australian National University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Eva</dc:creator>
  <cp:keywords/>
  <dc:description/>
  <cp:lastModifiedBy>Christian Eva</cp:lastModifiedBy>
  <cp:revision>2</cp:revision>
  <dcterms:created xsi:type="dcterms:W3CDTF">2024-07-08T23:59:00Z</dcterms:created>
  <dcterms:modified xsi:type="dcterms:W3CDTF">2024-07-09T00:02:00Z</dcterms:modified>
</cp:coreProperties>
</file>