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6A03" w14:textId="201E3D70" w:rsidR="000E7337" w:rsidRDefault="007A5188">
      <w:r>
        <w:rPr>
          <w:noProof/>
        </w:rPr>
        <w:drawing>
          <wp:inline distT="0" distB="0" distL="0" distR="0" wp14:anchorId="4327AD8E" wp14:editId="5455867D">
            <wp:extent cx="4853266" cy="7200000"/>
            <wp:effectExtent l="0" t="0" r="5080" b="1270"/>
            <wp:docPr id="1086901957" name="Imagem 4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1957" name="Imagem 4" descr="Mapa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6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16D4" w14:textId="2C6B9827" w:rsidR="000E7337" w:rsidRDefault="000E7337" w:rsidP="000E733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</w:t>
      </w:r>
      <w:r w:rsidR="00F766B4">
        <w:rPr>
          <w:rFonts w:ascii="Times New Roman" w:hAnsi="Times New Roman"/>
          <w:b/>
          <w:bCs/>
          <w:sz w:val="24"/>
          <w:szCs w:val="24"/>
          <w:lang w:val="en-US"/>
        </w:rPr>
        <w:t xml:space="preserve">figure </w:t>
      </w:r>
      <w:r w:rsidRPr="00012D63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BB32BC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Phenology and reproduction of trees in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</w:t>
      </w:r>
      <w:r w:rsidR="003C2347">
        <w:rPr>
          <w:rFonts w:ascii="Times New Roman" w:hAnsi="Times New Roman"/>
          <w:sz w:val="24"/>
          <w:szCs w:val="24"/>
          <w:lang w:val="en-US"/>
        </w:rPr>
        <w:t>a</w:t>
      </w:r>
      <w:r w:rsidRPr="00BB32BC">
        <w:rPr>
          <w:rFonts w:ascii="Times New Roman" w:hAnsi="Times New Roman"/>
          <w:sz w:val="24"/>
          <w:szCs w:val="24"/>
          <w:lang w:val="en-US"/>
        </w:rPr>
        <w:t>rzea</w:t>
      </w:r>
      <w:proofErr w:type="spellEnd"/>
      <w:r w:rsidRPr="00BB32BC">
        <w:rPr>
          <w:rFonts w:ascii="Times New Roman" w:hAnsi="Times New Roman"/>
          <w:sz w:val="24"/>
          <w:szCs w:val="24"/>
          <w:lang w:val="en-US"/>
        </w:rPr>
        <w:t xml:space="preserve"> forests from Central Amazonia</w:t>
      </w:r>
      <w:r>
        <w:rPr>
          <w:rFonts w:ascii="Times New Roman" w:hAnsi="Times New Roman"/>
          <w:sz w:val="24"/>
          <w:szCs w:val="24"/>
          <w:lang w:val="en-US"/>
        </w:rPr>
        <w:t xml:space="preserve"> in relation to the flood pulse</w:t>
      </w:r>
      <w:r w:rsidRPr="00BB32BC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(A) Fruits of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Crataeva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tapia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floating in water. (B) Germination of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Vitex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cymosa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 in water. The arrow shows the primary root. </w:t>
      </w:r>
      <w:r>
        <w:rPr>
          <w:rFonts w:ascii="Times New Roman" w:hAnsi="Times New Roman"/>
          <w:sz w:val="24"/>
          <w:szCs w:val="24"/>
          <w:lang w:val="en-US"/>
        </w:rPr>
        <w:t>(C)</w:t>
      </w:r>
      <w:r w:rsidRPr="00BB32B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B32BC">
        <w:rPr>
          <w:rFonts w:ascii="Times New Roman" w:hAnsi="Times New Roman"/>
          <w:i/>
          <w:iCs/>
          <w:sz w:val="24"/>
          <w:szCs w:val="24"/>
          <w:lang w:val="en-US"/>
        </w:rPr>
        <w:t xml:space="preserve">Psidium </w:t>
      </w:r>
      <w:proofErr w:type="spellStart"/>
      <w:r w:rsidRPr="00BB32BC">
        <w:rPr>
          <w:rFonts w:ascii="Times New Roman" w:hAnsi="Times New Roman"/>
          <w:i/>
          <w:iCs/>
          <w:sz w:val="24"/>
          <w:szCs w:val="24"/>
          <w:lang w:val="en-US"/>
        </w:rPr>
        <w:t>acutangulum</w:t>
      </w:r>
      <w:proofErr w:type="spellEnd"/>
      <w:r w:rsidRPr="00BB32BC">
        <w:rPr>
          <w:rFonts w:ascii="Times New Roman" w:hAnsi="Times New Roman"/>
          <w:sz w:val="24"/>
          <w:szCs w:val="24"/>
          <w:lang w:val="en-US"/>
        </w:rPr>
        <w:t xml:space="preserve"> with fruits (yellow circle) during the flood season, in June.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BB32BC">
        <w:rPr>
          <w:rFonts w:ascii="Times New Roman" w:hAnsi="Times New Roman"/>
          <w:sz w:val="24"/>
          <w:szCs w:val="24"/>
          <w:lang w:val="en-US"/>
        </w:rPr>
        <w:t xml:space="preserve">) Dry 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season or terrestrial phase in the </w:t>
      </w:r>
      <w:proofErr w:type="spellStart"/>
      <w:r w:rsidR="003C2347">
        <w:rPr>
          <w:rFonts w:ascii="Times New Roman" w:hAnsi="Times New Roman"/>
          <w:color w:val="000000" w:themeColor="text1"/>
          <w:sz w:val="24"/>
          <w:szCs w:val="24"/>
          <w:lang w:val="en-US"/>
        </w:rPr>
        <w:t>va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rzea</w:t>
      </w:r>
      <w:proofErr w:type="spellEnd"/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forest. The arrow indicates the maximum water level reached in the last flood (watermark on the tree trunks). (E) Seedlings growing in 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exposed soil near the riverbank</w:t>
      </w:r>
      <w:r w:rsidR="00752D19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3968ED">
        <w:rPr>
          <w:rFonts w:ascii="Times New Roman" w:hAnsi="Times New Roman"/>
          <w:color w:val="000000" w:themeColor="text1"/>
          <w:sz w:val="24"/>
          <w:szCs w:val="24"/>
          <w:lang w:val="en-US"/>
        </w:rPr>
        <w:t>and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(F) inside the forest</w:t>
      </w:r>
      <w:r w:rsidR="00752D19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(arrow) about one month after the flood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. Photos D, E and F were taken in September, about two months after the beginning of the water retreat. (G) Bar graph showing the rise (</w:t>
      </w:r>
      <w:r w:rsidRPr="00FE2DD6">
        <w:rPr>
          <w:rFonts w:ascii="Times New Roman" w:hAnsi="Times New Roman"/>
          <w:color w:val="000000" w:themeColor="text1"/>
          <w:sz w:val="24"/>
          <w:szCs w:val="24"/>
        </w:rPr>
        <w:sym w:font="Symbol" w:char="F0AD"/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) and fall (</w:t>
      </w:r>
      <w:r w:rsidRPr="00FE2DD6">
        <w:rPr>
          <w:rFonts w:ascii="Times New Roman" w:hAnsi="Times New Roman"/>
          <w:color w:val="000000" w:themeColor="text1"/>
          <w:sz w:val="24"/>
          <w:szCs w:val="24"/>
        </w:rPr>
        <w:sym w:font="Symbol" w:char="F0AF"/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 of the Negro River at Manaus over the annual cycle (&gt; 10 m). The mean monthly water level from 2012-2022 is depicted. The number inside each bar is the monthly change in </w:t>
      </w:r>
      <w:r w:rsidRPr="00457517">
        <w:rPr>
          <w:rFonts w:ascii="Times New Roman" w:hAnsi="Times New Roman"/>
          <w:color w:val="000000" w:themeColor="text1"/>
          <w:sz w:val="24"/>
          <w:szCs w:val="24"/>
          <w:lang w:val="en-US"/>
        </w:rPr>
        <w:t>the</w:t>
      </w:r>
      <w:r w:rsidR="00E06AE6" w:rsidRPr="0045751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river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water level. The horizontal dark bar is the period of fruit collection for the present study. Negro River water level at the Manaus harbor station measured daily by the </w:t>
      </w:r>
      <w:proofErr w:type="spellStart"/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Capitania</w:t>
      </w:r>
      <w:proofErr w:type="spellEnd"/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BB32BC">
        <w:rPr>
          <w:rFonts w:ascii="Times New Roman" w:hAnsi="Times New Roman"/>
          <w:sz w:val="24"/>
          <w:szCs w:val="24"/>
          <w:lang w:val="en-US"/>
        </w:rPr>
        <w:t xml:space="preserve">dos </w:t>
      </w:r>
      <w:proofErr w:type="spellStart"/>
      <w:r w:rsidRPr="00BB32BC">
        <w:rPr>
          <w:rFonts w:ascii="Times New Roman" w:hAnsi="Times New Roman"/>
          <w:sz w:val="24"/>
          <w:szCs w:val="24"/>
          <w:lang w:val="en-US"/>
        </w:rPr>
        <w:t>Portos</w:t>
      </w:r>
      <w:proofErr w:type="spellEnd"/>
      <w:r w:rsidRPr="00BB32BC">
        <w:rPr>
          <w:rFonts w:ascii="Times New Roman" w:hAnsi="Times New Roman"/>
          <w:sz w:val="24"/>
          <w:szCs w:val="24"/>
          <w:lang w:val="en-US"/>
        </w:rPr>
        <w:t xml:space="preserve"> (Port Authority) and </w:t>
      </w:r>
      <w:r w:rsidRPr="0064140A">
        <w:rPr>
          <w:rFonts w:ascii="Times New Roman" w:hAnsi="Times New Roman" w:cs="Times New Roman"/>
          <w:sz w:val="24"/>
          <w:szCs w:val="24"/>
          <w:lang w:val="en-US"/>
        </w:rPr>
        <w:t xml:space="preserve">available at </w:t>
      </w:r>
      <w:r w:rsidRPr="0064140A">
        <w:rPr>
          <w:rFonts w:ascii="Times New Roman" w:hAnsi="Times New Roman" w:cs="Times New Roman"/>
          <w:lang w:val="en-US"/>
        </w:rPr>
        <w:t>https://www.portodemanaus.com.br/</w:t>
      </w:r>
      <w:r w:rsidRPr="0064140A">
        <w:rPr>
          <w:rFonts w:ascii="Times New Roman" w:hAnsi="Times New Roman" w:cs="Times New Roman"/>
          <w:sz w:val="24"/>
          <w:szCs w:val="24"/>
          <w:lang w:val="en-US"/>
        </w:rPr>
        <w:t>. The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red </w:t>
      </w:r>
      <w:r w:rsidRPr="00344398">
        <w:rPr>
          <w:rFonts w:ascii="Times New Roman" w:hAnsi="Times New Roman"/>
          <w:sz w:val="24"/>
          <w:szCs w:val="24"/>
          <w:lang w:val="en-US"/>
        </w:rPr>
        <w:t>bars (</w:t>
      </w:r>
      <w:r w:rsidRPr="007E43BF">
        <w:rPr>
          <w:rFonts w:ascii="Arial" w:hAnsi="Arial" w:cs="Arial"/>
          <w:color w:val="FF0000"/>
          <w:sz w:val="24"/>
          <w:szCs w:val="24"/>
          <w:lang w:val="en-US"/>
        </w:rPr>
        <w:t>▬</w:t>
      </w:r>
      <w:r w:rsidRPr="00344398">
        <w:rPr>
          <w:rFonts w:ascii="Times New Roman" w:hAnsi="Times New Roman"/>
          <w:sz w:val="24"/>
          <w:szCs w:val="24"/>
          <w:lang w:val="en-US"/>
        </w:rPr>
        <w:t>) in A and B = 1 cm.</w:t>
      </w:r>
    </w:p>
    <w:p w14:paraId="6177A996" w14:textId="77777777" w:rsidR="008531CE" w:rsidRDefault="008531CE" w:rsidP="000E7337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7FB09DDC" w14:textId="1F28FE65" w:rsidR="008531CE" w:rsidRDefault="007D264E" w:rsidP="000E7337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FF0000"/>
          <w:sz w:val="24"/>
          <w:szCs w:val="24"/>
          <w:lang w:val="en-US"/>
        </w:rPr>
        <w:lastRenderedPageBreak/>
        <w:drawing>
          <wp:inline distT="0" distB="0" distL="0" distR="0" wp14:anchorId="02B438B8" wp14:editId="06020A1F">
            <wp:extent cx="4434782" cy="6660000"/>
            <wp:effectExtent l="0" t="0" r="4445" b="7620"/>
            <wp:docPr id="1717281511" name="Imagem 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81511" name="Imagem 2" descr="Diagrama, Desenho técnic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782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A072" w14:textId="187AF1C3" w:rsidR="00D366B0" w:rsidRDefault="00B32A89" w:rsidP="00D366B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Supplementary figure 2</w:t>
      </w:r>
      <w:r w:rsidRPr="00012D63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C049B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66B0">
        <w:rPr>
          <w:rFonts w:ascii="Times New Roman" w:hAnsi="Times New Roman"/>
          <w:sz w:val="24"/>
          <w:szCs w:val="24"/>
          <w:lang w:val="en-US"/>
        </w:rPr>
        <w:t xml:space="preserve">Germination curves 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D366B0">
        <w:rPr>
          <w:rFonts w:ascii="Times New Roman" w:hAnsi="Times New Roman"/>
          <w:sz w:val="24"/>
          <w:szCs w:val="24"/>
          <w:lang w:val="en-US"/>
        </w:rPr>
        <w:t xml:space="preserve">flooded and non-flooded 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 xml:space="preserve">seeds of ten tree species of Central Amazonian floodplains. Non-flooded seeds (soil) were placed </w:t>
      </w:r>
      <w:r w:rsidR="00457517">
        <w:rPr>
          <w:rFonts w:ascii="Times New Roman" w:hAnsi="Times New Roman"/>
          <w:sz w:val="24"/>
          <w:szCs w:val="24"/>
          <w:lang w:val="en-US"/>
        </w:rPr>
        <w:t>i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 xml:space="preserve">n trays filled with soil from </w:t>
      </w:r>
      <w:proofErr w:type="spellStart"/>
      <w:r w:rsidR="00D366B0" w:rsidRPr="00A52BFE">
        <w:rPr>
          <w:rFonts w:ascii="Times New Roman" w:hAnsi="Times New Roman"/>
          <w:sz w:val="24"/>
          <w:szCs w:val="24"/>
          <w:lang w:val="en-US"/>
        </w:rPr>
        <w:t>varzea</w:t>
      </w:r>
      <w:proofErr w:type="spellEnd"/>
      <w:r w:rsidR="00D366B0" w:rsidRPr="00A52BFE">
        <w:rPr>
          <w:rFonts w:ascii="Times New Roman" w:hAnsi="Times New Roman"/>
          <w:sz w:val="24"/>
          <w:szCs w:val="24"/>
          <w:lang w:val="en-US"/>
        </w:rPr>
        <w:t xml:space="preserve"> that was kept damp, but not saturated. Submerged seeds (underwater) were kept in trays filled with water (water column held between 5 - 7 cm). In both treatments, four replicates of 25 seeds each were used.</w:t>
      </w:r>
      <w:r w:rsidR="00D366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66B0" w:rsidRPr="00457517">
        <w:rPr>
          <w:rFonts w:ascii="Times New Roman" w:hAnsi="Times New Roman"/>
          <w:sz w:val="24"/>
          <w:szCs w:val="24"/>
          <w:lang w:val="en-US"/>
        </w:rPr>
        <w:t>Lag time (mean</w:t>
      </w:r>
      <w:r w:rsidR="00457517" w:rsidRPr="00457517">
        <w:rPr>
          <w:rFonts w:ascii="Times New Roman" w:hAnsi="Times New Roman"/>
          <w:sz w:val="24"/>
          <w:szCs w:val="24"/>
          <w:lang w:val="en-US"/>
        </w:rPr>
        <w:t xml:space="preserve"> number of days</w:t>
      </w:r>
      <w:r w:rsidR="00D366B0" w:rsidRPr="0045751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66B0" w:rsidRPr="00457517">
        <w:rPr>
          <w:rFonts w:ascii="Times New Roman" w:hAnsi="Times New Roman"/>
          <w:sz w:val="24"/>
          <w:szCs w:val="24"/>
          <w:u w:val="single"/>
          <w:lang w:val="en-US"/>
        </w:rPr>
        <w:t>+</w:t>
      </w:r>
      <w:r w:rsidR="00D366B0" w:rsidRPr="00457517">
        <w:rPr>
          <w:rFonts w:ascii="Times New Roman" w:hAnsi="Times New Roman"/>
          <w:sz w:val="24"/>
          <w:szCs w:val="24"/>
          <w:lang w:val="en-US"/>
        </w:rPr>
        <w:t xml:space="preserve"> standard errors) 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>is the interval of time (on the x-axis) during which the value</w:t>
      </w:r>
      <w:r w:rsidR="00D366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 xml:space="preserve">along the y-axis was zero </w:t>
      </w:r>
      <w:r w:rsidR="003968ED">
        <w:rPr>
          <w:rFonts w:ascii="Times New Roman" w:hAnsi="Times New Roman"/>
          <w:sz w:val="24"/>
          <w:szCs w:val="24"/>
          <w:lang w:val="en-US"/>
        </w:rPr>
        <w:t>(</w:t>
      </w:r>
      <w:r w:rsidR="00D366B0" w:rsidRPr="00A52BFE">
        <w:rPr>
          <w:rFonts w:ascii="Times New Roman" w:hAnsi="Times New Roman"/>
          <w:sz w:val="24"/>
          <w:szCs w:val="24"/>
          <w:lang w:val="en-US"/>
        </w:rPr>
        <w:t>the time needed to initiate germination</w:t>
      </w:r>
      <w:r w:rsidR="00D366B0">
        <w:rPr>
          <w:rFonts w:ascii="Times New Roman" w:hAnsi="Times New Roman"/>
          <w:sz w:val="24"/>
          <w:szCs w:val="24"/>
          <w:lang w:val="en-US"/>
        </w:rPr>
        <w:t xml:space="preserve">). P-values in bold </w:t>
      </w:r>
      <w:r w:rsidR="00D366B0" w:rsidRPr="00A1286E">
        <w:rPr>
          <w:rFonts w:ascii="Times New Roman" w:hAnsi="Times New Roman"/>
          <w:sz w:val="24"/>
          <w:szCs w:val="24"/>
          <w:lang w:val="en-US"/>
        </w:rPr>
        <w:t xml:space="preserve">indicate significant differences </w:t>
      </w:r>
      <w:r w:rsidR="00457517">
        <w:rPr>
          <w:rFonts w:ascii="Times New Roman" w:hAnsi="Times New Roman"/>
          <w:sz w:val="24"/>
          <w:szCs w:val="24"/>
          <w:lang w:val="en-US"/>
        </w:rPr>
        <w:t>in lag time</w:t>
      </w:r>
      <w:r w:rsidR="00457517" w:rsidRPr="00A1286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66B0" w:rsidRPr="00A1286E">
        <w:rPr>
          <w:rFonts w:ascii="Times New Roman" w:hAnsi="Times New Roman"/>
          <w:sz w:val="24"/>
          <w:szCs w:val="24"/>
          <w:lang w:val="en-US"/>
        </w:rPr>
        <w:t>between the two treatments (</w:t>
      </w:r>
      <w:r w:rsidR="00D366B0" w:rsidRPr="00CA1D65">
        <w:rPr>
          <w:rFonts w:ascii="Times New Roman" w:hAnsi="Times New Roman"/>
          <w:i/>
          <w:sz w:val="24"/>
          <w:szCs w:val="24"/>
          <w:lang w:val="en-US"/>
        </w:rPr>
        <w:t xml:space="preserve">p </w:t>
      </w:r>
      <w:r w:rsidR="00D366B0" w:rsidRPr="00AA3A9A">
        <w:rPr>
          <w:rFonts w:ascii="Times New Roman" w:hAnsi="Times New Roman"/>
          <w:i/>
          <w:sz w:val="24"/>
          <w:szCs w:val="24"/>
          <w:lang w:val="en-US"/>
        </w:rPr>
        <w:t>≤</w:t>
      </w:r>
      <w:r w:rsidR="00D366B0" w:rsidRPr="00AA3A9A">
        <w:rPr>
          <w:rFonts w:ascii="Times New Roman" w:hAnsi="Times New Roman"/>
          <w:sz w:val="24"/>
          <w:szCs w:val="24"/>
          <w:lang w:val="en-US"/>
        </w:rPr>
        <w:t xml:space="preserve"> 0.05</w:t>
      </w:r>
      <w:r w:rsidR="00D366B0" w:rsidRPr="00A1286E">
        <w:rPr>
          <w:rFonts w:ascii="Times New Roman" w:hAnsi="Times New Roman"/>
          <w:sz w:val="24"/>
          <w:szCs w:val="24"/>
          <w:lang w:val="en-US"/>
        </w:rPr>
        <w:t>)</w:t>
      </w:r>
      <w:r w:rsidR="00D366B0">
        <w:rPr>
          <w:rFonts w:ascii="Times New Roman" w:hAnsi="Times New Roman"/>
          <w:sz w:val="24"/>
          <w:szCs w:val="24"/>
          <w:lang w:val="en-US"/>
        </w:rPr>
        <w:t>.</w:t>
      </w:r>
    </w:p>
    <w:p w14:paraId="06B19AAD" w14:textId="77777777" w:rsidR="004A5340" w:rsidRDefault="004A5340">
      <w:pPr>
        <w:rPr>
          <w:lang w:val="en-US"/>
        </w:rPr>
      </w:pPr>
    </w:p>
    <w:p w14:paraId="1281BF88" w14:textId="38C0AE3D" w:rsidR="000E7337" w:rsidRPr="00FC3D0F" w:rsidRDefault="005254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85339E" wp14:editId="5CFD8C73">
            <wp:extent cx="4430855" cy="6372000"/>
            <wp:effectExtent l="0" t="0" r="8255" b="0"/>
            <wp:docPr id="13350396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55" cy="63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31EB0" w14:textId="7AA92473" w:rsidR="000E7337" w:rsidRDefault="000E7337" w:rsidP="000E733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Supplementary</w:t>
      </w:r>
      <w:r w:rsidR="00F766B4">
        <w:rPr>
          <w:rFonts w:ascii="Times New Roman" w:hAnsi="Times New Roman"/>
          <w:b/>
          <w:bCs/>
          <w:sz w:val="24"/>
          <w:szCs w:val="24"/>
          <w:lang w:val="en-US"/>
        </w:rPr>
        <w:t xml:space="preserve"> figure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4A5340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012D63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C049B8">
        <w:rPr>
          <w:rFonts w:ascii="Times New Roman" w:hAnsi="Times New Roman"/>
          <w:sz w:val="24"/>
          <w:szCs w:val="24"/>
          <w:lang w:val="en-US"/>
        </w:rPr>
        <w:t xml:space="preserve"> Seedling functional types (leaves in white,</w:t>
      </w:r>
      <w:r w:rsidRPr="00AE2E5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049B8">
        <w:rPr>
          <w:rFonts w:ascii="Times New Roman" w:hAnsi="Times New Roman"/>
          <w:sz w:val="24"/>
          <w:szCs w:val="24"/>
          <w:lang w:val="en-US"/>
        </w:rPr>
        <w:t>seeds in black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C049B8">
        <w:rPr>
          <w:rFonts w:ascii="Times New Roman" w:hAnsi="Times New Roman"/>
          <w:sz w:val="24"/>
          <w:szCs w:val="24"/>
          <w:lang w:val="en-US"/>
        </w:rPr>
        <w:t xml:space="preserve"> cotyledons in grey)</w:t>
      </w:r>
      <w:r w:rsidRPr="002A1E07">
        <w:rPr>
          <w:rFonts w:ascii="Times New Roman" w:hAnsi="Times New Roman"/>
          <w:color w:val="FF0000"/>
          <w:sz w:val="24"/>
          <w:szCs w:val="24"/>
          <w:lang w:val="en-US"/>
        </w:rPr>
        <w:t>.</w:t>
      </w:r>
      <w:r w:rsidRPr="00C049B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E78A9">
        <w:rPr>
          <w:rFonts w:ascii="Times New Roman" w:hAnsi="Times New Roman"/>
          <w:sz w:val="24"/>
          <w:szCs w:val="24"/>
          <w:lang w:val="en-US"/>
        </w:rPr>
        <w:t>Crypto-hypogeal with reserve storage cotyledons (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CHR): seedlings of (A)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Pouteria glomerata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, (B)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Macrolobium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acaciifolium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,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(C)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Campsiandra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laurifolia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and (D)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Nectandra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amazonum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44398">
        <w:rPr>
          <w:rFonts w:ascii="Times New Roman" w:hAnsi="Times New Roman"/>
          <w:sz w:val="24"/>
          <w:szCs w:val="24"/>
          <w:lang w:val="en-US"/>
        </w:rPr>
        <w:t>Phanero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-epigeal with foliaceous cotyledons (PEF): seedlings of (E)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Vitex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cymos</w:t>
      </w:r>
      <w:r w:rsidR="00C47C5E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(F)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Ilex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inundata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,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 (G)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Psidium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acutangulum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spellStart"/>
      <w:r w:rsidRPr="00344398">
        <w:rPr>
          <w:rFonts w:ascii="Times New Roman" w:hAnsi="Times New Roman"/>
          <w:sz w:val="24"/>
          <w:szCs w:val="24"/>
          <w:lang w:val="en-US"/>
        </w:rPr>
        <w:t>Phanero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-epigeal with reserve storage cotyledons (PER): seedlings of (H) </w:t>
      </w:r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Cassia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leiandra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 and (I)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Crataeva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tapia</w:t>
      </w:r>
      <w:r w:rsidRPr="00344398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344398">
        <w:rPr>
          <w:rFonts w:ascii="Times New Roman" w:hAnsi="Times New Roman"/>
          <w:sz w:val="24"/>
          <w:szCs w:val="24"/>
          <w:lang w:val="en-US"/>
        </w:rPr>
        <w:t>Phanero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-hypogeal with reserve storage cotyledons (PHR): seedlings of (J)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Sorocea</w:t>
      </w:r>
      <w:proofErr w:type="spellEnd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44398">
        <w:rPr>
          <w:rFonts w:ascii="Times New Roman" w:hAnsi="Times New Roman"/>
          <w:i/>
          <w:iCs/>
          <w:sz w:val="24"/>
          <w:szCs w:val="24"/>
          <w:lang w:val="en-US"/>
        </w:rPr>
        <w:t>duckei</w:t>
      </w:r>
      <w:proofErr w:type="spellEnd"/>
      <w:r w:rsidRPr="00344398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A2F6C">
        <w:rPr>
          <w:rFonts w:ascii="Times New Roman" w:hAnsi="Times New Roman"/>
          <w:sz w:val="24"/>
          <w:szCs w:val="24"/>
          <w:lang w:val="en-US"/>
        </w:rPr>
        <w:t xml:space="preserve">The red arrows are pointing to the cotyledons. </w:t>
      </w:r>
    </w:p>
    <w:p w14:paraId="5F6370B9" w14:textId="77777777" w:rsidR="00436C8D" w:rsidRDefault="00436C8D" w:rsidP="000E733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EF922AA" w14:textId="24137D95" w:rsidR="00436C8D" w:rsidRDefault="009E2C7A" w:rsidP="000E7337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4EFECBF3" wp14:editId="26805397">
            <wp:extent cx="3084830" cy="4712335"/>
            <wp:effectExtent l="0" t="0" r="1270" b="0"/>
            <wp:docPr id="11347744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96A7D" w14:textId="745D7342" w:rsidR="009A2700" w:rsidRPr="00FE2DD6" w:rsidRDefault="004160E3" w:rsidP="009A2700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FE2DD6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Supplementary figure </w:t>
      </w:r>
      <w:r w:rsidR="004A5340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4</w:t>
      </w:r>
      <w:r w:rsidR="009A2700" w:rsidRPr="00FE2DD6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(A)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C760A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Recently </w:t>
      </w:r>
      <w:r w:rsidR="00C760AF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germinated</w:t>
      </w:r>
      <w:r w:rsidR="00C760AF" w:rsidRPr="00FE2DD6">
        <w:rPr>
          <w:rFonts w:ascii="Times New Roman" w:hAnsi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C760AF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seeds </w:t>
      </w:r>
      <w:r w:rsidR="00C760AF" w:rsidRPr="00C760A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of </w:t>
      </w:r>
      <w:r w:rsidR="009A2700" w:rsidRPr="00FE2DD6">
        <w:rPr>
          <w:rFonts w:ascii="Times New Roman" w:hAnsi="Times New Roman"/>
          <w:i/>
          <w:iCs/>
          <w:color w:val="000000" w:themeColor="text1"/>
          <w:sz w:val="24"/>
          <w:szCs w:val="24"/>
          <w:lang w:val="en-US"/>
        </w:rPr>
        <w:t xml:space="preserve">Vitex </w:t>
      </w:r>
      <w:proofErr w:type="spellStart"/>
      <w:r w:rsidR="009A2700" w:rsidRPr="00FE2DD6">
        <w:rPr>
          <w:rFonts w:ascii="Times New Roman" w:hAnsi="Times New Roman"/>
          <w:i/>
          <w:iCs/>
          <w:color w:val="000000" w:themeColor="text1"/>
          <w:sz w:val="24"/>
          <w:szCs w:val="24"/>
          <w:lang w:val="en-US"/>
        </w:rPr>
        <w:t>cymosa</w:t>
      </w:r>
      <w:proofErr w:type="spellEnd"/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with production of</w:t>
      </w:r>
      <w:r w:rsidR="009F77DF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one,</w:t>
      </w:r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two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(A) or three (B)</w:t>
      </w:r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seedlings from a single pyrene</w:t>
      </w:r>
      <w:r w:rsidR="009F5EAB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</w:t>
      </w:r>
      <w:r w:rsidR="0072114C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multilocular pyrene</w:t>
      </w:r>
      <w:r w:rsidR="0072114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5EAB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red arrows)</w:t>
      </w:r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. (cl) cotyledonary leaf, (h) hypocotyl</w:t>
      </w:r>
      <w:r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and (</w:t>
      </w:r>
      <w:proofErr w:type="spellStart"/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p</w:t>
      </w:r>
      <w:r w:rsidR="009E2C7A">
        <w:rPr>
          <w:rFonts w:ascii="Times New Roman" w:hAnsi="Times New Roman"/>
          <w:color w:val="000000" w:themeColor="text1"/>
          <w:sz w:val="24"/>
          <w:szCs w:val="24"/>
          <w:lang w:val="en-US"/>
        </w:rPr>
        <w:t>y</w:t>
      </w:r>
      <w:proofErr w:type="spellEnd"/>
      <w:r w:rsidR="009A2700" w:rsidRPr="00FE2DD6">
        <w:rPr>
          <w:rFonts w:ascii="Times New Roman" w:hAnsi="Times New Roman"/>
          <w:color w:val="000000" w:themeColor="text1"/>
          <w:sz w:val="24"/>
          <w:szCs w:val="24"/>
          <w:lang w:val="en-US"/>
        </w:rPr>
        <w:t>) pyrene.</w:t>
      </w:r>
    </w:p>
    <w:p w14:paraId="734D3FE7" w14:textId="77777777" w:rsidR="009A2700" w:rsidRPr="009A2700" w:rsidRDefault="009A2700" w:rsidP="000E7337">
      <w:pPr>
        <w:spacing w:after="0" w:line="360" w:lineRule="auto"/>
        <w:jc w:val="both"/>
        <w:rPr>
          <w:lang w:val="en-US"/>
        </w:rPr>
      </w:pPr>
    </w:p>
    <w:sectPr w:rsidR="009A2700" w:rsidRPr="009A27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337"/>
    <w:rsid w:val="000C2AEA"/>
    <w:rsid w:val="000E7337"/>
    <w:rsid w:val="002429C3"/>
    <w:rsid w:val="002621FE"/>
    <w:rsid w:val="003968ED"/>
    <w:rsid w:val="003C2347"/>
    <w:rsid w:val="004160E3"/>
    <w:rsid w:val="00436C8D"/>
    <w:rsid w:val="00457517"/>
    <w:rsid w:val="004A5340"/>
    <w:rsid w:val="004D51A0"/>
    <w:rsid w:val="005254CA"/>
    <w:rsid w:val="0054111A"/>
    <w:rsid w:val="0064140A"/>
    <w:rsid w:val="0072114C"/>
    <w:rsid w:val="00723C2E"/>
    <w:rsid w:val="00752D19"/>
    <w:rsid w:val="007A5188"/>
    <w:rsid w:val="007D264E"/>
    <w:rsid w:val="008531CE"/>
    <w:rsid w:val="00860CB6"/>
    <w:rsid w:val="009A2700"/>
    <w:rsid w:val="009E2C7A"/>
    <w:rsid w:val="009F5EAB"/>
    <w:rsid w:val="009F77DF"/>
    <w:rsid w:val="00B32A89"/>
    <w:rsid w:val="00B53FCB"/>
    <w:rsid w:val="00B91FF7"/>
    <w:rsid w:val="00C47C5E"/>
    <w:rsid w:val="00C760AF"/>
    <w:rsid w:val="00D224C5"/>
    <w:rsid w:val="00D366B0"/>
    <w:rsid w:val="00E0063F"/>
    <w:rsid w:val="00E06AE6"/>
    <w:rsid w:val="00E50487"/>
    <w:rsid w:val="00E53F32"/>
    <w:rsid w:val="00EA46C1"/>
    <w:rsid w:val="00F766B4"/>
    <w:rsid w:val="00FC3D0F"/>
    <w:rsid w:val="00F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897C1"/>
  <w15:chartTrackingRefBased/>
  <w15:docId w15:val="{155AAA35-A3BA-4BCC-8B78-D0706858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Ferreira</dc:creator>
  <cp:keywords/>
  <dc:description/>
  <cp:lastModifiedBy>clusia49@outlook.com</cp:lastModifiedBy>
  <cp:revision>28</cp:revision>
  <dcterms:created xsi:type="dcterms:W3CDTF">2023-10-08T19:59:00Z</dcterms:created>
  <dcterms:modified xsi:type="dcterms:W3CDTF">2024-04-20T17:23:00Z</dcterms:modified>
</cp:coreProperties>
</file>