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E88F9" w14:textId="0C93A3E3" w:rsidR="005308F4" w:rsidRPr="00BB5BDB" w:rsidRDefault="00624C84" w:rsidP="005308F4">
      <w:pPr>
        <w:jc w:val="center"/>
        <w:rPr>
          <w:rFonts w:ascii="Liberation Sans" w:hAnsi="Liberation Sans" w:cs="Liberation Sans"/>
          <w:b/>
          <w:sz w:val="28"/>
          <w:szCs w:val="28"/>
          <w:lang w:val="en-GB"/>
        </w:rPr>
      </w:pPr>
      <w:r w:rsidRPr="00BB5BDB">
        <w:rPr>
          <w:rFonts w:ascii="Liberation Sans" w:hAnsi="Liberation Sans" w:cs="Liberation Sans"/>
          <w:b/>
          <w:sz w:val="28"/>
          <w:szCs w:val="28"/>
          <w:lang w:val="en-GB"/>
        </w:rPr>
        <w:t>S4 Other supporting information</w:t>
      </w:r>
    </w:p>
    <w:p w14:paraId="7287546A" w14:textId="48B71A6B" w:rsidR="004B4ED3" w:rsidRDefault="004B4ED3" w:rsidP="004B4ED3">
      <w:pPr>
        <w:jc w:val="center"/>
        <w:rPr>
          <w:rFonts w:ascii="Liberation Sans" w:hAnsi="Liberation Sans" w:cs="Liberation Sans"/>
          <w:b/>
          <w:lang w:val="en-GB"/>
        </w:rPr>
      </w:pPr>
      <w:r w:rsidRPr="004B4ED3">
        <w:rPr>
          <w:rFonts w:ascii="Liberation Sans" w:hAnsi="Liberation Sans" w:cs="Liberation Sans"/>
          <w:b/>
          <w:lang w:val="en-GB"/>
        </w:rPr>
        <w:t xml:space="preserve">Appendix </w:t>
      </w:r>
      <w:r w:rsidR="00B76FE7">
        <w:rPr>
          <w:rFonts w:ascii="Liberation Sans" w:hAnsi="Liberation Sans" w:cs="Liberation Sans"/>
          <w:b/>
          <w:lang w:val="en-GB"/>
        </w:rPr>
        <w:t>A</w:t>
      </w:r>
      <w:r w:rsidRPr="004B4ED3">
        <w:rPr>
          <w:rFonts w:ascii="Liberation Sans" w:hAnsi="Liberation Sans" w:cs="Liberation Sans"/>
          <w:b/>
          <w:lang w:val="en-GB"/>
        </w:rPr>
        <w:t>.</w:t>
      </w:r>
      <w:r>
        <w:rPr>
          <w:rFonts w:ascii="Liberation Sans" w:hAnsi="Liberation Sans" w:cs="Liberation Sans"/>
          <w:b/>
          <w:lang w:val="en-GB"/>
        </w:rPr>
        <w:t xml:space="preserve"> Results from coefficient of variation of fixation duration and pupil diameter</w:t>
      </w:r>
    </w:p>
    <w:p w14:paraId="3DAE1A5A" w14:textId="7B689481" w:rsidR="005A7A72" w:rsidRPr="00BB4E27" w:rsidRDefault="00A37F6E" w:rsidP="004B4ED3">
      <w:pPr>
        <w:jc w:val="both"/>
        <w:rPr>
          <w:rFonts w:ascii="Liberation Sans" w:hAnsi="Liberation Sans" w:cs="Liberation Sans"/>
          <w:lang w:val="en-GB"/>
        </w:rPr>
      </w:pPr>
      <w:r w:rsidRPr="00BB4E27">
        <w:rPr>
          <w:rFonts w:ascii="Liberation Sans" w:hAnsi="Liberation Sans" w:cs="Liberation Sans"/>
          <w:lang w:val="en-GB"/>
        </w:rPr>
        <w:tab/>
        <w:t xml:space="preserve">The coefficient of variation (CV) was calculated in order to quantify the variation </w:t>
      </w:r>
      <w:r w:rsidR="00BB4E27" w:rsidRPr="00BB4E27">
        <w:rPr>
          <w:rFonts w:ascii="Liberation Sans" w:hAnsi="Liberation Sans" w:cs="Liberation Sans"/>
          <w:lang w:val="en-GB"/>
        </w:rPr>
        <w:t xml:space="preserve">of pupillary and oculomotor response observed </w:t>
      </w:r>
      <w:r w:rsidR="00BB4E27">
        <w:rPr>
          <w:rFonts w:ascii="Liberation Sans" w:hAnsi="Liberation Sans" w:cs="Liberation Sans"/>
          <w:lang w:val="en-GB"/>
        </w:rPr>
        <w:t xml:space="preserve">in the assets composing </w:t>
      </w:r>
      <w:r w:rsidR="00BB4E27" w:rsidRPr="00BB4E27">
        <w:rPr>
          <w:rFonts w:ascii="Liberation Sans" w:hAnsi="Liberation Sans" w:cs="Liberation Sans"/>
          <w:lang w:val="en-GB"/>
        </w:rPr>
        <w:t>each archaeological phase</w:t>
      </w:r>
      <w:r w:rsidR="00BB4E27">
        <w:rPr>
          <w:rFonts w:ascii="Liberation Sans" w:hAnsi="Liberation Sans" w:cs="Liberation Sans"/>
          <w:lang w:val="en-GB"/>
        </w:rPr>
        <w:t xml:space="preserve"> (Figure </w:t>
      </w:r>
      <w:r w:rsidR="00B76FE7">
        <w:rPr>
          <w:rFonts w:ascii="Liberation Sans" w:hAnsi="Liberation Sans" w:cs="Liberation Sans"/>
          <w:lang w:val="en-GB"/>
        </w:rPr>
        <w:t>A</w:t>
      </w:r>
      <w:r w:rsidR="00BB4E27">
        <w:rPr>
          <w:rFonts w:ascii="Liberation Sans" w:hAnsi="Liberation Sans" w:cs="Liberation Sans"/>
          <w:lang w:val="en-GB"/>
        </w:rPr>
        <w:t>1)</w:t>
      </w:r>
      <w:r w:rsidR="00BB4E27" w:rsidRPr="00BB4E27">
        <w:rPr>
          <w:rFonts w:ascii="Liberation Sans" w:hAnsi="Liberation Sans" w:cs="Liberation Sans"/>
          <w:lang w:val="en-GB"/>
        </w:rPr>
        <w:t>.</w:t>
      </w:r>
      <w:r w:rsidR="00BB4E27">
        <w:rPr>
          <w:rFonts w:ascii="Liberation Sans" w:hAnsi="Liberation Sans" w:cs="Liberation Sans"/>
          <w:lang w:val="en-GB"/>
        </w:rPr>
        <w:t xml:space="preserve"> </w:t>
      </w:r>
      <w:r w:rsidR="00FC1E79">
        <w:rPr>
          <w:rFonts w:ascii="Liberation Sans" w:hAnsi="Liberation Sans" w:cs="Liberation Sans"/>
          <w:lang w:val="en-GB"/>
        </w:rPr>
        <w:t>Given the z-scored mean pupil diameter contained negative values a constant (10) was added to every value. Results show, a</w:t>
      </w:r>
      <w:r w:rsidR="00BB4E27">
        <w:rPr>
          <w:rFonts w:ascii="Liberation Sans" w:hAnsi="Liberation Sans" w:cs="Liberation Sans"/>
          <w:lang w:val="en-GB"/>
        </w:rPr>
        <w:t xml:space="preserve">s stated in the text for this article, </w:t>
      </w:r>
      <w:r w:rsidR="00FC1E79">
        <w:rPr>
          <w:rFonts w:ascii="Liberation Sans" w:hAnsi="Liberation Sans" w:cs="Liberation Sans"/>
          <w:lang w:val="en-GB"/>
        </w:rPr>
        <w:t xml:space="preserve">that </w:t>
      </w:r>
      <w:r w:rsidR="00BB4E27">
        <w:rPr>
          <w:rFonts w:ascii="Liberation Sans" w:hAnsi="Liberation Sans" w:cs="Liberation Sans"/>
          <w:lang w:val="en-GB"/>
        </w:rPr>
        <w:t xml:space="preserve">a higher variation was observed for phases from the Late Neolithic to the Late Bronze Age. This confirms the observation that not only more pottery styles were present during these time periods, but participant response to these pottery styles also varied. </w:t>
      </w:r>
    </w:p>
    <w:p w14:paraId="5B35CB28" w14:textId="1A63007B" w:rsidR="00831387" w:rsidRDefault="00D76085" w:rsidP="005A7A72">
      <w:pPr>
        <w:jc w:val="center"/>
        <w:rPr>
          <w:rFonts w:ascii="Liberation Sans" w:hAnsi="Liberation Sans" w:cs="Liberation Sans"/>
          <w:sz w:val="20"/>
          <w:szCs w:val="20"/>
          <w:lang w:val="en-GB"/>
        </w:rPr>
      </w:pPr>
      <w:r>
        <w:rPr>
          <w:noProof/>
        </w:rPr>
        <w:drawing>
          <wp:inline distT="0" distB="0" distL="0" distR="0" wp14:anchorId="47269D8D" wp14:editId="4CAA5474">
            <wp:extent cx="5752204" cy="32124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2614"/>
                    <a:stretch/>
                  </pic:blipFill>
                  <pic:spPr bwMode="auto">
                    <a:xfrm>
                      <a:off x="0" y="0"/>
                      <a:ext cx="5754658" cy="3213836"/>
                    </a:xfrm>
                    <a:prstGeom prst="rect">
                      <a:avLst/>
                    </a:prstGeom>
                    <a:noFill/>
                    <a:ln>
                      <a:noFill/>
                    </a:ln>
                    <a:extLst>
                      <a:ext uri="{53640926-AAD7-44D8-BBD7-CCE9431645EC}">
                        <a14:shadowObscured xmlns:a14="http://schemas.microsoft.com/office/drawing/2010/main"/>
                      </a:ext>
                    </a:extLst>
                  </pic:spPr>
                </pic:pic>
              </a:graphicData>
            </a:graphic>
          </wp:inline>
        </w:drawing>
      </w:r>
    </w:p>
    <w:p w14:paraId="39BF9CEA" w14:textId="18A6D1FC" w:rsidR="005A7A72" w:rsidRPr="00831387" w:rsidRDefault="005A7A72" w:rsidP="005A7A72">
      <w:pPr>
        <w:jc w:val="center"/>
        <w:rPr>
          <w:rFonts w:ascii="Liberation Sans" w:hAnsi="Liberation Sans" w:cs="Liberation Sans"/>
          <w:sz w:val="20"/>
          <w:szCs w:val="20"/>
          <w:lang w:val="en-GB"/>
        </w:rPr>
      </w:pPr>
      <w:r w:rsidRPr="00831387">
        <w:rPr>
          <w:rFonts w:ascii="Liberation Sans" w:hAnsi="Liberation Sans" w:cs="Liberation Sans"/>
          <w:sz w:val="20"/>
          <w:szCs w:val="20"/>
          <w:lang w:val="en-GB"/>
        </w:rPr>
        <w:t xml:space="preserve">Figure </w:t>
      </w:r>
      <w:r w:rsidR="00B76FE7">
        <w:rPr>
          <w:rFonts w:ascii="Liberation Sans" w:hAnsi="Liberation Sans" w:cs="Liberation Sans"/>
          <w:sz w:val="20"/>
          <w:szCs w:val="20"/>
          <w:lang w:val="en-GB"/>
        </w:rPr>
        <w:t>A</w:t>
      </w:r>
      <w:r w:rsidR="00831387" w:rsidRPr="00831387">
        <w:rPr>
          <w:rFonts w:ascii="Liberation Sans" w:hAnsi="Liberation Sans" w:cs="Liberation Sans"/>
          <w:sz w:val="20"/>
          <w:szCs w:val="20"/>
          <w:lang w:val="en-GB"/>
        </w:rPr>
        <w:t>1.</w:t>
      </w:r>
      <w:r w:rsidR="00831387">
        <w:rPr>
          <w:rFonts w:ascii="Liberation Sans" w:hAnsi="Liberation Sans" w:cs="Liberation Sans"/>
          <w:sz w:val="20"/>
          <w:szCs w:val="20"/>
          <w:lang w:val="en-GB"/>
        </w:rPr>
        <w:t xml:space="preserve"> Coefficient of variation for </w:t>
      </w:r>
      <w:r w:rsidR="00FC1E79">
        <w:rPr>
          <w:rFonts w:ascii="Liberation Sans" w:hAnsi="Liberation Sans" w:cs="Liberation Sans"/>
          <w:sz w:val="20"/>
          <w:szCs w:val="20"/>
          <w:lang w:val="en-GB"/>
        </w:rPr>
        <w:t xml:space="preserve">mean </w:t>
      </w:r>
      <w:r w:rsidR="00831387">
        <w:rPr>
          <w:rFonts w:ascii="Liberation Sans" w:hAnsi="Liberation Sans" w:cs="Liberation Sans"/>
          <w:sz w:val="20"/>
          <w:szCs w:val="20"/>
          <w:lang w:val="en-GB"/>
        </w:rPr>
        <w:t xml:space="preserve">fixation duration </w:t>
      </w:r>
      <w:r w:rsidR="00FC1E79">
        <w:rPr>
          <w:rFonts w:ascii="Liberation Sans" w:hAnsi="Liberation Sans" w:cs="Liberation Sans"/>
          <w:sz w:val="20"/>
          <w:szCs w:val="20"/>
          <w:lang w:val="en-GB"/>
        </w:rPr>
        <w:t xml:space="preserve">and z-scored mean pupil diameter (with added constant) </w:t>
      </w:r>
      <w:r w:rsidR="00831387">
        <w:rPr>
          <w:rFonts w:ascii="Liberation Sans" w:hAnsi="Liberation Sans" w:cs="Liberation Sans"/>
          <w:sz w:val="20"/>
          <w:szCs w:val="20"/>
          <w:lang w:val="en-GB"/>
        </w:rPr>
        <w:t>according to chronological phases.</w:t>
      </w:r>
    </w:p>
    <w:p w14:paraId="06F39F9E" w14:textId="77777777" w:rsidR="004B4ED3" w:rsidRDefault="004B4ED3">
      <w:pPr>
        <w:rPr>
          <w:rFonts w:ascii="Liberation Sans" w:hAnsi="Liberation Sans" w:cs="Liberation Sans"/>
          <w:b/>
          <w:lang w:val="en-GB"/>
        </w:rPr>
      </w:pPr>
      <w:r>
        <w:rPr>
          <w:rFonts w:ascii="Liberation Sans" w:hAnsi="Liberation Sans" w:cs="Liberation Sans"/>
          <w:b/>
          <w:lang w:val="en-GB"/>
        </w:rPr>
        <w:br w:type="page"/>
      </w:r>
    </w:p>
    <w:p w14:paraId="13256C15" w14:textId="6B2D3005" w:rsidR="004B4ED3" w:rsidRDefault="004B4ED3" w:rsidP="004B4ED3">
      <w:pPr>
        <w:jc w:val="center"/>
        <w:rPr>
          <w:rFonts w:ascii="Liberation Sans" w:hAnsi="Liberation Sans" w:cs="Liberation Sans"/>
          <w:b/>
          <w:lang w:val="en-GB"/>
        </w:rPr>
      </w:pPr>
      <w:r>
        <w:rPr>
          <w:rFonts w:ascii="Liberation Sans" w:hAnsi="Liberation Sans" w:cs="Liberation Sans"/>
          <w:b/>
          <w:lang w:val="en-GB"/>
        </w:rPr>
        <w:lastRenderedPageBreak/>
        <w:t xml:space="preserve">Appendix </w:t>
      </w:r>
      <w:r w:rsidR="00B76FE7">
        <w:rPr>
          <w:rFonts w:ascii="Liberation Sans" w:hAnsi="Liberation Sans" w:cs="Liberation Sans"/>
          <w:b/>
          <w:lang w:val="en-GB"/>
        </w:rPr>
        <w:t>B</w:t>
      </w:r>
      <w:r w:rsidR="00A27769">
        <w:rPr>
          <w:rFonts w:ascii="Liberation Sans" w:hAnsi="Liberation Sans" w:cs="Liberation Sans"/>
          <w:b/>
          <w:lang w:val="en-GB"/>
        </w:rPr>
        <w:t>.</w:t>
      </w:r>
      <w:r>
        <w:rPr>
          <w:rFonts w:ascii="Liberation Sans" w:hAnsi="Liberation Sans" w:cs="Liberation Sans"/>
          <w:b/>
          <w:lang w:val="en-GB"/>
        </w:rPr>
        <w:t xml:space="preserve"> </w:t>
      </w:r>
      <w:r w:rsidR="005F60DF">
        <w:rPr>
          <w:rFonts w:ascii="Liberation Sans" w:hAnsi="Liberation Sans" w:cs="Liberation Sans"/>
          <w:b/>
          <w:lang w:val="en-GB"/>
        </w:rPr>
        <w:t>Distribution of vessel sizes according to chronological phases</w:t>
      </w:r>
    </w:p>
    <w:p w14:paraId="1DB02B23" w14:textId="468AACFE" w:rsidR="004B4ED3" w:rsidRDefault="00784F63" w:rsidP="00784F63">
      <w:pPr>
        <w:ind w:firstLine="720"/>
        <w:jc w:val="both"/>
        <w:rPr>
          <w:rFonts w:ascii="Liberation Sans" w:hAnsi="Liberation Sans" w:cs="Liberation Sans"/>
          <w:lang w:val="en-GB"/>
        </w:rPr>
      </w:pPr>
      <w:r>
        <w:rPr>
          <w:rFonts w:ascii="Liberation Sans" w:hAnsi="Liberation Sans" w:cs="Liberation Sans"/>
          <w:lang w:val="en-GB"/>
        </w:rPr>
        <w:t xml:space="preserve">Measurements of vessel sizes according to their surface area were conducted using image analysis of scaled photographs used in experiment 2.  Figure </w:t>
      </w:r>
      <w:r w:rsidR="00B76FE7">
        <w:rPr>
          <w:rFonts w:ascii="Liberation Sans" w:hAnsi="Liberation Sans" w:cs="Liberation Sans"/>
          <w:lang w:val="en-GB"/>
        </w:rPr>
        <w:t>B</w:t>
      </w:r>
      <w:r>
        <w:rPr>
          <w:rFonts w:ascii="Liberation Sans" w:hAnsi="Liberation Sans" w:cs="Liberation Sans"/>
          <w:lang w:val="en-GB"/>
        </w:rPr>
        <w:t xml:space="preserve">1 highlights the distribution of vessel sizes according to chronological phases. As highlighted in the main text of this article, distribution of vessel sizes was uniform except for the first chronological phases </w:t>
      </w:r>
      <w:r w:rsidR="005F0098">
        <w:rPr>
          <w:rFonts w:ascii="Liberation Sans" w:hAnsi="Liberation Sans" w:cs="Liberation Sans"/>
          <w:lang w:val="en-GB"/>
        </w:rPr>
        <w:t>(</w:t>
      </w:r>
      <w:r w:rsidR="00642C7A">
        <w:rPr>
          <w:rFonts w:ascii="Liberation Sans" w:hAnsi="Liberation Sans" w:cs="Liberation Sans"/>
          <w:lang w:val="en-GB"/>
        </w:rPr>
        <w:t xml:space="preserve">1-2), which lack large-sized vessels. However, as also mentioned in the text, this is a representation of the vessel size distribution at the time, as mostly small and medium-sized vessels occur in the early </w:t>
      </w:r>
      <w:proofErr w:type="spellStart"/>
      <w:r w:rsidR="00642C7A" w:rsidRPr="00642C7A">
        <w:rPr>
          <w:rFonts w:ascii="Liberation Sans" w:hAnsi="Liberation Sans" w:cs="Liberation Sans"/>
          <w:i/>
          <w:lang w:val="en-GB"/>
        </w:rPr>
        <w:t>Linearbandkeramik</w:t>
      </w:r>
      <w:proofErr w:type="spellEnd"/>
      <w:r w:rsidR="00642C7A">
        <w:rPr>
          <w:rFonts w:ascii="Liberation Sans" w:hAnsi="Liberation Sans" w:cs="Liberation Sans"/>
          <w:lang w:val="en-GB"/>
        </w:rPr>
        <w:t>.</w:t>
      </w:r>
    </w:p>
    <w:p w14:paraId="79CA8B67" w14:textId="78211804" w:rsidR="00AC6117" w:rsidRDefault="00280844" w:rsidP="00AC6117">
      <w:pPr>
        <w:jc w:val="center"/>
        <w:rPr>
          <w:rFonts w:ascii="Liberation Sans" w:hAnsi="Liberation Sans" w:cs="Liberation Sans"/>
          <w:lang w:val="en-GB"/>
        </w:rPr>
      </w:pPr>
      <w:r>
        <w:rPr>
          <w:noProof/>
        </w:rPr>
        <w:drawing>
          <wp:inline distT="0" distB="0" distL="0" distR="0" wp14:anchorId="47FCA268" wp14:editId="615119A7">
            <wp:extent cx="5730875" cy="4514670"/>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a:extLst>
                        <a:ext uri="{28A0092B-C50C-407E-A947-70E740481C1C}">
                          <a14:useLocalDpi xmlns:a14="http://schemas.microsoft.com/office/drawing/2010/main" val="0"/>
                        </a:ext>
                      </a:extLst>
                    </a:blip>
                    <a:srcRect t="3181" b="2584"/>
                    <a:stretch/>
                  </pic:blipFill>
                  <pic:spPr bwMode="auto">
                    <a:xfrm>
                      <a:off x="0" y="0"/>
                      <a:ext cx="5731510" cy="4515170"/>
                    </a:xfrm>
                    <a:prstGeom prst="rect">
                      <a:avLst/>
                    </a:prstGeom>
                    <a:noFill/>
                    <a:ln>
                      <a:noFill/>
                    </a:ln>
                    <a:extLst>
                      <a:ext uri="{53640926-AAD7-44D8-BBD7-CCE9431645EC}">
                        <a14:shadowObscured xmlns:a14="http://schemas.microsoft.com/office/drawing/2010/main"/>
                      </a:ext>
                    </a:extLst>
                  </pic:spPr>
                </pic:pic>
              </a:graphicData>
            </a:graphic>
          </wp:inline>
        </w:drawing>
      </w:r>
    </w:p>
    <w:p w14:paraId="085A40EB" w14:textId="6FF1A235" w:rsidR="00AC6117" w:rsidRDefault="00AC6117" w:rsidP="00AC6117">
      <w:pPr>
        <w:jc w:val="center"/>
        <w:rPr>
          <w:rFonts w:ascii="Liberation Sans" w:hAnsi="Liberation Sans" w:cs="Liberation Sans"/>
          <w:sz w:val="20"/>
          <w:szCs w:val="20"/>
          <w:lang w:val="en-GB"/>
        </w:rPr>
      </w:pPr>
      <w:r w:rsidRPr="00AC6117">
        <w:rPr>
          <w:rFonts w:ascii="Liberation Sans" w:hAnsi="Liberation Sans" w:cs="Liberation Sans"/>
          <w:sz w:val="20"/>
          <w:szCs w:val="20"/>
          <w:lang w:val="en-GB"/>
        </w:rPr>
        <w:t>Figu</w:t>
      </w:r>
      <w:r>
        <w:rPr>
          <w:rFonts w:ascii="Liberation Sans" w:hAnsi="Liberation Sans" w:cs="Liberation Sans"/>
          <w:sz w:val="20"/>
          <w:szCs w:val="20"/>
          <w:lang w:val="en-GB"/>
        </w:rPr>
        <w:t>r</w:t>
      </w:r>
      <w:r w:rsidRPr="00AC6117">
        <w:rPr>
          <w:rFonts w:ascii="Liberation Sans" w:hAnsi="Liberation Sans" w:cs="Liberation Sans"/>
          <w:sz w:val="20"/>
          <w:szCs w:val="20"/>
          <w:lang w:val="en-GB"/>
        </w:rPr>
        <w:t xml:space="preserve">e </w:t>
      </w:r>
      <w:r w:rsidR="00B76FE7">
        <w:rPr>
          <w:rFonts w:ascii="Liberation Sans" w:hAnsi="Liberation Sans" w:cs="Liberation Sans"/>
          <w:sz w:val="20"/>
          <w:szCs w:val="20"/>
          <w:lang w:val="en-GB"/>
        </w:rPr>
        <w:t>B</w:t>
      </w:r>
      <w:r w:rsidRPr="00AC6117">
        <w:rPr>
          <w:rFonts w:ascii="Liberation Sans" w:hAnsi="Liberation Sans" w:cs="Liberation Sans"/>
          <w:sz w:val="20"/>
          <w:szCs w:val="20"/>
          <w:lang w:val="en-GB"/>
        </w:rPr>
        <w:t>1.</w:t>
      </w:r>
      <w:r>
        <w:rPr>
          <w:rFonts w:ascii="Liberation Sans" w:hAnsi="Liberation Sans" w:cs="Liberation Sans"/>
          <w:sz w:val="20"/>
          <w:szCs w:val="20"/>
          <w:lang w:val="en-GB"/>
        </w:rPr>
        <w:t xml:space="preserve"> Distribution of vessel sizes per chronological phase.</w:t>
      </w:r>
    </w:p>
    <w:p w14:paraId="1AEDA6AE" w14:textId="2A201789" w:rsidR="00300FD8" w:rsidRDefault="00300FD8" w:rsidP="00AC6117">
      <w:pPr>
        <w:jc w:val="center"/>
        <w:rPr>
          <w:rFonts w:ascii="Liberation Sans" w:hAnsi="Liberation Sans" w:cs="Liberation Sans"/>
          <w:sz w:val="20"/>
          <w:szCs w:val="20"/>
          <w:lang w:val="en-GB"/>
        </w:rPr>
      </w:pPr>
    </w:p>
    <w:p w14:paraId="2C33B0B2" w14:textId="560E72E8" w:rsidR="00300FD8" w:rsidRDefault="00300FD8" w:rsidP="00AC6117">
      <w:pPr>
        <w:jc w:val="center"/>
        <w:rPr>
          <w:rFonts w:ascii="Liberation Sans" w:hAnsi="Liberation Sans" w:cs="Liberation Sans"/>
          <w:sz w:val="20"/>
          <w:szCs w:val="20"/>
          <w:lang w:val="en-GB"/>
        </w:rPr>
      </w:pPr>
    </w:p>
    <w:p w14:paraId="10E5BB01" w14:textId="77777777" w:rsidR="00300FD8" w:rsidRDefault="00300FD8" w:rsidP="00300FD8">
      <w:pPr>
        <w:jc w:val="center"/>
        <w:rPr>
          <w:rFonts w:ascii="Liberation Sans" w:hAnsi="Liberation Sans" w:cs="Liberation Sans"/>
          <w:b/>
          <w:lang w:val="en-GB"/>
        </w:rPr>
      </w:pPr>
    </w:p>
    <w:p w14:paraId="3CD88221" w14:textId="77777777" w:rsidR="00300FD8" w:rsidRDefault="00300FD8" w:rsidP="00300FD8">
      <w:pPr>
        <w:jc w:val="center"/>
        <w:rPr>
          <w:rFonts w:ascii="Liberation Sans" w:hAnsi="Liberation Sans" w:cs="Liberation Sans"/>
          <w:b/>
          <w:lang w:val="en-GB"/>
        </w:rPr>
      </w:pPr>
    </w:p>
    <w:p w14:paraId="30AF0856" w14:textId="77777777" w:rsidR="00300FD8" w:rsidRDefault="00300FD8" w:rsidP="00300FD8">
      <w:pPr>
        <w:jc w:val="center"/>
        <w:rPr>
          <w:rFonts w:ascii="Liberation Sans" w:hAnsi="Liberation Sans" w:cs="Liberation Sans"/>
          <w:b/>
          <w:lang w:val="en-GB"/>
        </w:rPr>
      </w:pPr>
    </w:p>
    <w:p w14:paraId="2D1267BA" w14:textId="77777777" w:rsidR="00300FD8" w:rsidRDefault="00300FD8" w:rsidP="00300FD8">
      <w:pPr>
        <w:jc w:val="center"/>
        <w:rPr>
          <w:rFonts w:ascii="Liberation Sans" w:hAnsi="Liberation Sans" w:cs="Liberation Sans"/>
          <w:b/>
          <w:lang w:val="en-GB"/>
        </w:rPr>
      </w:pPr>
    </w:p>
    <w:p w14:paraId="5762BBBD" w14:textId="77777777" w:rsidR="00300FD8" w:rsidRDefault="00300FD8" w:rsidP="00300FD8">
      <w:pPr>
        <w:jc w:val="center"/>
        <w:rPr>
          <w:rFonts w:ascii="Liberation Sans" w:hAnsi="Liberation Sans" w:cs="Liberation Sans"/>
          <w:b/>
          <w:lang w:val="en-GB"/>
        </w:rPr>
      </w:pPr>
    </w:p>
    <w:p w14:paraId="1AD7B32F" w14:textId="77777777" w:rsidR="00300FD8" w:rsidRDefault="00300FD8" w:rsidP="00300FD8">
      <w:pPr>
        <w:jc w:val="center"/>
        <w:rPr>
          <w:rFonts w:ascii="Liberation Sans" w:hAnsi="Liberation Sans" w:cs="Liberation Sans"/>
          <w:b/>
          <w:lang w:val="en-GB"/>
        </w:rPr>
      </w:pPr>
    </w:p>
    <w:p w14:paraId="40D925D1" w14:textId="77777777" w:rsidR="00300FD8" w:rsidRDefault="00300FD8" w:rsidP="00300FD8">
      <w:pPr>
        <w:jc w:val="center"/>
        <w:rPr>
          <w:rFonts w:ascii="Liberation Sans" w:hAnsi="Liberation Sans" w:cs="Liberation Sans"/>
          <w:b/>
          <w:lang w:val="en-GB"/>
        </w:rPr>
      </w:pPr>
    </w:p>
    <w:p w14:paraId="790EDFA9" w14:textId="47F0959B" w:rsidR="00300FD8" w:rsidRDefault="00300FD8" w:rsidP="00300FD8">
      <w:pPr>
        <w:jc w:val="center"/>
        <w:rPr>
          <w:rFonts w:ascii="Liberation Sans" w:hAnsi="Liberation Sans" w:cs="Liberation Sans"/>
          <w:b/>
          <w:lang w:val="en-GB"/>
        </w:rPr>
      </w:pPr>
      <w:r>
        <w:rPr>
          <w:rFonts w:ascii="Liberation Sans" w:hAnsi="Liberation Sans" w:cs="Liberation Sans"/>
          <w:b/>
          <w:lang w:val="en-GB"/>
        </w:rPr>
        <w:lastRenderedPageBreak/>
        <w:t xml:space="preserve">Appendix </w:t>
      </w:r>
      <w:r w:rsidR="00B76FE7">
        <w:rPr>
          <w:rFonts w:ascii="Liberation Sans" w:hAnsi="Liberation Sans" w:cs="Liberation Sans"/>
          <w:b/>
          <w:lang w:val="en-GB"/>
        </w:rPr>
        <w:t>C</w:t>
      </w:r>
      <w:r>
        <w:rPr>
          <w:rFonts w:ascii="Liberation Sans" w:hAnsi="Liberation Sans" w:cs="Liberation Sans"/>
          <w:b/>
          <w:lang w:val="en-GB"/>
        </w:rPr>
        <w:t>. Distribution of decorated vessel</w:t>
      </w:r>
      <w:r w:rsidR="00E81D19">
        <w:rPr>
          <w:rFonts w:ascii="Liberation Sans" w:hAnsi="Liberation Sans" w:cs="Liberation Sans"/>
          <w:b/>
          <w:lang w:val="en-GB"/>
        </w:rPr>
        <w:t>s</w:t>
      </w:r>
      <w:r>
        <w:rPr>
          <w:rFonts w:ascii="Liberation Sans" w:hAnsi="Liberation Sans" w:cs="Liberation Sans"/>
          <w:b/>
          <w:lang w:val="en-GB"/>
        </w:rPr>
        <w:t xml:space="preserve"> </w:t>
      </w:r>
    </w:p>
    <w:p w14:paraId="5FCB4CD6" w14:textId="0C918854" w:rsidR="00300FD8" w:rsidRPr="00E81D19" w:rsidRDefault="00E81D19" w:rsidP="00624C84">
      <w:pPr>
        <w:jc w:val="both"/>
        <w:rPr>
          <w:rFonts w:ascii="Liberation Sans" w:hAnsi="Liberation Sans" w:cs="Liberation Sans"/>
          <w:lang w:val="en-GB"/>
        </w:rPr>
      </w:pPr>
      <w:r>
        <w:rPr>
          <w:rFonts w:ascii="Liberation Sans" w:hAnsi="Liberation Sans" w:cs="Liberation Sans"/>
          <w:b/>
          <w:lang w:val="en-GB"/>
        </w:rPr>
        <w:tab/>
      </w:r>
      <w:r w:rsidRPr="00E81D19">
        <w:rPr>
          <w:rFonts w:ascii="Liberation Sans" w:hAnsi="Liberation Sans" w:cs="Liberation Sans"/>
          <w:lang w:val="en-GB"/>
        </w:rPr>
        <w:t xml:space="preserve">Fig </w:t>
      </w:r>
      <w:r w:rsidR="00B76FE7">
        <w:rPr>
          <w:rFonts w:ascii="Liberation Sans" w:hAnsi="Liberation Sans" w:cs="Liberation Sans"/>
          <w:lang w:val="en-GB"/>
        </w:rPr>
        <w:t>C</w:t>
      </w:r>
      <w:r w:rsidRPr="00E81D19">
        <w:rPr>
          <w:rFonts w:ascii="Liberation Sans" w:hAnsi="Liberation Sans" w:cs="Liberation Sans"/>
          <w:lang w:val="en-GB"/>
        </w:rPr>
        <w:t xml:space="preserve">1 synthesises the information on the </w:t>
      </w:r>
      <w:r>
        <w:rPr>
          <w:rFonts w:ascii="Liberation Sans" w:hAnsi="Liberation Sans" w:cs="Liberation Sans"/>
          <w:lang w:val="en-GB"/>
        </w:rPr>
        <w:t xml:space="preserve">distribution of (un)decorated vessels in the dataset according to chronological phases made for our study. The reader can notice that vessels in phases 5 to 7 are mostly </w:t>
      </w:r>
      <w:r w:rsidR="00614B32">
        <w:rPr>
          <w:rFonts w:ascii="Liberation Sans" w:hAnsi="Liberation Sans" w:cs="Liberation Sans"/>
          <w:lang w:val="en-GB"/>
        </w:rPr>
        <w:t xml:space="preserve">undecorated, which is mostly consistent with the archaeological record, meaning vessels from styles like </w:t>
      </w:r>
      <w:proofErr w:type="spellStart"/>
      <w:r w:rsidR="00614B32" w:rsidRPr="00C35BF9">
        <w:rPr>
          <w:rFonts w:ascii="Liberation Sans" w:hAnsi="Liberation Sans" w:cs="Liberation Sans"/>
          <w:i/>
          <w:lang w:val="en-GB"/>
        </w:rPr>
        <w:t>Gatersleben</w:t>
      </w:r>
      <w:proofErr w:type="spellEnd"/>
      <w:r w:rsidR="00614B32">
        <w:rPr>
          <w:rFonts w:ascii="Liberation Sans" w:hAnsi="Liberation Sans" w:cs="Liberation Sans"/>
          <w:lang w:val="en-GB"/>
        </w:rPr>
        <w:t xml:space="preserve"> and </w:t>
      </w:r>
      <w:proofErr w:type="spellStart"/>
      <w:r w:rsidR="00614B32" w:rsidRPr="00C35BF9">
        <w:rPr>
          <w:rFonts w:ascii="Liberation Sans" w:hAnsi="Liberation Sans" w:cs="Liberation Sans"/>
          <w:i/>
          <w:lang w:val="en-GB"/>
        </w:rPr>
        <w:t>Baalberge</w:t>
      </w:r>
      <w:proofErr w:type="spellEnd"/>
      <w:r w:rsidR="00614B32">
        <w:rPr>
          <w:rFonts w:ascii="Liberation Sans" w:hAnsi="Liberation Sans" w:cs="Liberation Sans"/>
          <w:lang w:val="en-GB"/>
        </w:rPr>
        <w:t xml:space="preserve"> are </w:t>
      </w:r>
      <w:r w:rsidR="00C35BF9">
        <w:rPr>
          <w:rFonts w:ascii="Liberation Sans" w:hAnsi="Liberation Sans" w:cs="Liberation Sans"/>
          <w:lang w:val="en-GB"/>
        </w:rPr>
        <w:t>known to be mostly undecorated. This is also consistent with the ‘dip’ in the curve for cognitive load discussed in the main text.</w:t>
      </w:r>
    </w:p>
    <w:p w14:paraId="2AE84493" w14:textId="77777777" w:rsidR="00300FD8" w:rsidRDefault="00300FD8" w:rsidP="00300FD8">
      <w:pPr>
        <w:jc w:val="center"/>
        <w:rPr>
          <w:rFonts w:ascii="Liberation Sans" w:hAnsi="Liberation Sans" w:cs="Liberation Sans"/>
          <w:b/>
          <w:lang w:val="en-GB"/>
        </w:rPr>
      </w:pPr>
    </w:p>
    <w:p w14:paraId="6147DAFF" w14:textId="2ABBDFBE" w:rsidR="00300FD8" w:rsidRDefault="00300FD8" w:rsidP="00300FD8">
      <w:pPr>
        <w:rPr>
          <w:rFonts w:ascii="Liberation Sans" w:hAnsi="Liberation Sans" w:cs="Liberation Sans"/>
          <w:sz w:val="20"/>
          <w:szCs w:val="20"/>
          <w:lang w:val="en-GB"/>
        </w:rPr>
      </w:pPr>
      <w:r w:rsidRPr="00300FD8">
        <w:rPr>
          <w:rFonts w:ascii="Liberation Sans" w:hAnsi="Liberation Sans" w:cs="Liberation Sans"/>
          <w:noProof/>
          <w:sz w:val="20"/>
          <w:szCs w:val="20"/>
          <w:lang w:val="en-GB"/>
        </w:rPr>
        <w:drawing>
          <wp:inline distT="0" distB="0" distL="0" distR="0" wp14:anchorId="32FC62EE" wp14:editId="69D58398">
            <wp:extent cx="5731510" cy="3125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913"/>
                    <a:stretch/>
                  </pic:blipFill>
                  <pic:spPr bwMode="auto">
                    <a:xfrm>
                      <a:off x="0" y="0"/>
                      <a:ext cx="5731510" cy="3125470"/>
                    </a:xfrm>
                    <a:prstGeom prst="rect">
                      <a:avLst/>
                    </a:prstGeom>
                    <a:ln>
                      <a:noFill/>
                    </a:ln>
                    <a:extLst>
                      <a:ext uri="{53640926-AAD7-44D8-BBD7-CCE9431645EC}">
                        <a14:shadowObscured xmlns:a14="http://schemas.microsoft.com/office/drawing/2010/main"/>
                      </a:ext>
                    </a:extLst>
                  </pic:spPr>
                </pic:pic>
              </a:graphicData>
            </a:graphic>
          </wp:inline>
        </w:drawing>
      </w:r>
    </w:p>
    <w:p w14:paraId="04835471" w14:textId="511B6404" w:rsidR="00E81D19" w:rsidRDefault="00E81D19" w:rsidP="00E81D19">
      <w:pPr>
        <w:jc w:val="center"/>
        <w:rPr>
          <w:rFonts w:ascii="Liberation Sans" w:hAnsi="Liberation Sans" w:cs="Liberation Sans"/>
          <w:sz w:val="20"/>
          <w:szCs w:val="20"/>
          <w:lang w:val="en-GB"/>
        </w:rPr>
      </w:pPr>
      <w:r>
        <w:rPr>
          <w:rFonts w:ascii="Liberation Sans" w:hAnsi="Liberation Sans" w:cs="Liberation Sans"/>
          <w:sz w:val="20"/>
          <w:szCs w:val="20"/>
          <w:lang w:val="en-GB"/>
        </w:rPr>
        <w:t xml:space="preserve">Fig </w:t>
      </w:r>
      <w:r w:rsidR="00B76FE7">
        <w:rPr>
          <w:rFonts w:ascii="Liberation Sans" w:hAnsi="Liberation Sans" w:cs="Liberation Sans"/>
          <w:sz w:val="20"/>
          <w:szCs w:val="20"/>
          <w:lang w:val="en-GB"/>
        </w:rPr>
        <w:t>C</w:t>
      </w:r>
      <w:r>
        <w:rPr>
          <w:rFonts w:ascii="Liberation Sans" w:hAnsi="Liberation Sans" w:cs="Liberation Sans"/>
          <w:sz w:val="20"/>
          <w:szCs w:val="20"/>
          <w:lang w:val="en-GB"/>
        </w:rPr>
        <w:t>1. Distribution of decorated vessels according to their chronological phase.</w:t>
      </w:r>
    </w:p>
    <w:p w14:paraId="22D8BBD5" w14:textId="6FAA8DB4" w:rsidR="00B76FE7" w:rsidRDefault="00B76FE7">
      <w:pPr>
        <w:rPr>
          <w:rFonts w:ascii="Liberation Sans" w:hAnsi="Liberation Sans" w:cs="Liberation Sans"/>
          <w:sz w:val="20"/>
          <w:szCs w:val="20"/>
          <w:lang w:val="en-GB"/>
        </w:rPr>
      </w:pPr>
      <w:r>
        <w:rPr>
          <w:rFonts w:ascii="Liberation Sans" w:hAnsi="Liberation Sans" w:cs="Liberation Sans"/>
          <w:sz w:val="20"/>
          <w:szCs w:val="20"/>
          <w:lang w:val="en-GB"/>
        </w:rPr>
        <w:br w:type="page"/>
      </w:r>
    </w:p>
    <w:p w14:paraId="0D466CA0" w14:textId="060D99A4" w:rsidR="00B76FE7" w:rsidRDefault="00B76FE7" w:rsidP="00B76FE7">
      <w:pPr>
        <w:jc w:val="center"/>
        <w:rPr>
          <w:rFonts w:ascii="Liberation Sans" w:hAnsi="Liberation Sans" w:cs="Liberation Sans"/>
          <w:b/>
          <w:lang w:val="en-GB"/>
        </w:rPr>
      </w:pPr>
      <w:r>
        <w:rPr>
          <w:rFonts w:ascii="Liberation Sans" w:hAnsi="Liberation Sans" w:cs="Liberation Sans"/>
          <w:b/>
          <w:lang w:val="en-GB"/>
        </w:rPr>
        <w:lastRenderedPageBreak/>
        <w:t xml:space="preserve">Appendix D. </w:t>
      </w:r>
      <w:r w:rsidR="006E0D9B">
        <w:rPr>
          <w:rFonts w:ascii="Liberation Sans" w:hAnsi="Liberation Sans" w:cs="Liberation Sans"/>
          <w:b/>
          <w:lang w:val="en-GB"/>
        </w:rPr>
        <w:t>A model on the development of patterns of attention in prehistoric central Germany</w:t>
      </w:r>
    </w:p>
    <w:p w14:paraId="5B1F498D" w14:textId="704686C2" w:rsidR="0024794D" w:rsidRPr="0024794D" w:rsidRDefault="006E0D9B" w:rsidP="0024794D">
      <w:pPr>
        <w:spacing w:before="240" w:after="240"/>
        <w:ind w:firstLine="720"/>
        <w:jc w:val="both"/>
        <w:rPr>
          <w:rFonts w:ascii="Liberation Sans" w:hAnsi="Liberation Sans" w:cs="Liberation Sans"/>
          <w:lang w:val="en-GB"/>
        </w:rPr>
      </w:pPr>
      <w:r>
        <w:rPr>
          <w:rFonts w:ascii="Liberation Sans" w:hAnsi="Liberation Sans" w:cs="Liberation Sans"/>
          <w:lang w:val="en-GB"/>
        </w:rPr>
        <w:t>Given</w:t>
      </w:r>
      <w:r w:rsidR="0024794D" w:rsidRPr="0024794D">
        <w:rPr>
          <w:rFonts w:ascii="Liberation Sans" w:hAnsi="Liberation Sans" w:cs="Liberation Sans"/>
          <w:lang w:val="en-GB"/>
        </w:rPr>
        <w:t xml:space="preserve"> material culture conveys information not only about economic, social and cultural practices, but also about social rules and milieus, especially in non-literate societies</w:t>
      </w:r>
      <w:r>
        <w:rPr>
          <w:rFonts w:ascii="Liberation Sans" w:hAnsi="Liberation Sans" w:cs="Liberation Sans"/>
          <w:lang w:val="en-GB"/>
        </w:rPr>
        <w:t>, we consider there is</w:t>
      </w:r>
      <w:r w:rsidR="0024794D" w:rsidRPr="0024794D">
        <w:rPr>
          <w:rFonts w:ascii="Liberation Sans" w:hAnsi="Liberation Sans" w:cs="Liberation Sans"/>
          <w:lang w:val="en-GB"/>
        </w:rPr>
        <w:t xml:space="preserve"> a dialectical relationship between social norms, production processes, and the role of these objects as media for symbolic expression. These factors influence the degree of visual attention an object may ‘force on the viewer’, raising the question: can shifts in attentional patterns through time be linked to broader socio-cultural transformations?</w:t>
      </w:r>
    </w:p>
    <w:p w14:paraId="021A7618" w14:textId="58A1FEC7" w:rsidR="00066856" w:rsidRPr="0024794D" w:rsidRDefault="0024794D" w:rsidP="0024794D">
      <w:pPr>
        <w:ind w:firstLine="720"/>
        <w:jc w:val="both"/>
        <w:rPr>
          <w:rFonts w:ascii="Liberation Sans" w:hAnsi="Liberation Sans" w:cs="Liberation Sans"/>
          <w:lang w:val="en-GB"/>
        </w:rPr>
      </w:pPr>
      <w:r w:rsidRPr="0024794D">
        <w:rPr>
          <w:rFonts w:ascii="Liberation Sans" w:hAnsi="Liberation Sans" w:cs="Liberation Sans"/>
          <w:lang w:val="en-GB"/>
        </w:rPr>
        <w:t xml:space="preserve">To investigate this, </w:t>
      </w:r>
      <w:r w:rsidR="007E141D">
        <w:rPr>
          <w:rFonts w:ascii="Liberation Sans" w:hAnsi="Liberation Sans" w:cs="Liberation Sans"/>
          <w:lang w:val="en-GB"/>
        </w:rPr>
        <w:t xml:space="preserve">we have created a model on the development of patterns of attention in prehistoric central Germany. This was conducted by displaying the </w:t>
      </w:r>
      <w:r w:rsidRPr="0024794D">
        <w:rPr>
          <w:rFonts w:ascii="Liberation Sans" w:hAnsi="Liberation Sans" w:cs="Liberation Sans"/>
          <w:lang w:val="en-GB"/>
        </w:rPr>
        <w:t>mean fixation duration values per object according to their typological classification (</w:t>
      </w:r>
      <w:r w:rsidR="006E0D9B">
        <w:rPr>
          <w:rFonts w:ascii="Liberation Sans" w:hAnsi="Liberation Sans" w:cs="Liberation Sans"/>
          <w:lang w:val="en-GB"/>
        </w:rPr>
        <w:t xml:space="preserve">see also </w:t>
      </w:r>
      <w:r w:rsidRPr="0024794D">
        <w:rPr>
          <w:rFonts w:ascii="Liberation Sans" w:hAnsi="Liberation Sans" w:cs="Liberation Sans"/>
          <w:lang w:val="en-GB"/>
        </w:rPr>
        <w:t>Fig 10</w:t>
      </w:r>
      <w:r w:rsidR="006E0D9B">
        <w:rPr>
          <w:rFonts w:ascii="Liberation Sans" w:hAnsi="Liberation Sans" w:cs="Liberation Sans"/>
          <w:lang w:val="en-GB"/>
        </w:rPr>
        <w:t xml:space="preserve"> in manuscript</w:t>
      </w:r>
      <w:r w:rsidRPr="0024794D">
        <w:rPr>
          <w:rFonts w:ascii="Liberation Sans" w:hAnsi="Liberation Sans" w:cs="Liberation Sans"/>
          <w:lang w:val="en-GB"/>
        </w:rPr>
        <w:t xml:space="preserve">), which provided a finer temporal resolution. We identified six phases of change in patterns of attention from the year 5500-1 BCE (Fig </w:t>
      </w:r>
      <w:r w:rsidR="006E0D9B">
        <w:rPr>
          <w:rFonts w:ascii="Liberation Sans" w:hAnsi="Liberation Sans" w:cs="Liberation Sans"/>
          <w:lang w:val="en-GB"/>
        </w:rPr>
        <w:t>D1</w:t>
      </w:r>
      <w:r w:rsidRPr="0024794D">
        <w:rPr>
          <w:rFonts w:ascii="Liberation Sans" w:hAnsi="Liberation Sans" w:cs="Liberation Sans"/>
          <w:lang w:val="en-GB"/>
        </w:rPr>
        <w:t xml:space="preserve">). These are referred to as ‘perception phases’ (PPs). Each phase is statistically distinct from the one before and after, except for PP2 and PP3, where no significant difference was found (Fig </w:t>
      </w:r>
      <w:r w:rsidR="006E0D9B">
        <w:rPr>
          <w:rFonts w:ascii="Liberation Sans" w:hAnsi="Liberation Sans" w:cs="Liberation Sans"/>
          <w:lang w:val="en-GB"/>
        </w:rPr>
        <w:t>D1</w:t>
      </w:r>
      <w:r w:rsidRPr="0024794D">
        <w:rPr>
          <w:rFonts w:ascii="Liberation Sans" w:hAnsi="Liberation Sans" w:cs="Liberation Sans"/>
          <w:lang w:val="en-GB"/>
        </w:rPr>
        <w:t>).</w:t>
      </w:r>
    </w:p>
    <w:p w14:paraId="16FB5D05" w14:textId="6C3797BD" w:rsidR="00066856" w:rsidRPr="0024794D" w:rsidRDefault="00066856" w:rsidP="00B76FE7">
      <w:pPr>
        <w:jc w:val="center"/>
        <w:rPr>
          <w:rFonts w:ascii="Liberation Sans" w:hAnsi="Liberation Sans" w:cs="Liberation Sans"/>
          <w:lang w:val="en-GB"/>
        </w:rPr>
      </w:pPr>
      <w:r w:rsidRPr="0024794D">
        <w:rPr>
          <w:rFonts w:ascii="Liberation Sans" w:hAnsi="Liberation Sans" w:cs="Liberation Sans"/>
          <w:noProof/>
          <w:lang w:val="en-GB"/>
        </w:rPr>
        <w:drawing>
          <wp:inline distT="0" distB="0" distL="0" distR="0" wp14:anchorId="154A4E5D" wp14:editId="7A74C1B1">
            <wp:extent cx="5731510" cy="4963265"/>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963265"/>
                    </a:xfrm>
                    <a:prstGeom prst="rect">
                      <a:avLst/>
                    </a:prstGeom>
                    <a:noFill/>
                    <a:ln>
                      <a:noFill/>
                    </a:ln>
                  </pic:spPr>
                </pic:pic>
              </a:graphicData>
            </a:graphic>
          </wp:inline>
        </w:drawing>
      </w:r>
    </w:p>
    <w:p w14:paraId="2BC511FE" w14:textId="7B47BC17" w:rsidR="00066856" w:rsidRPr="0024794D" w:rsidRDefault="0024794D" w:rsidP="00B76FE7">
      <w:pPr>
        <w:jc w:val="center"/>
        <w:rPr>
          <w:rFonts w:ascii="Liberation Sans" w:hAnsi="Liberation Sans" w:cs="Liberation Sans"/>
          <w:lang w:val="en-GB"/>
        </w:rPr>
      </w:pPr>
      <w:r w:rsidRPr="0024794D">
        <w:rPr>
          <w:rFonts w:ascii="Liberation Sans" w:hAnsi="Liberation Sans" w:cs="Liberation Sans"/>
          <w:lang w:val="en-GB"/>
        </w:rPr>
        <w:t xml:space="preserve">Fig </w:t>
      </w:r>
      <w:r>
        <w:rPr>
          <w:rFonts w:ascii="Liberation Sans" w:hAnsi="Liberation Sans" w:cs="Liberation Sans"/>
          <w:lang w:val="en-GB"/>
        </w:rPr>
        <w:t>D</w:t>
      </w:r>
      <w:r w:rsidRPr="0024794D">
        <w:rPr>
          <w:rFonts w:ascii="Liberation Sans" w:hAnsi="Liberation Sans" w:cs="Liberation Sans"/>
          <w:lang w:val="en-GB"/>
        </w:rPr>
        <w:t xml:space="preserve">1. Perception phases (PPs) defined according to mean fixation duration: (A) distribution of the participants’ mean fixation duration for each pottery type in their respective PPs, (B) statistical significance of each PP according to non-parametric pairwise </w:t>
      </w:r>
      <w:proofErr w:type="spellStart"/>
      <w:r w:rsidRPr="0024794D">
        <w:rPr>
          <w:rFonts w:ascii="Liberation Sans" w:hAnsi="Liberation Sans" w:cs="Liberation Sans"/>
          <w:lang w:val="en-GB"/>
        </w:rPr>
        <w:t>Wilcoxian</w:t>
      </w:r>
      <w:proofErr w:type="spellEnd"/>
      <w:r w:rsidRPr="0024794D">
        <w:rPr>
          <w:rFonts w:ascii="Liberation Sans" w:hAnsi="Liberation Sans" w:cs="Liberation Sans"/>
          <w:lang w:val="en-GB"/>
        </w:rPr>
        <w:t xml:space="preserve"> test, and </w:t>
      </w:r>
      <w:r w:rsidRPr="0024794D">
        <w:rPr>
          <w:rFonts w:ascii="Liberation Sans" w:hAnsi="Liberation Sans" w:cs="Liberation Sans"/>
          <w:lang w:val="en-GB"/>
        </w:rPr>
        <w:lastRenderedPageBreak/>
        <w:t>(C) the cutting points for each PP according to the mean fixation duration of each pottery type for all participants (see Fig 10</w:t>
      </w:r>
      <w:r w:rsidR="006E0D9B">
        <w:rPr>
          <w:rFonts w:ascii="Liberation Sans" w:hAnsi="Liberation Sans" w:cs="Liberation Sans"/>
          <w:lang w:val="en-GB"/>
        </w:rPr>
        <w:t xml:space="preserve"> in main text</w:t>
      </w:r>
      <w:r w:rsidRPr="0024794D">
        <w:rPr>
          <w:rFonts w:ascii="Liberation Sans" w:hAnsi="Liberation Sans" w:cs="Liberation Sans"/>
          <w:lang w:val="en-GB"/>
        </w:rPr>
        <w:t>).</w:t>
      </w:r>
    </w:p>
    <w:p w14:paraId="710FA11F" w14:textId="77777777"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PP1 (5500/5400-4400 BCE): This phase corresponds to the introduction of agriculture, sedentary settlement systems, and pottery production. In the Early Neolithic, LBK pottery was mostly locally produced, with decorative patterns likely signalling group affiliation, particularly in the later phases when regionalised decorative patterns emerged. These decorated vessels were deeply integrated into every aspect of social life, serving ritual, economic, and cultural functions. They appear in graves, settlement pits, and wells, highlighting their multifunctional role (</w:t>
      </w:r>
      <w:proofErr w:type="spellStart"/>
      <w:r w:rsidRPr="0024794D">
        <w:rPr>
          <w:rFonts w:ascii="Liberation Sans" w:hAnsi="Liberation Sans" w:cs="Liberation Sans"/>
          <w:lang w:val="en-GB"/>
        </w:rPr>
        <w:t>Salque</w:t>
      </w:r>
      <w:proofErr w:type="spellEnd"/>
      <w:r w:rsidRPr="0024794D">
        <w:rPr>
          <w:rFonts w:ascii="Liberation Sans" w:hAnsi="Liberation Sans" w:cs="Liberation Sans"/>
          <w:lang w:val="en-GB"/>
        </w:rPr>
        <w:t xml:space="preserve"> et al., 2012; Tegel et al., 2012). This ubiquity reflects the household-based, heterarchical organisation of Neolithic societies, which probably permitted the widespread design and consumption of the decorated vessels among different members of the social group. Significant investment was thus made in pottery as both a symbolic and utilitarian medium.</w:t>
      </w:r>
    </w:p>
    <w:p w14:paraId="7FA503E4" w14:textId="750BC666" w:rsidR="0024794D" w:rsidRPr="0024794D" w:rsidRDefault="0024794D" w:rsidP="0024794D">
      <w:pPr>
        <w:pStyle w:val="NormalWeb"/>
        <w:spacing w:before="240" w:beforeAutospacing="0" w:after="240" w:afterAutospacing="0" w:line="276" w:lineRule="auto"/>
        <w:jc w:val="both"/>
        <w:rPr>
          <w:rFonts w:ascii="Liberation Sans" w:eastAsiaTheme="minorHAnsi" w:hAnsi="Liberation Sans" w:cs="Liberation Sans"/>
          <w:sz w:val="22"/>
          <w:szCs w:val="22"/>
          <w:lang w:eastAsia="en-US"/>
        </w:rPr>
      </w:pPr>
      <w:r w:rsidRPr="0024794D">
        <w:rPr>
          <w:rFonts w:ascii="Liberation Sans" w:eastAsiaTheme="minorHAnsi" w:hAnsi="Liberation Sans" w:cs="Liberation Sans"/>
          <w:sz w:val="22"/>
          <w:szCs w:val="22"/>
          <w:lang w:eastAsia="en-US"/>
        </w:rPr>
        <w:t xml:space="preserve">The Middle Neolithic saw significant changes in settlement architecture, economic practices, and mortuary customs, including modifications to longhouses, the appearance of communal structures like rondels, and the use of extra-mural burial grounds. However, the organisation of pottery production and its contexts of use remained broadly consistent, though vessels also served communal rather than solely household functions. </w:t>
      </w:r>
      <w:proofErr w:type="spellStart"/>
      <w:r w:rsidRPr="0024794D">
        <w:rPr>
          <w:rFonts w:ascii="Liberation Sans" w:eastAsiaTheme="minorHAnsi" w:hAnsi="Liberation Sans" w:cs="Liberation Sans"/>
          <w:sz w:val="22"/>
          <w:szCs w:val="22"/>
          <w:lang w:eastAsia="en-US"/>
        </w:rPr>
        <w:t>Rössen</w:t>
      </w:r>
      <w:proofErr w:type="spellEnd"/>
      <w:r w:rsidRPr="0024794D">
        <w:rPr>
          <w:rFonts w:ascii="Liberation Sans" w:eastAsiaTheme="minorHAnsi" w:hAnsi="Liberation Sans" w:cs="Liberation Sans"/>
          <w:sz w:val="22"/>
          <w:szCs w:val="22"/>
          <w:lang w:eastAsia="en-US"/>
        </w:rPr>
        <w:t xml:space="preserve"> and SBK pottery styles developed from the LBK tradition, with curvilinear motifs replacing angular designs, and stitched impressions becoming more common than incisions. Only in the late </w:t>
      </w:r>
      <w:proofErr w:type="spellStart"/>
      <w:r w:rsidRPr="0024794D">
        <w:rPr>
          <w:rFonts w:ascii="Liberation Sans" w:eastAsiaTheme="minorHAnsi" w:hAnsi="Liberation Sans" w:cs="Liberation Sans"/>
          <w:sz w:val="22"/>
          <w:szCs w:val="22"/>
          <w:lang w:eastAsia="en-US"/>
        </w:rPr>
        <w:t>Rössen</w:t>
      </w:r>
      <w:proofErr w:type="spellEnd"/>
      <w:r w:rsidRPr="0024794D">
        <w:rPr>
          <w:rFonts w:ascii="Liberation Sans" w:eastAsiaTheme="minorHAnsi" w:hAnsi="Liberation Sans" w:cs="Liberation Sans"/>
          <w:sz w:val="22"/>
          <w:szCs w:val="22"/>
          <w:lang w:eastAsia="en-US"/>
        </w:rPr>
        <w:t xml:space="preserve"> phase did decoration largely disappear (a trend that continued into the Younger Neolithic, PP2). Despite these shifts, pottery retained its role as a </w:t>
      </w:r>
      <w:r w:rsidR="008D2237">
        <w:rPr>
          <w:rFonts w:ascii="Liberation Sans" w:eastAsiaTheme="minorHAnsi" w:hAnsi="Liberation Sans" w:cs="Liberation Sans"/>
          <w:sz w:val="22"/>
          <w:szCs w:val="22"/>
          <w:lang w:eastAsia="en-US"/>
        </w:rPr>
        <w:t xml:space="preserve">central </w:t>
      </w:r>
      <w:r w:rsidRPr="0024794D">
        <w:rPr>
          <w:rFonts w:ascii="Liberation Sans" w:eastAsiaTheme="minorHAnsi" w:hAnsi="Liberation Sans" w:cs="Liberation Sans"/>
          <w:sz w:val="22"/>
          <w:szCs w:val="22"/>
          <w:lang w:eastAsia="en-US"/>
        </w:rPr>
        <w:t xml:space="preserve">medium for </w:t>
      </w:r>
      <w:r w:rsidR="008D2237">
        <w:rPr>
          <w:rFonts w:ascii="Liberation Sans" w:eastAsiaTheme="minorHAnsi" w:hAnsi="Liberation Sans" w:cs="Liberation Sans"/>
          <w:sz w:val="22"/>
          <w:szCs w:val="22"/>
          <w:lang w:eastAsia="en-US"/>
        </w:rPr>
        <w:t>visual communication of social cues</w:t>
      </w:r>
      <w:r w:rsidRPr="0024794D">
        <w:rPr>
          <w:rFonts w:ascii="Liberation Sans" w:eastAsiaTheme="minorHAnsi" w:hAnsi="Liberation Sans" w:cs="Liberation Sans"/>
          <w:sz w:val="22"/>
          <w:szCs w:val="22"/>
          <w:lang w:eastAsia="en-US"/>
        </w:rPr>
        <w:t>.</w:t>
      </w:r>
    </w:p>
    <w:p w14:paraId="789335BD" w14:textId="77777777" w:rsidR="0024794D" w:rsidRPr="0024794D" w:rsidRDefault="0024794D" w:rsidP="0024794D">
      <w:pPr>
        <w:pStyle w:val="NormalWeb"/>
        <w:spacing w:before="240" w:beforeAutospacing="0" w:after="240" w:afterAutospacing="0" w:line="276" w:lineRule="auto"/>
        <w:jc w:val="both"/>
        <w:rPr>
          <w:rFonts w:ascii="Liberation Sans" w:eastAsiaTheme="minorHAnsi" w:hAnsi="Liberation Sans" w:cs="Liberation Sans"/>
          <w:sz w:val="22"/>
          <w:szCs w:val="22"/>
          <w:lang w:eastAsia="en-US"/>
        </w:rPr>
      </w:pPr>
      <w:r w:rsidRPr="0024794D">
        <w:rPr>
          <w:rFonts w:ascii="Liberation Sans" w:eastAsiaTheme="minorHAnsi" w:hAnsi="Liberation Sans" w:cs="Liberation Sans"/>
          <w:sz w:val="22"/>
          <w:szCs w:val="22"/>
          <w:lang w:eastAsia="en-US"/>
        </w:rPr>
        <w:t xml:space="preserve">Our results show that LBK, SBK and </w:t>
      </w:r>
      <w:proofErr w:type="spellStart"/>
      <w:r w:rsidRPr="0024794D">
        <w:rPr>
          <w:rFonts w:ascii="Liberation Sans" w:eastAsiaTheme="minorHAnsi" w:hAnsi="Liberation Sans" w:cs="Liberation Sans"/>
          <w:sz w:val="22"/>
          <w:szCs w:val="22"/>
          <w:lang w:eastAsia="en-US"/>
        </w:rPr>
        <w:t>Rössen</w:t>
      </w:r>
      <w:proofErr w:type="spellEnd"/>
      <w:r w:rsidRPr="0024794D">
        <w:rPr>
          <w:rFonts w:ascii="Liberation Sans" w:eastAsiaTheme="minorHAnsi" w:hAnsi="Liberation Sans" w:cs="Liberation Sans"/>
          <w:sz w:val="22"/>
          <w:szCs w:val="22"/>
          <w:lang w:eastAsia="en-US"/>
        </w:rPr>
        <w:t xml:space="preserve"> styles elicited the highest cognitive load values across the sequence. Among these, the distinctive LBK spiral banded motifs were the most captivating elements, particularly in the later LBK. This aligns with the fact that decorative patterns became more ornamented during later phases, where primary motifs like spirals and curvilinear bands combined with secondary elements such as lines, stitches, ‘musical note heads’, and toggle motifs. SBK angular stitched patterns also provoked a strong visual response. Although decorated </w:t>
      </w:r>
      <w:proofErr w:type="spellStart"/>
      <w:r w:rsidRPr="0024794D">
        <w:rPr>
          <w:rFonts w:ascii="Liberation Sans" w:eastAsiaTheme="minorHAnsi" w:hAnsi="Liberation Sans" w:cs="Liberation Sans"/>
          <w:sz w:val="22"/>
          <w:szCs w:val="22"/>
          <w:lang w:eastAsia="en-US"/>
        </w:rPr>
        <w:t>Rössen</w:t>
      </w:r>
      <w:proofErr w:type="spellEnd"/>
      <w:r w:rsidRPr="0024794D">
        <w:rPr>
          <w:rFonts w:ascii="Liberation Sans" w:eastAsiaTheme="minorHAnsi" w:hAnsi="Liberation Sans" w:cs="Liberation Sans"/>
          <w:sz w:val="22"/>
          <w:szCs w:val="22"/>
          <w:lang w:eastAsia="en-US"/>
        </w:rPr>
        <w:t xml:space="preserve"> pottery was not included, it is reasonable to expect a similar effect. The disappearance of spiral motifs appears to have influenced attention patterns.</w:t>
      </w:r>
    </w:p>
    <w:p w14:paraId="428193DD" w14:textId="77777777"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In sum, PP1 reflects substantial investment in pottery across various social spheres, partly due to its use as a marker of group identity and distinction. Consequently, pots were (perhaps inadvertently) designed to attract attention through decorative patterns that promoted visual exploration, especially during the later LBK period with its regional stylistic diversification.</w:t>
      </w:r>
    </w:p>
    <w:p w14:paraId="00125709" w14:textId="6D43D118"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 xml:space="preserve">PP2 (4400-3500/3400 BCE): This phase marks a pronounced shift towards communal spheres, exemplified by the construction of </w:t>
      </w:r>
      <w:proofErr w:type="gramStart"/>
      <w:r w:rsidRPr="0024794D">
        <w:rPr>
          <w:rFonts w:ascii="Liberation Sans" w:hAnsi="Liberation Sans" w:cs="Liberation Sans"/>
          <w:lang w:val="en-GB"/>
        </w:rPr>
        <w:t>large causewayed</w:t>
      </w:r>
      <w:proofErr w:type="gramEnd"/>
      <w:r w:rsidRPr="0024794D">
        <w:rPr>
          <w:rFonts w:ascii="Liberation Sans" w:hAnsi="Liberation Sans" w:cs="Liberation Sans"/>
          <w:lang w:val="en-GB"/>
        </w:rPr>
        <w:t xml:space="preserve"> enclosures, the emergence of copper production at </w:t>
      </w:r>
      <w:proofErr w:type="spellStart"/>
      <w:r w:rsidRPr="008D2237">
        <w:rPr>
          <w:rFonts w:ascii="Liberation Sans" w:hAnsi="Liberation Sans" w:cs="Liberation Sans"/>
          <w:i/>
          <w:iCs/>
          <w:lang w:val="en-GB"/>
        </w:rPr>
        <w:t>Baalberg</w:t>
      </w:r>
      <w:r w:rsidR="008D2237" w:rsidRPr="008D2237">
        <w:rPr>
          <w:rFonts w:ascii="Liberation Sans" w:hAnsi="Liberation Sans" w:cs="Liberation Sans"/>
          <w:i/>
          <w:iCs/>
          <w:lang w:val="en-GB"/>
        </w:rPr>
        <w:t>e</w:t>
      </w:r>
      <w:proofErr w:type="spellEnd"/>
      <w:r w:rsidRPr="0024794D">
        <w:rPr>
          <w:rFonts w:ascii="Liberation Sans" w:hAnsi="Liberation Sans" w:cs="Liberation Sans"/>
          <w:lang w:val="en-GB"/>
        </w:rPr>
        <w:t xml:space="preserve"> sites, and changes in mortuary practices, including burial mounds for individuals. Pottery remained locally produced on a communal scale, but designs and uses shifted. </w:t>
      </w:r>
      <w:proofErr w:type="spellStart"/>
      <w:r w:rsidRPr="0024794D">
        <w:rPr>
          <w:rFonts w:ascii="Liberation Sans" w:hAnsi="Liberation Sans" w:cs="Liberation Sans"/>
          <w:lang w:val="en-GB"/>
        </w:rPr>
        <w:t>Gatersleben</w:t>
      </w:r>
      <w:proofErr w:type="spellEnd"/>
      <w:r w:rsidRPr="0024794D">
        <w:rPr>
          <w:rFonts w:ascii="Liberation Sans" w:hAnsi="Liberation Sans" w:cs="Liberation Sans"/>
          <w:lang w:val="en-GB"/>
        </w:rPr>
        <w:t xml:space="preserve"> and </w:t>
      </w:r>
      <w:proofErr w:type="spellStart"/>
      <w:r w:rsidRPr="008D2237">
        <w:rPr>
          <w:rFonts w:ascii="Liberation Sans" w:hAnsi="Liberation Sans" w:cs="Liberation Sans"/>
          <w:i/>
          <w:iCs/>
          <w:lang w:val="en-GB"/>
        </w:rPr>
        <w:t>Baalberg</w:t>
      </w:r>
      <w:r w:rsidR="008D2237" w:rsidRPr="008D2237">
        <w:rPr>
          <w:rFonts w:ascii="Liberation Sans" w:hAnsi="Liberation Sans" w:cs="Liberation Sans"/>
          <w:i/>
          <w:iCs/>
          <w:lang w:val="en-GB"/>
        </w:rPr>
        <w:t>e</w:t>
      </w:r>
      <w:proofErr w:type="spellEnd"/>
      <w:r w:rsidRPr="0024794D">
        <w:rPr>
          <w:rFonts w:ascii="Liberation Sans" w:hAnsi="Liberation Sans" w:cs="Liberation Sans"/>
          <w:lang w:val="en-GB"/>
        </w:rPr>
        <w:t xml:space="preserve"> pottery became more conservative in decoration, with an almost complete absence of ornamental patterns, yet introduced innovative vessel shapes such as biconical and tripartite forms (</w:t>
      </w:r>
      <w:proofErr w:type="spellStart"/>
      <w:r w:rsidRPr="0024794D">
        <w:rPr>
          <w:rFonts w:ascii="Liberation Sans" w:hAnsi="Liberation Sans" w:cs="Liberation Sans"/>
          <w:lang w:val="en-GB"/>
        </w:rPr>
        <w:t>Gatersleben</w:t>
      </w:r>
      <w:proofErr w:type="spellEnd"/>
      <w:r w:rsidRPr="0024794D">
        <w:rPr>
          <w:rFonts w:ascii="Liberation Sans" w:hAnsi="Liberation Sans" w:cs="Liberation Sans"/>
          <w:lang w:val="en-GB"/>
        </w:rPr>
        <w:t>) and four-handled amphorae and funnel-shaped jugs (</w:t>
      </w:r>
      <w:proofErr w:type="spellStart"/>
      <w:r w:rsidRPr="008D2237">
        <w:rPr>
          <w:rFonts w:ascii="Liberation Sans" w:hAnsi="Liberation Sans" w:cs="Liberation Sans"/>
          <w:i/>
          <w:iCs/>
          <w:lang w:val="en-GB"/>
        </w:rPr>
        <w:t>Baalberg</w:t>
      </w:r>
      <w:r w:rsidR="008D2237" w:rsidRPr="008D2237">
        <w:rPr>
          <w:rFonts w:ascii="Liberation Sans" w:hAnsi="Liberation Sans" w:cs="Liberation Sans"/>
          <w:i/>
          <w:iCs/>
          <w:lang w:val="en-GB"/>
        </w:rPr>
        <w:t>e</w:t>
      </w:r>
      <w:proofErr w:type="spellEnd"/>
      <w:r w:rsidRPr="0024794D">
        <w:rPr>
          <w:rFonts w:ascii="Liberation Sans" w:hAnsi="Liberation Sans" w:cs="Liberation Sans"/>
          <w:lang w:val="en-GB"/>
        </w:rPr>
        <w:t xml:space="preserve">). Settlement vessels differed from </w:t>
      </w:r>
      <w:r w:rsidRPr="0024794D">
        <w:rPr>
          <w:rFonts w:ascii="Liberation Sans" w:hAnsi="Liberation Sans" w:cs="Liberation Sans"/>
          <w:lang w:val="en-GB"/>
        </w:rPr>
        <w:lastRenderedPageBreak/>
        <w:t xml:space="preserve">more varied shapes in graves, often differentiated by sex. Thus, unlike the previous phase, there seemed to be </w:t>
      </w:r>
      <w:r w:rsidR="008D2237">
        <w:rPr>
          <w:rFonts w:ascii="Liberation Sans" w:hAnsi="Liberation Sans" w:cs="Liberation Sans"/>
          <w:lang w:val="en-GB"/>
        </w:rPr>
        <w:t>less concerns with</w:t>
      </w:r>
      <w:r w:rsidRPr="0024794D">
        <w:rPr>
          <w:rFonts w:ascii="Liberation Sans" w:hAnsi="Liberation Sans" w:cs="Liberation Sans"/>
          <w:lang w:val="en-GB"/>
        </w:rPr>
        <w:t xml:space="preserve"> decorative </w:t>
      </w:r>
      <w:r w:rsidR="008D2237">
        <w:rPr>
          <w:rFonts w:ascii="Liberation Sans" w:hAnsi="Liberation Sans" w:cs="Liberation Sans"/>
          <w:lang w:val="en-GB"/>
        </w:rPr>
        <w:t xml:space="preserve">pattern </w:t>
      </w:r>
      <w:r w:rsidRPr="0024794D">
        <w:rPr>
          <w:rFonts w:ascii="Liberation Sans" w:hAnsi="Liberation Sans" w:cs="Liberation Sans"/>
          <w:lang w:val="en-GB"/>
        </w:rPr>
        <w:t>design.</w:t>
      </w:r>
    </w:p>
    <w:p w14:paraId="5AA1AE43" w14:textId="5BE0C157"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 xml:space="preserve">Our results indicate lower cognitive load for PP2 pottery. Given vessel shapes have less pronounced influence than decorative patterns, these were less visually engaging, despite innovative shapes emerging during this phase. We argue that PP2 reflects </w:t>
      </w:r>
      <w:r w:rsidR="008D2237">
        <w:rPr>
          <w:rFonts w:ascii="Liberation Sans" w:hAnsi="Liberation Sans" w:cs="Liberation Sans"/>
          <w:lang w:val="en-GB"/>
        </w:rPr>
        <w:t xml:space="preserve">a short shift away from pottery as the central medium towards other materials like </w:t>
      </w:r>
      <w:r w:rsidRPr="0024794D">
        <w:rPr>
          <w:rFonts w:ascii="Liberation Sans" w:hAnsi="Liberation Sans" w:cs="Liberation Sans"/>
          <w:lang w:val="en-GB"/>
        </w:rPr>
        <w:t>copper items</w:t>
      </w:r>
      <w:r w:rsidR="008D2237">
        <w:rPr>
          <w:rFonts w:ascii="Liberation Sans" w:hAnsi="Liberation Sans" w:cs="Liberation Sans"/>
          <w:lang w:val="en-GB"/>
        </w:rPr>
        <w:t>,</w:t>
      </w:r>
      <w:r w:rsidRPr="0024794D">
        <w:rPr>
          <w:rFonts w:ascii="Liberation Sans" w:hAnsi="Liberation Sans" w:cs="Liberation Sans"/>
          <w:lang w:val="en-GB"/>
        </w:rPr>
        <w:t xml:space="preserve"> </w:t>
      </w:r>
      <w:r w:rsidR="008D2237">
        <w:rPr>
          <w:rFonts w:ascii="Liberation Sans" w:hAnsi="Liberation Sans" w:cs="Liberation Sans"/>
          <w:lang w:val="en-GB"/>
        </w:rPr>
        <w:t xml:space="preserve">which were </w:t>
      </w:r>
      <w:r w:rsidRPr="0024794D">
        <w:rPr>
          <w:rFonts w:ascii="Liberation Sans" w:hAnsi="Liberation Sans" w:cs="Liberation Sans"/>
          <w:lang w:val="en-GB"/>
        </w:rPr>
        <w:t>convening social identity</w:t>
      </w:r>
      <w:r w:rsidR="008D2237">
        <w:rPr>
          <w:rFonts w:ascii="Liberation Sans" w:hAnsi="Liberation Sans" w:cs="Liberation Sans"/>
          <w:lang w:val="en-GB"/>
        </w:rPr>
        <w:t>,</w:t>
      </w:r>
      <w:r w:rsidRPr="0024794D">
        <w:rPr>
          <w:rFonts w:ascii="Liberation Sans" w:hAnsi="Liberation Sans" w:cs="Liberation Sans"/>
          <w:lang w:val="en-GB"/>
        </w:rPr>
        <w:t xml:space="preserve"> and </w:t>
      </w:r>
      <w:r w:rsidR="008D2237">
        <w:rPr>
          <w:rFonts w:ascii="Liberation Sans" w:hAnsi="Liberation Sans" w:cs="Liberation Sans"/>
          <w:lang w:val="en-GB"/>
        </w:rPr>
        <w:t xml:space="preserve">changes to </w:t>
      </w:r>
      <w:r w:rsidRPr="0024794D">
        <w:rPr>
          <w:rFonts w:ascii="Liberation Sans" w:hAnsi="Liberation Sans" w:cs="Liberation Sans"/>
          <w:lang w:val="en-GB"/>
        </w:rPr>
        <w:t>mortuary practices</w:t>
      </w:r>
      <w:r w:rsidR="008D2237">
        <w:rPr>
          <w:rFonts w:ascii="Liberation Sans" w:hAnsi="Liberation Sans" w:cs="Liberation Sans"/>
          <w:lang w:val="en-GB"/>
        </w:rPr>
        <w:t>,</w:t>
      </w:r>
      <w:r w:rsidRPr="0024794D">
        <w:rPr>
          <w:rFonts w:ascii="Liberation Sans" w:hAnsi="Liberation Sans" w:cs="Liberation Sans"/>
          <w:lang w:val="en-GB"/>
        </w:rPr>
        <w:t xml:space="preserve"> reflecting socio-political transformations.</w:t>
      </w:r>
    </w:p>
    <w:p w14:paraId="07A730D0" w14:textId="3E911DE0"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 xml:space="preserve">PP3 (3500/3400-1800 BCE): This phase was marked by growing social differentiation, hierarchical organisation, and competition within supra-regional networks of ceramic traditions, culminating in the introduction of tin-bronze metallurgy in the Early </w:t>
      </w:r>
      <w:proofErr w:type="spellStart"/>
      <w:r w:rsidRPr="007B04E9">
        <w:rPr>
          <w:rFonts w:ascii="Liberation Sans" w:hAnsi="Liberation Sans" w:cs="Liberation Sans"/>
          <w:i/>
          <w:iCs/>
          <w:lang w:val="en-GB"/>
        </w:rPr>
        <w:t>Únětice</w:t>
      </w:r>
      <w:proofErr w:type="spellEnd"/>
      <w:r w:rsidRPr="0024794D">
        <w:rPr>
          <w:rFonts w:ascii="Liberation Sans" w:hAnsi="Liberation Sans" w:cs="Liberation Sans"/>
          <w:lang w:val="en-GB"/>
        </w:rPr>
        <w:t xml:space="preserve"> phase. These dynamics contributed to a partial revitalisation of </w:t>
      </w:r>
      <w:r w:rsidR="007B04E9">
        <w:rPr>
          <w:rFonts w:ascii="Liberation Sans" w:hAnsi="Liberation Sans" w:cs="Liberation Sans"/>
          <w:lang w:val="en-GB"/>
        </w:rPr>
        <w:t>decorative patterns in ceramic</w:t>
      </w:r>
      <w:r w:rsidRPr="0024794D">
        <w:rPr>
          <w:rFonts w:ascii="Liberation Sans" w:hAnsi="Liberation Sans" w:cs="Liberation Sans"/>
          <w:lang w:val="en-GB"/>
        </w:rPr>
        <w:t xml:space="preserve"> design. Hybridisation of decorative patterns, for instance, can be seen between pottery styles from </w:t>
      </w:r>
      <w:r w:rsidRPr="007B04E9">
        <w:rPr>
          <w:rFonts w:ascii="Liberation Sans" w:hAnsi="Liberation Sans" w:cs="Liberation Sans"/>
          <w:i/>
          <w:iCs/>
          <w:lang w:val="en-GB"/>
        </w:rPr>
        <w:t>Bernburg</w:t>
      </w:r>
      <w:r w:rsidRPr="0024794D">
        <w:rPr>
          <w:rFonts w:ascii="Liberation Sans" w:hAnsi="Liberation Sans" w:cs="Liberation Sans"/>
          <w:lang w:val="en-GB"/>
        </w:rPr>
        <w:t xml:space="preserve"> farmers and Globular Amphorae pastoralists around 3200-2700 BCE. Similarly, the contemporaneous Corded Ware, Bell Beaker, and </w:t>
      </w:r>
      <w:proofErr w:type="spellStart"/>
      <w:r w:rsidRPr="007B04E9">
        <w:rPr>
          <w:rFonts w:ascii="Liberation Sans" w:hAnsi="Liberation Sans" w:cs="Liberation Sans"/>
          <w:i/>
          <w:iCs/>
          <w:lang w:val="en-GB"/>
        </w:rPr>
        <w:t>Schönfelder</w:t>
      </w:r>
      <w:proofErr w:type="spellEnd"/>
      <w:r w:rsidRPr="0024794D">
        <w:rPr>
          <w:rFonts w:ascii="Liberation Sans" w:hAnsi="Liberation Sans" w:cs="Liberation Sans"/>
          <w:lang w:val="en-GB"/>
        </w:rPr>
        <w:t xml:space="preserve"> traditions, introduced significant stylistic variation. By around 2200 BCE, with the appearance of </w:t>
      </w:r>
      <w:proofErr w:type="spellStart"/>
      <w:r w:rsidRPr="007B04E9">
        <w:rPr>
          <w:rFonts w:ascii="Liberation Sans" w:hAnsi="Liberation Sans" w:cs="Liberation Sans"/>
          <w:i/>
          <w:iCs/>
          <w:lang w:val="en-GB"/>
        </w:rPr>
        <w:t>Únětice</w:t>
      </w:r>
      <w:proofErr w:type="spellEnd"/>
      <w:r w:rsidRPr="0024794D">
        <w:rPr>
          <w:rFonts w:ascii="Liberation Sans" w:hAnsi="Liberation Sans" w:cs="Liberation Sans"/>
          <w:lang w:val="en-GB"/>
        </w:rPr>
        <w:t xml:space="preserve"> style, decorative patterns became scarce, and ceramic vessels were reduced to just a few standardised types in contrast to the growing diversity of metal objects (PP4).</w:t>
      </w:r>
    </w:p>
    <w:p w14:paraId="34084EF7" w14:textId="77777777"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Ranked societies may have driven selective investment in decorative pottery, particularly for specific burials. For example, richly furnished graves associated with the Globular Amphorae style often include chevron-decorated pots. Highly decorated Corded Ware and Bell Beaker vessels in single graves also suggests that institutionalised power structures influenced the production and selection of highly decorated vessels as grave goods for specific individuals.</w:t>
      </w:r>
    </w:p>
    <w:p w14:paraId="3DCA246F" w14:textId="66D4582E"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 xml:space="preserve">This period exhibits the greatest stylistic and visual diversity across the sequence, reflected in our results by high variation in cognitive load values (Fig. </w:t>
      </w:r>
      <w:r w:rsidR="006E0D9B">
        <w:rPr>
          <w:rFonts w:ascii="Liberation Sans" w:hAnsi="Liberation Sans" w:cs="Liberation Sans"/>
          <w:lang w:val="en-GB"/>
        </w:rPr>
        <w:t>D</w:t>
      </w:r>
      <w:r w:rsidRPr="0024794D">
        <w:rPr>
          <w:rFonts w:ascii="Liberation Sans" w:hAnsi="Liberation Sans" w:cs="Liberation Sans"/>
          <w:lang w:val="en-GB"/>
        </w:rPr>
        <w:t>1). The interplay between local and supra-regional networks, combined with shifts in burial practices, contributed to both decorative diversity and differentiated visual engagement.</w:t>
      </w:r>
    </w:p>
    <w:p w14:paraId="0EE493D7" w14:textId="16974CFF"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PP4 (1300-750 BCE): In the Late Bronze Age, central Germany remained divided into regional groups with distinct social practices, including cremations, burial mounds, enclosed settlements, and unfortified farmsteads</w:t>
      </w:r>
      <w:r w:rsidR="007B04E9">
        <w:rPr>
          <w:rFonts w:ascii="Liberation Sans" w:hAnsi="Liberation Sans" w:cs="Liberation Sans"/>
          <w:lang w:val="en-GB"/>
        </w:rPr>
        <w:t>.</w:t>
      </w:r>
      <w:r w:rsidRPr="0024794D">
        <w:rPr>
          <w:rFonts w:ascii="Liberation Sans" w:hAnsi="Liberation Sans" w:cs="Liberation Sans"/>
          <w:lang w:val="en-GB"/>
        </w:rPr>
        <w:t xml:space="preserve"> However, the widespread use of bronze, particularly for tools, affected techniques and production rates and standardised material culture. This shift also influenced pottery, as decorative investment was redirected toward metalwork. Pottery decoration became limited, with the notable exception of the highly ornate Lusatian style in regions beyond our study area.</w:t>
      </w:r>
    </w:p>
    <w:p w14:paraId="72084697" w14:textId="7485C993"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 xml:space="preserve">In our experiment, this phase is associated with a </w:t>
      </w:r>
      <w:r w:rsidR="007B04E9">
        <w:rPr>
          <w:rFonts w:ascii="Liberation Sans" w:hAnsi="Liberation Sans" w:cs="Liberation Sans"/>
          <w:lang w:val="en-GB"/>
        </w:rPr>
        <w:t xml:space="preserve">bimodal distribution, albeit most vessels were displayed a </w:t>
      </w:r>
      <w:r w:rsidRPr="0024794D">
        <w:rPr>
          <w:rFonts w:ascii="Liberation Sans" w:hAnsi="Liberation Sans" w:cs="Liberation Sans"/>
          <w:lang w:val="en-GB"/>
        </w:rPr>
        <w:t>general decline in cognitive load, reflecting the reduced visual engagement elicited by simpler pottery designs. Nevertheless, the stylistic variation observed in PP3 remains partly present, albeit less prominent.</w:t>
      </w:r>
    </w:p>
    <w:p w14:paraId="4289047E" w14:textId="00490483" w:rsidR="0024794D" w:rsidRPr="0024794D" w:rsidRDefault="0024794D" w:rsidP="0024794D">
      <w:pPr>
        <w:spacing w:before="240" w:after="240"/>
        <w:jc w:val="both"/>
        <w:rPr>
          <w:rFonts w:ascii="Liberation Sans" w:hAnsi="Liberation Sans" w:cs="Liberation Sans"/>
          <w:lang w:val="en-GB"/>
        </w:rPr>
      </w:pPr>
      <w:r w:rsidRPr="0024794D">
        <w:rPr>
          <w:rFonts w:ascii="Liberation Sans" w:hAnsi="Liberation Sans" w:cs="Liberation Sans"/>
          <w:lang w:val="en-GB"/>
        </w:rPr>
        <w:t>PP5 (750-500 BCE): This phase saw a peak in social differentiation, highlighted by central settlements with enclosed establishments and richly furnished funeral mounds. Although iron metallurgy was introduced through the exchange of finished goods, its impact on early Iron Age communities in central Germany was gradual. A shift in exchange networks towards the Oder isolated the area, prompting a return to earlier materials such as bone for tool-making. This temporary disconnection may have led to a brief revival of pottery production, potentially explaining the observed peak in cognitive load during this phase.</w:t>
      </w:r>
    </w:p>
    <w:p w14:paraId="7D0B1C7C" w14:textId="1D7E3682" w:rsidR="00B76FE7" w:rsidRPr="0024794D" w:rsidRDefault="0024794D" w:rsidP="0024794D">
      <w:pPr>
        <w:jc w:val="both"/>
        <w:rPr>
          <w:rFonts w:ascii="Liberation Sans" w:hAnsi="Liberation Sans" w:cs="Liberation Sans"/>
          <w:lang w:val="en-GB"/>
        </w:rPr>
      </w:pPr>
      <w:r w:rsidRPr="0024794D">
        <w:rPr>
          <w:rFonts w:ascii="Liberation Sans" w:hAnsi="Liberation Sans" w:cs="Liberation Sans"/>
          <w:lang w:val="en-GB"/>
        </w:rPr>
        <w:lastRenderedPageBreak/>
        <w:t>PP6 (500-1 BCE): The formation of large agglomerated units (nucleated settlements and oppida) in southwestern central Germany reshaped social and economic structures. These settlements focused on craft and commercial activities, fostering social specialisation, as reflected in the presence of iron tools in graves. This generated the diffusion of workshop areas, mass production, and technological advances such as the pottery wheel. With iron permeating material culture, pottery became highly standardised in shape, decoration, texture, colour, and symmetry.</w:t>
      </w:r>
    </w:p>
    <w:sectPr w:rsidR="00B76FE7" w:rsidRPr="0024794D" w:rsidSect="00EA7C0B">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11E19"/>
    <w:multiLevelType w:val="hybridMultilevel"/>
    <w:tmpl w:val="CBEEF0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99033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8F4"/>
    <w:rsid w:val="00066856"/>
    <w:rsid w:val="0017755B"/>
    <w:rsid w:val="001E49E3"/>
    <w:rsid w:val="0024794D"/>
    <w:rsid w:val="00280844"/>
    <w:rsid w:val="00300FD8"/>
    <w:rsid w:val="003A3A36"/>
    <w:rsid w:val="004B4ED3"/>
    <w:rsid w:val="005308F4"/>
    <w:rsid w:val="0056169F"/>
    <w:rsid w:val="005A7A72"/>
    <w:rsid w:val="005F0098"/>
    <w:rsid w:val="005F60DF"/>
    <w:rsid w:val="00614B32"/>
    <w:rsid w:val="00624C84"/>
    <w:rsid w:val="00642C7A"/>
    <w:rsid w:val="006E0D9B"/>
    <w:rsid w:val="00784F63"/>
    <w:rsid w:val="007B04E9"/>
    <w:rsid w:val="007E141D"/>
    <w:rsid w:val="00831387"/>
    <w:rsid w:val="008578EF"/>
    <w:rsid w:val="008B26D6"/>
    <w:rsid w:val="008D2237"/>
    <w:rsid w:val="009219A1"/>
    <w:rsid w:val="00A27769"/>
    <w:rsid w:val="00A37F6E"/>
    <w:rsid w:val="00AC6117"/>
    <w:rsid w:val="00B76FE7"/>
    <w:rsid w:val="00B87C1B"/>
    <w:rsid w:val="00BB4E27"/>
    <w:rsid w:val="00BB5BDB"/>
    <w:rsid w:val="00C003D0"/>
    <w:rsid w:val="00C026D9"/>
    <w:rsid w:val="00C35BF9"/>
    <w:rsid w:val="00D76085"/>
    <w:rsid w:val="00DA4E05"/>
    <w:rsid w:val="00E81D19"/>
    <w:rsid w:val="00EA7C0B"/>
    <w:rsid w:val="00EB691C"/>
    <w:rsid w:val="00FC1E7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E79E3"/>
  <w15:chartTrackingRefBased/>
  <w15:docId w15:val="{C87D8535-ADC9-4B33-A594-052A572C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8F4"/>
    <w:pPr>
      <w:suppressAutoHyphens/>
      <w:spacing w:after="0" w:line="240" w:lineRule="auto"/>
      <w:ind w:left="720"/>
      <w:contextualSpacing/>
    </w:pPr>
    <w:rPr>
      <w:rFonts w:ascii="Liberation Serif" w:eastAsia="NSimSun" w:hAnsi="Liberation Serif" w:cs="Mangal"/>
      <w:kern w:val="2"/>
      <w:sz w:val="24"/>
      <w:szCs w:val="21"/>
      <w:lang w:val="en-AU" w:eastAsia="zh-CN" w:bidi="hi-IN"/>
    </w:rPr>
  </w:style>
  <w:style w:type="paragraph" w:styleId="NormalWeb">
    <w:name w:val="Normal (Web)"/>
    <w:basedOn w:val="Normal"/>
    <w:uiPriority w:val="99"/>
    <w:unhideWhenUsed/>
    <w:rsid w:val="0024794D"/>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1694</Words>
  <Characters>10198</Characters>
  <Application>Microsoft Office Word</Application>
  <DocSecurity>0</DocSecurity>
  <Lines>159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XSCAPE01</dc:creator>
  <cp:keywords/>
  <dc:description/>
  <cp:lastModifiedBy>Bruno Vindrola</cp:lastModifiedBy>
  <cp:revision>15</cp:revision>
  <dcterms:created xsi:type="dcterms:W3CDTF">2024-10-16T11:56:00Z</dcterms:created>
  <dcterms:modified xsi:type="dcterms:W3CDTF">2026-02-24T09:06:00Z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id="JvhRec6W"/&gt;&lt;style id="http://www.zotero.org/styles/university-college-london" hasBibliography="1" bibliographyStyleHasBeenSet="0"/&gt;&lt;prefs&gt;&lt;pref name="fieldType" value="Field"/&gt;&lt;/prefs&gt;&lt;/data&gt;</vt:lpwstr>
  </property>
</Properties>
</file>