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F2939C" w14:textId="20C678DA" w:rsidR="007B5206" w:rsidRDefault="00461D86" w:rsidP="00F6064C">
      <w:r>
        <w:rPr>
          <w:b/>
          <w:bCs/>
        </w:rPr>
        <w:t xml:space="preserve">Supplementary Information: </w:t>
      </w:r>
      <w:r w:rsidR="00260358">
        <w:rPr>
          <w:b/>
          <w:bCs/>
        </w:rPr>
        <w:t>Strategies and Explanations for Gendering Offering Types</w:t>
      </w:r>
    </w:p>
    <w:p w14:paraId="1E3F8344" w14:textId="77777777" w:rsidR="00760ABE" w:rsidRDefault="00760ABE" w:rsidP="00F6064C"/>
    <w:p w14:paraId="17140E17" w14:textId="547BAAA4" w:rsidR="00260358" w:rsidRDefault="00E17524" w:rsidP="00F6064C">
      <w:r>
        <w:t>Offering assemblages analyzed in this study are highly diverse</w:t>
      </w:r>
      <w:r w:rsidR="00384CBA">
        <w:t xml:space="preserve">. They </w:t>
      </w:r>
      <w:r>
        <w:t xml:space="preserve">contain a </w:t>
      </w:r>
      <w:r w:rsidR="00384CBA">
        <w:t>range of object types</w:t>
      </w:r>
      <w:r w:rsidR="00C160F0">
        <w:t>, some of which were purpose-made as offerings (ex-voto) such as figurines, plaques, tablets, and altars</w:t>
      </w:r>
      <w:r w:rsidR="005D5730">
        <w:t xml:space="preserve"> and some of which </w:t>
      </w:r>
      <w:r w:rsidR="00E95D15">
        <w:t>were personal objects (with uses outside offering) that sanctuary visitors made the decision to offer such as coins, jewelry, tools, toiletry items, gaming pieces, and more</w:t>
      </w:r>
      <w:r w:rsidR="00384CBA">
        <w:t xml:space="preserve">. </w:t>
      </w:r>
      <w:r w:rsidR="004C692A">
        <w:t>My analysis relies on assigning</w:t>
      </w:r>
      <w:r w:rsidR="00E95D15">
        <w:t xml:space="preserve"> a gender, when possible, to each of these offering types</w:t>
      </w:r>
      <w:r w:rsidR="00D527B6">
        <w:t xml:space="preserve"> (summarized in Table </w:t>
      </w:r>
      <w:r w:rsidR="00CE3409">
        <w:t>2</w:t>
      </w:r>
      <w:r w:rsidR="00D527B6">
        <w:t xml:space="preserve"> in the main text)</w:t>
      </w:r>
      <w:r w:rsidR="00E95D15">
        <w:t xml:space="preserve">. </w:t>
      </w:r>
      <w:r w:rsidR="007D7E3B">
        <w:t xml:space="preserve">In addition to </w:t>
      </w:r>
      <w:r w:rsidR="000933B7">
        <w:t>categorizing</w:t>
      </w:r>
      <w:r w:rsidR="00B929B4">
        <w:t xml:space="preserve"> </w:t>
      </w:r>
      <w:r w:rsidR="00253452">
        <w:t xml:space="preserve">certain object types as having been offered by men or by women, I </w:t>
      </w:r>
      <w:r w:rsidR="00AD043C">
        <w:t xml:space="preserve">assign a level of certainty (secure, likely, or possible) to each </w:t>
      </w:r>
      <w:r w:rsidR="00957374">
        <w:t xml:space="preserve">gender assignment. </w:t>
      </w:r>
      <w:r w:rsidR="00E95D15">
        <w:t>H</w:t>
      </w:r>
      <w:r w:rsidR="006E70BC">
        <w:t xml:space="preserve">ere, I share the research and reasoning behind </w:t>
      </w:r>
      <w:r w:rsidR="00D527B6">
        <w:t>this gendering</w:t>
      </w:r>
      <w:r w:rsidR="00957374">
        <w:t xml:space="preserve"> and certainty level</w:t>
      </w:r>
      <w:r w:rsidR="00D527B6">
        <w:t>.</w:t>
      </w:r>
      <w:r w:rsidR="006E70BC">
        <w:t xml:space="preserve"> </w:t>
      </w:r>
    </w:p>
    <w:p w14:paraId="7978275E" w14:textId="77777777" w:rsidR="00957374" w:rsidRDefault="00957374" w:rsidP="00F6064C"/>
    <w:p w14:paraId="27BB5B68" w14:textId="5BA1377F" w:rsidR="00957374" w:rsidRPr="00403C8B" w:rsidRDefault="00403C8B" w:rsidP="00F6064C">
      <w:pPr>
        <w:rPr>
          <w:b/>
          <w:bCs/>
        </w:rPr>
      </w:pPr>
      <w:r>
        <w:rPr>
          <w:b/>
          <w:bCs/>
        </w:rPr>
        <w:t>Purpose-Made Ex-Votos</w:t>
      </w:r>
    </w:p>
    <w:p w14:paraId="21657F0C" w14:textId="72B21AEF" w:rsidR="00862F2A" w:rsidRPr="00174A2A" w:rsidRDefault="00862F2A" w:rsidP="00F6064C">
      <w:r w:rsidRPr="00174A2A">
        <w:t xml:space="preserve">Both men and women could and did offer almost all types of ex-votos. The exception is miniature versions of gendered offerings (namely weapons and tools from men’s industries), which I designate as likely offered by men, in parallel with the gender designations of their full-sized counterparts. </w:t>
      </w:r>
      <w:r w:rsidR="00FE7189" w:rsidRPr="00174A2A">
        <w:t xml:space="preserve">Ex-votos representing people, as well as inscriptions and tablets, were offered by both men and women. </w:t>
      </w:r>
      <w:r w:rsidRPr="00174A2A">
        <w:t xml:space="preserve">Some inscriptions and tablets record the name of the offerer; this is secure evidence for the offerer’s gender and indeed the only instance where I apply a certainty level of “secure.” </w:t>
      </w:r>
      <w:r w:rsidR="00FE7189" w:rsidRPr="00174A2A">
        <w:t>Some ex-votos representing people can be gendered (heads and bodies with gendered features like clothing or hairstyles, as well as sex-specific body parts)</w:t>
      </w:r>
      <w:r w:rsidR="00FE7189">
        <w:t>; because the “secure” designation is limited to objects with a name inscribed, I categorize this sexed or gendered body imagery as “likely” gendered</w:t>
      </w:r>
      <w:r w:rsidR="00FE7189" w:rsidRPr="00174A2A">
        <w:t xml:space="preserve">. </w:t>
      </w:r>
      <w:r w:rsidRPr="00174A2A">
        <w:t xml:space="preserve">There is no evidence to suggest who offered animal ex-votos, and no reason to believe that a depiction of an animal was a gendered offering. There is no reason to believe that any of the deities represented in the ex-votos, whether male or female, had only men or only women as their devotees. Indeed, there are several instances in the database of securely gendered offerings (which include the name of the offerer) in which a man made an offering to a </w:t>
      </w:r>
      <w:r w:rsidR="00FE7189">
        <w:t>goddess</w:t>
      </w:r>
      <w:r w:rsidRPr="00174A2A">
        <w:t xml:space="preserve"> or a woman made an offering to a </w:t>
      </w:r>
      <w:r w:rsidR="00FE7189">
        <w:t>god</w:t>
      </w:r>
      <w:r w:rsidRPr="00174A2A">
        <w:t>.</w:t>
      </w:r>
    </w:p>
    <w:p w14:paraId="776D9849" w14:textId="77777777" w:rsidR="00957374" w:rsidRDefault="00957374" w:rsidP="00F6064C"/>
    <w:p w14:paraId="15ED3C53" w14:textId="4FCFD6B7" w:rsidR="00957374" w:rsidRPr="00403C8B" w:rsidRDefault="00403C8B" w:rsidP="00F6064C">
      <w:pPr>
        <w:rPr>
          <w:b/>
          <w:bCs/>
        </w:rPr>
      </w:pPr>
      <w:r>
        <w:rPr>
          <w:b/>
          <w:bCs/>
        </w:rPr>
        <w:t>Personal Objects</w:t>
      </w:r>
    </w:p>
    <w:p w14:paraId="2502BE67" w14:textId="5544E2B3" w:rsidR="00C61B21" w:rsidRPr="00403C8B" w:rsidRDefault="00C61B21" w:rsidP="00F6064C">
      <w:pPr>
        <w:rPr>
          <w:b/>
          <w:bCs/>
          <w:i/>
          <w:iCs/>
        </w:rPr>
      </w:pPr>
      <w:r w:rsidRPr="00403C8B">
        <w:rPr>
          <w:b/>
          <w:bCs/>
          <w:i/>
          <w:iCs/>
        </w:rPr>
        <w:t>Objects of Adornment</w:t>
      </w:r>
    </w:p>
    <w:p w14:paraId="754F39D3" w14:textId="7250C504" w:rsidR="00C61B21" w:rsidRPr="00174A2A" w:rsidRDefault="00C61B21" w:rsidP="00F6064C">
      <w:r w:rsidRPr="00174A2A">
        <w:t>Many types of adornment can be gendered with some degree of certainty, but rings and most brooches—the most numerous types of adornment in the database—were worn by both men and women. One common difficulty in assigning gender to jewelry including bracelets, earrings, and necklaces is that in Rome proper such adornment was not acceptable for men to wear (Allason-Jones 1995, 27). However, in some regions Rome conquered it was certainly the style for men to wear such jewelry, at least before Roman conquest. In fact, cultural differences like these helped Rome to differentiate itself from conquered peoples (“</w:t>
      </w:r>
      <w:r w:rsidRPr="00174A2A">
        <w:rPr>
          <w:i/>
          <w:iCs/>
        </w:rPr>
        <w:t>those</w:t>
      </w:r>
      <w:r w:rsidRPr="00174A2A">
        <w:t xml:space="preserve"> men wear jewelry like women!”). For example, in discussing the availability of gold in Gaul, Diodorus Siculus states, “…they amass a great amount of gold, which is used for ornament not only by the women but also by the men. For around their wrists and arms they wear bracelets, around their necks heavy necklaces of solid gold, and huge rings they wear as well, and even corselets of gold” (</w:t>
      </w:r>
      <w:r w:rsidRPr="00174A2A">
        <w:rPr>
          <w:i/>
          <w:iCs/>
        </w:rPr>
        <w:t xml:space="preserve">Library of History </w:t>
      </w:r>
      <w:r w:rsidRPr="00174A2A">
        <w:t>5.27, translation Oldfather 1939). Such cultural differences lead to the necessity of downgrading the level of certainty in gender association for several types of jewelry—while earrings may have been worn solely by women in Rome proper, for example, I categorize them in this study as only likely offered by women.</w:t>
      </w:r>
    </w:p>
    <w:p w14:paraId="7B6A4DA2" w14:textId="77777777" w:rsidR="00C61B21" w:rsidRPr="00174A2A" w:rsidRDefault="00C61B21" w:rsidP="00F6064C"/>
    <w:p w14:paraId="383134F7" w14:textId="77777777" w:rsidR="00C61B21" w:rsidRPr="00403C8B" w:rsidRDefault="00C61B21" w:rsidP="00F6064C">
      <w:pPr>
        <w:rPr>
          <w:u w:val="single"/>
        </w:rPr>
      </w:pPr>
      <w:r w:rsidRPr="00403C8B">
        <w:rPr>
          <w:u w:val="single"/>
        </w:rPr>
        <w:t>Bracelets: Women Possible</w:t>
      </w:r>
    </w:p>
    <w:p w14:paraId="52C9BDF9" w14:textId="167A5E86" w:rsidR="00C61B21" w:rsidRPr="009113F3" w:rsidRDefault="00C61B21" w:rsidP="00F6064C">
      <w:r w:rsidRPr="00174A2A">
        <w:t xml:space="preserve">While bracelets were unacceptable adornment for men in Rome proper, Allason-Jones (1995, 27) notes that plenty of bracelets have been found in male graves in Britain and Gaul. However, Swift (2000) notes that bracelets are overwhelmingly found in female graves in the Roman West. In fact, in publication of the late Roman cemetery at Lankhills Booth et al. (2010, 297) find that the only securely sexed graves containing bracelets belonged to females. </w:t>
      </w:r>
      <w:r w:rsidR="00524A9F">
        <w:t xml:space="preserve">Due to some level of disagreement over the frequency </w:t>
      </w:r>
      <w:r w:rsidR="001D3DBD">
        <w:t xml:space="preserve">with which men may have worn bracelets or armlets in Britain and Gaul, I categorize bracelets as </w:t>
      </w:r>
      <w:r w:rsidR="009113F3">
        <w:rPr>
          <w:i/>
          <w:iCs/>
        </w:rPr>
        <w:t xml:space="preserve">possibly </w:t>
      </w:r>
      <w:r w:rsidR="009113F3">
        <w:t>women’s offerings.</w:t>
      </w:r>
    </w:p>
    <w:p w14:paraId="2089D5EC" w14:textId="77777777" w:rsidR="00C61B21" w:rsidRPr="00174A2A" w:rsidRDefault="00C61B21" w:rsidP="00F6064C"/>
    <w:p w14:paraId="62E077C1" w14:textId="77777777" w:rsidR="00C61B21" w:rsidRPr="00495AC0" w:rsidRDefault="00C61B21" w:rsidP="00F6064C">
      <w:pPr>
        <w:rPr>
          <w:u w:val="single"/>
        </w:rPr>
      </w:pPr>
      <w:r w:rsidRPr="00495AC0">
        <w:rPr>
          <w:u w:val="single"/>
        </w:rPr>
        <w:t>Brooches</w:t>
      </w:r>
    </w:p>
    <w:p w14:paraId="585F09B8" w14:textId="46A276DE" w:rsidR="00C61B21" w:rsidRPr="00174A2A" w:rsidRDefault="00C61B21" w:rsidP="00F6064C">
      <w:r w:rsidRPr="00174A2A">
        <w:t xml:space="preserve">The gendering of brooches is more complex. Brooches were undoubtedly worn by both men and women both in Rome proper and in the northwest provinces (Allason-Jones 1995; Ivleva 2017; Johns 1996; Mackreth 2011). However, some research </w:t>
      </w:r>
      <w:r w:rsidR="009113F3">
        <w:t xml:space="preserve">has been </w:t>
      </w:r>
      <w:r w:rsidRPr="00174A2A">
        <w:t>conducted to assign genders to certain styles of brooches. Iconographic evidence suggests that it was a women’s style to wear two small matching brooches on either side of the chest connected by a thin chain, cord, or ribbon (Johns 1996, 149). However, I record no examples of two matching brooches in close proximity as if offered together. I do gender a limited number of brooch styles in the database, following research based on analysis of grave goods and artistic representations:</w:t>
      </w:r>
    </w:p>
    <w:p w14:paraId="5104B32E" w14:textId="7E20183D" w:rsidR="00C61B21" w:rsidRPr="00174A2A" w:rsidRDefault="00C61B21" w:rsidP="00F6064C">
      <w:pPr>
        <w:pStyle w:val="ListParagraph"/>
        <w:numPr>
          <w:ilvl w:val="0"/>
          <w:numId w:val="1"/>
        </w:numPr>
        <w:rPr>
          <w:rFonts w:ascii="Times New Roman" w:hAnsi="Times New Roman" w:cs="Times New Roman"/>
        </w:rPr>
      </w:pPr>
      <w:r w:rsidRPr="00495AC0">
        <w:rPr>
          <w:rFonts w:ascii="Times New Roman" w:hAnsi="Times New Roman" w:cs="Times New Roman"/>
          <w:i/>
          <w:iCs/>
          <w:u w:val="single"/>
        </w:rPr>
        <w:t xml:space="preserve">Collared types, especially thistle-shaped brooches (also known as distelfibeln): </w:t>
      </w:r>
      <w:r w:rsidR="004C4977">
        <w:rPr>
          <w:rFonts w:ascii="Times New Roman" w:hAnsi="Times New Roman" w:cs="Times New Roman"/>
          <w:i/>
          <w:iCs/>
          <w:u w:val="single"/>
        </w:rPr>
        <w:t>W</w:t>
      </w:r>
      <w:r w:rsidRPr="00495AC0">
        <w:rPr>
          <w:rFonts w:ascii="Times New Roman" w:hAnsi="Times New Roman" w:cs="Times New Roman"/>
          <w:i/>
          <w:iCs/>
          <w:u w:val="single"/>
        </w:rPr>
        <w:t>omen possible</w:t>
      </w:r>
      <w:r w:rsidRPr="00174A2A">
        <w:rPr>
          <w:rFonts w:ascii="Times New Roman" w:hAnsi="Times New Roman" w:cs="Times New Roman"/>
          <w:b/>
          <w:bCs/>
        </w:rPr>
        <w:t xml:space="preserve"> </w:t>
      </w:r>
      <w:r w:rsidRPr="00174A2A">
        <w:rPr>
          <w:rFonts w:ascii="Times New Roman" w:hAnsi="Times New Roman" w:cs="Times New Roman"/>
        </w:rPr>
        <w:t>While this was a style worn by both men and women (and perhaps especially men) in pre-Roman Britain and Gaul, by the Augustan period the style appears to have been generally worn by women (Böhme-Schönberger 2008; Ivleva 2017, 80).</w:t>
      </w:r>
      <w:r w:rsidR="00724591">
        <w:rPr>
          <w:rFonts w:ascii="Times New Roman" w:hAnsi="Times New Roman" w:cs="Times New Roman"/>
        </w:rPr>
        <w:t xml:space="preserve"> Because my study by nature generally postdates this period, I assign this </w:t>
      </w:r>
      <w:r w:rsidR="00F832CB">
        <w:rPr>
          <w:rFonts w:ascii="Times New Roman" w:hAnsi="Times New Roman" w:cs="Times New Roman"/>
        </w:rPr>
        <w:t>type tentatively to women.</w:t>
      </w:r>
    </w:p>
    <w:p w14:paraId="3C5AD5A9" w14:textId="014904D6" w:rsidR="00C61B21" w:rsidRPr="00174A2A" w:rsidRDefault="00C61B21" w:rsidP="00F6064C">
      <w:pPr>
        <w:pStyle w:val="ListParagraph"/>
        <w:numPr>
          <w:ilvl w:val="0"/>
          <w:numId w:val="1"/>
        </w:numPr>
        <w:rPr>
          <w:rFonts w:ascii="Times New Roman" w:hAnsi="Times New Roman" w:cs="Times New Roman"/>
        </w:rPr>
      </w:pPr>
      <w:r w:rsidRPr="00495AC0">
        <w:rPr>
          <w:rFonts w:ascii="Times New Roman" w:hAnsi="Times New Roman" w:cs="Times New Roman"/>
          <w:i/>
          <w:iCs/>
          <w:u w:val="single"/>
        </w:rPr>
        <w:t>Crossbow brooches: Men likely</w:t>
      </w:r>
      <w:r w:rsidRPr="00174A2A">
        <w:rPr>
          <w:rFonts w:ascii="Times New Roman" w:hAnsi="Times New Roman" w:cs="Times New Roman"/>
          <w:b/>
          <w:bCs/>
        </w:rPr>
        <w:t xml:space="preserve"> </w:t>
      </w:r>
      <w:r w:rsidRPr="00174A2A">
        <w:rPr>
          <w:rFonts w:ascii="Times New Roman" w:hAnsi="Times New Roman" w:cs="Times New Roman"/>
        </w:rPr>
        <w:t>This type was worn as part of Roman military uniforms, making it one of the only brooch types to which scholars feel quite comfortable assigning a gender (Ivleva 2107, 80-1; Swift 2000).</w:t>
      </w:r>
    </w:p>
    <w:p w14:paraId="03C38818" w14:textId="19D8378F" w:rsidR="00C61B21" w:rsidRPr="00174A2A" w:rsidRDefault="00C61B21" w:rsidP="00F6064C">
      <w:pPr>
        <w:pStyle w:val="ListParagraph"/>
        <w:numPr>
          <w:ilvl w:val="0"/>
          <w:numId w:val="1"/>
        </w:numPr>
        <w:rPr>
          <w:rFonts w:ascii="Times New Roman" w:hAnsi="Times New Roman" w:cs="Times New Roman"/>
        </w:rPr>
      </w:pPr>
      <w:r w:rsidRPr="004C4977">
        <w:rPr>
          <w:rFonts w:ascii="Times New Roman" w:hAnsi="Times New Roman" w:cs="Times New Roman"/>
          <w:i/>
          <w:iCs/>
          <w:u w:val="single"/>
        </w:rPr>
        <w:t>Knee brooches: Men possible</w:t>
      </w:r>
      <w:r w:rsidRPr="00174A2A">
        <w:rPr>
          <w:rFonts w:ascii="Times New Roman" w:hAnsi="Times New Roman" w:cs="Times New Roman"/>
          <w:b/>
          <w:bCs/>
        </w:rPr>
        <w:t xml:space="preserve"> </w:t>
      </w:r>
      <w:r w:rsidRPr="00174A2A">
        <w:rPr>
          <w:rFonts w:ascii="Times New Roman" w:hAnsi="Times New Roman" w:cs="Times New Roman"/>
        </w:rPr>
        <w:t>These brooches, similar to crossbow brooches, were closely associated with the military and therefore with men. However, some imagery depicts them as worn by women as well (Ivleva 2017, 78-9).</w:t>
      </w:r>
    </w:p>
    <w:p w14:paraId="7F48B012" w14:textId="304ECA9B" w:rsidR="00C61B21" w:rsidRPr="00174A2A" w:rsidRDefault="00C61B21" w:rsidP="00F6064C">
      <w:pPr>
        <w:pStyle w:val="ListParagraph"/>
        <w:numPr>
          <w:ilvl w:val="0"/>
          <w:numId w:val="1"/>
        </w:numPr>
        <w:rPr>
          <w:rFonts w:ascii="Times New Roman" w:hAnsi="Times New Roman" w:cs="Times New Roman"/>
        </w:rPr>
      </w:pPr>
      <w:r w:rsidRPr="004C4977">
        <w:rPr>
          <w:rFonts w:ascii="Times New Roman" w:hAnsi="Times New Roman" w:cs="Times New Roman"/>
          <w:i/>
          <w:iCs/>
          <w:u w:val="single"/>
        </w:rPr>
        <w:t>P-shaped brooches: Men possible</w:t>
      </w:r>
      <w:r w:rsidRPr="00174A2A">
        <w:rPr>
          <w:rFonts w:ascii="Times New Roman" w:hAnsi="Times New Roman" w:cs="Times New Roman"/>
          <w:b/>
          <w:bCs/>
        </w:rPr>
        <w:t xml:space="preserve"> </w:t>
      </w:r>
      <w:r w:rsidRPr="00174A2A">
        <w:rPr>
          <w:rFonts w:ascii="Times New Roman" w:hAnsi="Times New Roman" w:cs="Times New Roman"/>
        </w:rPr>
        <w:t>These brooches are generally assumed to be the predecessor to the military-style crossbow brooches, but Ivleva (2017, 80-1) argues that the evidence for association of this style with men is not as strong as that for crossbow brooches.</w:t>
      </w:r>
    </w:p>
    <w:p w14:paraId="22979AF3" w14:textId="77777777" w:rsidR="00C61B21" w:rsidRPr="00174A2A" w:rsidRDefault="00C61B21" w:rsidP="00F6064C"/>
    <w:p w14:paraId="2D203239" w14:textId="77777777" w:rsidR="00C61B21" w:rsidRPr="004C4977" w:rsidRDefault="00C61B21" w:rsidP="00F6064C">
      <w:pPr>
        <w:rPr>
          <w:u w:val="single"/>
        </w:rPr>
      </w:pPr>
      <w:r w:rsidRPr="004C4977">
        <w:rPr>
          <w:u w:val="single"/>
        </w:rPr>
        <w:t>Buckles: Men Likely</w:t>
      </w:r>
    </w:p>
    <w:p w14:paraId="4733754C" w14:textId="77777777" w:rsidR="00C61B21" w:rsidRPr="00174A2A" w:rsidRDefault="00C61B21" w:rsidP="00F6064C">
      <w:pPr>
        <w:textAlignment w:val="center"/>
      </w:pPr>
      <w:r w:rsidRPr="00174A2A">
        <w:t xml:space="preserve">While buckles were attached to several types of items that men could have worn, no women’s clothing included buckles. However, women could certainly have still possessed buckles in other forms including on bags, horse harnesses, and the like (Allason-Jones 1995, 30). </w:t>
      </w:r>
    </w:p>
    <w:p w14:paraId="1C27AE1E" w14:textId="77777777" w:rsidR="00C61B21" w:rsidRPr="00174A2A" w:rsidRDefault="00C61B21" w:rsidP="00F6064C">
      <w:pPr>
        <w:rPr>
          <w:u w:val="single"/>
        </w:rPr>
      </w:pPr>
    </w:p>
    <w:p w14:paraId="394F6FA5" w14:textId="77777777" w:rsidR="00C61B21" w:rsidRPr="004C4977" w:rsidRDefault="00C61B21" w:rsidP="00F6064C">
      <w:pPr>
        <w:rPr>
          <w:u w:val="single"/>
        </w:rPr>
      </w:pPr>
      <w:r w:rsidRPr="004C4977">
        <w:rPr>
          <w:u w:val="single"/>
        </w:rPr>
        <w:t>Earrings: Women Possible</w:t>
      </w:r>
    </w:p>
    <w:p w14:paraId="377AD001" w14:textId="77777777" w:rsidR="00C61B21" w:rsidRPr="00174A2A" w:rsidRDefault="00C61B21" w:rsidP="00F6064C">
      <w:r w:rsidRPr="00174A2A">
        <w:t>In Rome proper, earrings were only acceptable adornment for women. In eastern regions, however, men were certainly known to have worn them. Indeed, eastern kings are commonly depicted wearing earrings on coinage. However, little is known about their commonness for men in the northwest regions (Allason-Jones 1995, 25). Very little burial evidence lends insight into this question, and any archaeological evidence is complicated by the fact that it can often be difficult to distinguish between earrings and finger rings archaeologically (Allason-Jones 1989). However, given the strength of the social prohibition against men wearing earrings in Rome, I assign earrings to women with a “possible” level of certainty.</w:t>
      </w:r>
    </w:p>
    <w:p w14:paraId="7D8A7FA4" w14:textId="77777777" w:rsidR="00C61B21" w:rsidRPr="00174A2A" w:rsidRDefault="00C61B21" w:rsidP="00F6064C">
      <w:pPr>
        <w:rPr>
          <w:u w:val="single"/>
        </w:rPr>
      </w:pPr>
    </w:p>
    <w:p w14:paraId="454FA925" w14:textId="77777777" w:rsidR="00C61B21" w:rsidRPr="004C4977" w:rsidRDefault="00C61B21" w:rsidP="00F6064C">
      <w:pPr>
        <w:rPr>
          <w:u w:val="single"/>
        </w:rPr>
      </w:pPr>
      <w:r w:rsidRPr="004C4977">
        <w:rPr>
          <w:u w:val="single"/>
        </w:rPr>
        <w:t>Necklaces/Pendants/Beads: Women Likely</w:t>
      </w:r>
    </w:p>
    <w:p w14:paraId="1C18BFF1" w14:textId="7A2E4464" w:rsidR="00C61B21" w:rsidRPr="00174A2A" w:rsidRDefault="00C61B21" w:rsidP="00F6064C">
      <w:r w:rsidRPr="00174A2A">
        <w:t xml:space="preserve">Necklaces could sometimes be worn by men in eastern regions, but they were only acceptable adornment for women in Rome (Allason-Jones 1995, 27). While Celtic torcs, metal neck-rings, were certainly worn by men as well as women, the evidence suggests they had largely gone out of style by the time of the Roman conquest (Johns 1996, 27-8). At the Lankhills cemetery, all beads found in securely sexed graves were associated with females (Booth et al. 2010, 291). </w:t>
      </w:r>
      <w:r w:rsidR="00F2476F">
        <w:t>In addition, m</w:t>
      </w:r>
      <w:r w:rsidR="00F52207">
        <w:t>y</w:t>
      </w:r>
      <w:r w:rsidR="00EE4D31">
        <w:t xml:space="preserve"> unsystematic examination of tombstones in the Roman Inscriptions of Britain online database</w:t>
      </w:r>
      <w:r w:rsidR="004C5E83">
        <w:t xml:space="preserve"> (</w:t>
      </w:r>
      <w:hyperlink r:id="rId7" w:history="1">
        <w:r w:rsidR="004C5E83" w:rsidRPr="0046625B">
          <w:rPr>
            <w:rStyle w:val="Hyperlink"/>
          </w:rPr>
          <w:t>http://romaninscriptionsofbritain.org</w:t>
        </w:r>
      </w:hyperlink>
      <w:r w:rsidR="004C5E83">
        <w:t xml:space="preserve">) </w:t>
      </w:r>
      <w:r w:rsidR="00F2476F">
        <w:t>indicates that only women</w:t>
      </w:r>
      <w:r w:rsidR="00626988">
        <w:t xml:space="preserve"> (recognizabl</w:t>
      </w:r>
      <w:r w:rsidR="00994660">
        <w:t>e</w:t>
      </w:r>
      <w:r w:rsidR="00626988">
        <w:t xml:space="preserve"> by hairstyle and clothing</w:t>
      </w:r>
      <w:r w:rsidR="00994660">
        <w:t>, even if not named</w:t>
      </w:r>
      <w:r w:rsidR="00626988">
        <w:t>)</w:t>
      </w:r>
      <w:r w:rsidR="00F2476F">
        <w:t xml:space="preserve"> were </w:t>
      </w:r>
      <w:r w:rsidRPr="00174A2A">
        <w:t>depicted wearing necklaces.</w:t>
      </w:r>
    </w:p>
    <w:p w14:paraId="7C884FAC" w14:textId="77777777" w:rsidR="00C61B21" w:rsidRPr="00174A2A" w:rsidRDefault="00C61B21" w:rsidP="00F6064C"/>
    <w:p w14:paraId="1465727F" w14:textId="77777777" w:rsidR="00C61B21" w:rsidRPr="004C4977" w:rsidRDefault="00C61B21" w:rsidP="00F6064C">
      <w:pPr>
        <w:rPr>
          <w:u w:val="single"/>
        </w:rPr>
      </w:pPr>
      <w:r w:rsidRPr="004C4977">
        <w:rPr>
          <w:u w:val="single"/>
        </w:rPr>
        <w:t>Pins: Women likely (most materials) or possible (metal)</w:t>
      </w:r>
    </w:p>
    <w:p w14:paraId="12E6331A" w14:textId="77777777" w:rsidR="00C61B21" w:rsidRPr="00174A2A" w:rsidRDefault="00C61B21" w:rsidP="00F6064C">
      <w:r w:rsidRPr="00174A2A">
        <w:t>Pins, largely bone and metal but occasionally shale or glass, can generally be considered women’s offerings. The main purpose of such pins was to be worn in hair, to the extent that some scholars refer to all such pins as hairpins (see for example Cool 1990). Pinned hairstyles were only worn by women in the Roman world (Johns 1996), and the only securely sexed graves with pins at Lankhills cemetery were female graves (Booth et al. 2010, 291). However, Allason-Jones (1995, 28) cautions that some metal pins may have been used to secure clothing, especially in the later Roman period. Johns (1996, 137-38) addresses this possibility, though, and concludes that pins would have been poor choices to secure clothing when brooches were readily available and far more effective. I classify all pins made of bone, stone, or glass as “women likely,” but given the possibility that metal pins may have served purposes other than styling hair, I classify these as “women possible.”</w:t>
      </w:r>
    </w:p>
    <w:p w14:paraId="2443326E" w14:textId="77777777" w:rsidR="00C61B21" w:rsidRPr="00174A2A" w:rsidRDefault="00C61B21" w:rsidP="00F6064C"/>
    <w:p w14:paraId="40F27277" w14:textId="128011EC" w:rsidR="00C61B21" w:rsidRPr="004C4977" w:rsidRDefault="00C61B21" w:rsidP="00F6064C">
      <w:pPr>
        <w:rPr>
          <w:u w:val="single"/>
        </w:rPr>
      </w:pPr>
      <w:r w:rsidRPr="004C4977">
        <w:rPr>
          <w:u w:val="single"/>
        </w:rPr>
        <w:t>Rings</w:t>
      </w:r>
      <w:r w:rsidR="004C4977">
        <w:rPr>
          <w:u w:val="single"/>
        </w:rPr>
        <w:t>: Ungendered</w:t>
      </w:r>
    </w:p>
    <w:p w14:paraId="301E042A" w14:textId="1B7A15E5" w:rsidR="00C61B21" w:rsidRPr="00174A2A" w:rsidRDefault="00C61B21" w:rsidP="00F6064C">
      <w:r w:rsidRPr="00174A2A">
        <w:t>Both men and women wore rings of a range of styles across the Roman world (Johns 1996), and therefore rings cannot be considered gendered offerings. Finger rings are indeed found in both male and female graves at the Lankhills cemetery (Booth et al. 2010, 304). Allason-Jones (1995, 27) points out that even ring diameter cannot lend insight into the sex of the wearer, as rings could be worn on different fingers, or even on the second knuckle. Additionally, hand size is quite variable—some women have large hands and some men have small hands. For these regions, I do not consider rings gendered in my analysis.</w:t>
      </w:r>
    </w:p>
    <w:p w14:paraId="65EA7CDB" w14:textId="77777777" w:rsidR="008C6C23" w:rsidRDefault="008C6C23" w:rsidP="00F6064C"/>
    <w:p w14:paraId="280271F1" w14:textId="4C896599" w:rsidR="00C61B21" w:rsidRPr="00174A2A" w:rsidRDefault="00C61B21" w:rsidP="00F6064C">
      <w:pPr>
        <w:rPr>
          <w:b/>
          <w:bCs/>
          <w:i/>
          <w:iCs/>
        </w:rPr>
      </w:pPr>
      <w:r w:rsidRPr="00174A2A">
        <w:rPr>
          <w:b/>
          <w:bCs/>
          <w:i/>
          <w:iCs/>
        </w:rPr>
        <w:t>Weapons/Armor</w:t>
      </w:r>
      <w:r w:rsidR="004C4977">
        <w:rPr>
          <w:b/>
          <w:bCs/>
          <w:i/>
          <w:iCs/>
        </w:rPr>
        <w:t>: Men likely</w:t>
      </w:r>
    </w:p>
    <w:p w14:paraId="42D5ADF4" w14:textId="00DA0179" w:rsidR="00C61B21" w:rsidRDefault="00C61B21" w:rsidP="00F6064C">
      <w:r w:rsidRPr="00174A2A">
        <w:t>I associate weapons and armor with soldiers and therefore with men in the database with a “likely” level of certainty.</w:t>
      </w:r>
    </w:p>
    <w:p w14:paraId="68D2D1BA" w14:textId="77777777" w:rsidR="00C61B21" w:rsidRDefault="00C61B21" w:rsidP="00F6064C"/>
    <w:p w14:paraId="678F6087" w14:textId="5D02570B" w:rsidR="00C61B21" w:rsidRDefault="00C61B21" w:rsidP="00F6064C">
      <w:pPr>
        <w:rPr>
          <w:b/>
          <w:bCs/>
          <w:i/>
          <w:iCs/>
        </w:rPr>
      </w:pPr>
      <w:r>
        <w:rPr>
          <w:b/>
          <w:bCs/>
          <w:i/>
          <w:iCs/>
        </w:rPr>
        <w:t>Coins</w:t>
      </w:r>
      <w:r w:rsidR="004C4977">
        <w:rPr>
          <w:b/>
          <w:bCs/>
          <w:i/>
          <w:iCs/>
        </w:rPr>
        <w:t>: Ungendered</w:t>
      </w:r>
    </w:p>
    <w:p w14:paraId="25AA736A" w14:textId="406693AD" w:rsidR="00C61B21" w:rsidRPr="00174A2A" w:rsidRDefault="00C61B21" w:rsidP="00F6064C">
      <w:r w:rsidRPr="00174A2A">
        <w:t xml:space="preserve">In the Roman world, including in the northwest provinces, the gendered ideal was that men worked in industry outside the home while women’s work was inside the home. Revell (2015, 110-14) illustrates this ideology through analysis of funerary monuments and other art showing men at economic tasks and handling money while women are depicted dressing their hair, spinning wool, holding children, and banqueting. However, while this division may have been the ideal, it was clearly not a reality: domestic work must be considered economically productive, and </w:t>
      </w:r>
      <w:r w:rsidR="00C52A14">
        <w:t>it is also</w:t>
      </w:r>
      <w:r w:rsidRPr="00174A2A">
        <w:t xml:space="preserve"> clear that women held a range of professions outside the home in the Roman world (Treggiari 1979). In Roman Britain and Gaul, women could own businesses, sign wills, and inherit (Rémy and Mathieu 2009, 49-54). Some wealthy women even became benefactors of public buildings and events (Hemelrijk 2012, 486-87). Whether as producers or consumers, women were major participants in the economy in these regions and certainly had access to money both to travel to and make offerings at sanctuaries. While in some families men may have had more buying power or easier access to coinage, coins could have been easily offered by men or women and therefore cannot be considered a gendered offering.</w:t>
      </w:r>
    </w:p>
    <w:p w14:paraId="1AB17A38" w14:textId="77777777" w:rsidR="00C61B21" w:rsidRDefault="00C61B21" w:rsidP="00F6064C">
      <w:pPr>
        <w:rPr>
          <w:b/>
          <w:bCs/>
          <w:i/>
          <w:iCs/>
        </w:rPr>
      </w:pPr>
    </w:p>
    <w:p w14:paraId="07596B4D" w14:textId="1EFB3315" w:rsidR="00C61B21" w:rsidRPr="004C4977" w:rsidRDefault="00C61B21" w:rsidP="00F6064C">
      <w:pPr>
        <w:rPr>
          <w:i/>
          <w:iCs/>
        </w:rPr>
      </w:pPr>
      <w:r>
        <w:rPr>
          <w:b/>
          <w:bCs/>
          <w:i/>
          <w:iCs/>
        </w:rPr>
        <w:t>Tools/craft production</w:t>
      </w:r>
    </w:p>
    <w:p w14:paraId="02A6E014" w14:textId="3983209A" w:rsidR="00C61B21" w:rsidRPr="004C4977" w:rsidRDefault="00C61B21" w:rsidP="00F6064C">
      <w:pPr>
        <w:rPr>
          <w:u w:val="single"/>
        </w:rPr>
      </w:pPr>
      <w:r w:rsidRPr="004C4977">
        <w:rPr>
          <w:u w:val="single"/>
        </w:rPr>
        <w:t>Agricultural tools</w:t>
      </w:r>
      <w:r w:rsidR="002762A7">
        <w:rPr>
          <w:u w:val="single"/>
        </w:rPr>
        <w:t>: Men possible (with the exception of quernstones/millstones)</w:t>
      </w:r>
    </w:p>
    <w:p w14:paraId="625B579C" w14:textId="6F4FF9E9" w:rsidR="00C61B21" w:rsidRPr="00174A2A" w:rsidRDefault="00C61B21" w:rsidP="00F6064C">
      <w:pPr>
        <w:rPr>
          <w:u w:val="single"/>
        </w:rPr>
      </w:pPr>
      <w:r w:rsidRPr="00174A2A">
        <w:t xml:space="preserve">Tools such as hoes, pitchforks, sickles, and the like, used in agricultural production, are marked as possibly men’s offerings. In the Roman world, the ideal regarding women in agricultural work was clear: proper women worked inside the home, taking care of the domestic aspects of running a farm while men worked in the fields. However, the textual sources hint at the fact that enslaved women and women paid as laborers were understood to be acceptable agricultural workers (Erdkamp 1999). In describing the tension between the ideal versus the reality with respect to women in agricultural work, Scheidel (1995, 1996) points out that it is highly likely that women of nonelite agricultural households would have contributed to outdoor agricultural labor </w:t>
      </w:r>
      <w:r w:rsidR="00BA1713">
        <w:t>at least</w:t>
      </w:r>
      <w:r w:rsidRPr="00174A2A">
        <w:t xml:space="preserve"> in the busiest times like planting or harvesting. Women did likely use tools such as pitchforks and sickles, but such outdoor agricultural labor was likely not the primary job of most women. This suggests that such tools should be considered related to men, but with a low level of certainty. The ideal of women’s work plays a role in this as well. Because offering is a symbolic act, and an individual’s decision regarding what to offer was rooted in their worldview, I take into account ideals regarding proper gendered behavior in gendering these objects: even if a woman spent part of her time planting and harvesting, would she have necessarily seen a farm tool as an object that was proper for her to offer? For these reasons, farm tools are marked as “men possible.”</w:t>
      </w:r>
    </w:p>
    <w:p w14:paraId="653CF44E" w14:textId="649475B4" w:rsidR="00C61B21" w:rsidRDefault="00C61B21" w:rsidP="00F6064C">
      <w:r w:rsidRPr="00174A2A">
        <w:tab/>
        <w:t>The exception here is millstones or quernstones used for grinding grain. Large, commercial milling operations did exist in the Roman world, though the sizes of the millstones in the database do not support such industrial use. Bakers would mill their own flour with in-house millstones, and millstones were also used in domestic contexts, especially in rural areas (</w:t>
      </w:r>
      <w:r w:rsidR="005C4E4A">
        <w:t>Shaffrey 2021</w:t>
      </w:r>
      <w:r w:rsidRPr="00174A2A">
        <w:t>). Women or men could have been involved in milling in either bakery or domestic contexts, so millstones cannot be gendered based on the evidence.</w:t>
      </w:r>
    </w:p>
    <w:p w14:paraId="24029DCC" w14:textId="77777777" w:rsidR="002762A7" w:rsidRPr="00174A2A" w:rsidRDefault="002762A7" w:rsidP="00F6064C"/>
    <w:p w14:paraId="5707D3F6" w14:textId="53611689" w:rsidR="00C61B21" w:rsidRPr="002762A7" w:rsidRDefault="00C61B21" w:rsidP="00F6064C">
      <w:pPr>
        <w:rPr>
          <w:u w:val="single"/>
        </w:rPr>
      </w:pPr>
      <w:r w:rsidRPr="002762A7">
        <w:rPr>
          <w:u w:val="single"/>
        </w:rPr>
        <w:t>Textile Production</w:t>
      </w:r>
      <w:r w:rsidR="002762A7">
        <w:rPr>
          <w:u w:val="single"/>
        </w:rPr>
        <w:t>: Women likely</w:t>
      </w:r>
    </w:p>
    <w:p w14:paraId="1346CD50" w14:textId="11AC9254" w:rsidR="00C61B21" w:rsidRDefault="00C61B21" w:rsidP="00F6064C">
      <w:r w:rsidRPr="00174A2A">
        <w:t xml:space="preserve">Allason-Jones (1995, 28) points out that the presence of needles in army forts suggests that Roman soldiers were issued sewing kits to mend their own clothing. This may certainly have been the case, but given current understandings of the presence of </w:t>
      </w:r>
      <w:r w:rsidR="004F35E9">
        <w:t>women</w:t>
      </w:r>
      <w:r w:rsidRPr="00174A2A">
        <w:t xml:space="preserve"> within frontier forts (Allison 2008b; Crook 2020), finds of needles could also be attributed to women’s presence. Weaving was not necessarily women’s work during the Roman imperial period. While women at some rural households likely did weave their own textiles, weaving was also done in workshops and large industrial operations where men were often employed (Broekaert 2016). However, spinning (and as a result earlier steps of wool working like carding using wool combs) is well understood to have been women’s work—to the extent that femininity and virtue were often symbolized by images of women at their spinning in art and literature (Carroll 2012, 299-304; Larsson Lovén 2002). </w:t>
      </w:r>
      <w:r w:rsidR="00A254DA">
        <w:t>There is almost no</w:t>
      </w:r>
      <w:r w:rsidRPr="00174A2A">
        <w:t xml:space="preserve"> evidence </w:t>
      </w:r>
      <w:r w:rsidR="00A254DA">
        <w:t xml:space="preserve">whatsoever </w:t>
      </w:r>
      <w:r w:rsidRPr="00174A2A">
        <w:t>for weaving tools at the sanctuarie</w:t>
      </w:r>
      <w:r w:rsidR="00A254DA">
        <w:t>s</w:t>
      </w:r>
      <w:r w:rsidR="002A4D18">
        <w:t>.</w:t>
      </w:r>
      <w:r w:rsidR="002A4D18">
        <w:rPr>
          <w:color w:val="000000" w:themeColor="text1"/>
        </w:rPr>
        <w:t xml:space="preserve"> T</w:t>
      </w:r>
      <w:r w:rsidR="00A254DA" w:rsidRPr="00675A60">
        <w:rPr>
          <w:color w:val="000000" w:themeColor="text1"/>
        </w:rPr>
        <w:t>he sole possible exception is a bone object from Les Bolards that is referred to in the publication as either a needle or a shuttle (Pommeret 2001, 488)</w:t>
      </w:r>
      <w:r w:rsidR="002A4D18">
        <w:rPr>
          <w:color w:val="000000" w:themeColor="text1"/>
        </w:rPr>
        <w:t>; h</w:t>
      </w:r>
      <w:r w:rsidR="00A254DA" w:rsidRPr="00675A60">
        <w:rPr>
          <w:color w:val="000000" w:themeColor="text1"/>
        </w:rPr>
        <w:t>owever, in my assessment it was most likely a needle.</w:t>
      </w:r>
      <w:r w:rsidRPr="00174A2A">
        <w:t xml:space="preserve"> </w:t>
      </w:r>
      <w:r w:rsidR="002A4D18">
        <w:t xml:space="preserve">Because all textile production tools in this dataset </w:t>
      </w:r>
      <w:r w:rsidR="00DA2F63">
        <w:t xml:space="preserve">were used for working wool or spinning thread, </w:t>
      </w:r>
      <w:r w:rsidRPr="00174A2A">
        <w:t xml:space="preserve">I comfortably gender </w:t>
      </w:r>
      <w:r w:rsidR="00DA2F63">
        <w:t>these</w:t>
      </w:r>
      <w:r w:rsidRPr="00174A2A">
        <w:t xml:space="preserve"> tools as likely having been offered by women.</w:t>
      </w:r>
    </w:p>
    <w:p w14:paraId="6E3A745D" w14:textId="77777777" w:rsidR="002762A7" w:rsidRPr="00174A2A" w:rsidRDefault="002762A7" w:rsidP="00F6064C"/>
    <w:p w14:paraId="7ADE2EA8" w14:textId="1109F3B6" w:rsidR="00C61B21" w:rsidRPr="00174A2A" w:rsidRDefault="00C61B21" w:rsidP="00F6064C">
      <w:pPr>
        <w:rPr>
          <w:u w:val="single"/>
        </w:rPr>
      </w:pPr>
      <w:r w:rsidRPr="00174A2A">
        <w:rPr>
          <w:u w:val="single"/>
        </w:rPr>
        <w:t>Metallurgy</w:t>
      </w:r>
      <w:r w:rsidR="002762A7">
        <w:rPr>
          <w:u w:val="single"/>
        </w:rPr>
        <w:t>: Men likely</w:t>
      </w:r>
    </w:p>
    <w:p w14:paraId="10302786" w14:textId="5CBE475C" w:rsidR="00C61B21" w:rsidRDefault="00C61B21" w:rsidP="00F6064C">
      <w:r w:rsidRPr="00174A2A">
        <w:t>Because metallurgy, whether casting bronze or other alloys or forging iron, was unequivocally a male industry in the Roman world, all metallurgy objects are marked as “men likely” in the database.</w:t>
      </w:r>
    </w:p>
    <w:p w14:paraId="703B74EB" w14:textId="77777777" w:rsidR="00C61B21" w:rsidRDefault="00C61B21" w:rsidP="00F6064C"/>
    <w:p w14:paraId="60FEA24A" w14:textId="2D99375B" w:rsidR="00C61B21" w:rsidRPr="00174A2A" w:rsidRDefault="00C61B21" w:rsidP="00F6064C">
      <w:pPr>
        <w:rPr>
          <w:u w:val="single"/>
        </w:rPr>
      </w:pPr>
      <w:r w:rsidRPr="00174A2A">
        <w:rPr>
          <w:u w:val="single"/>
        </w:rPr>
        <w:t>Carpentry/Masonry</w:t>
      </w:r>
      <w:r w:rsidR="002762A7">
        <w:rPr>
          <w:u w:val="single"/>
        </w:rPr>
        <w:t>: Men likely</w:t>
      </w:r>
    </w:p>
    <w:p w14:paraId="33F1DED7" w14:textId="05C4AA0A" w:rsidR="00C61B21" w:rsidRDefault="00C61B21" w:rsidP="00F6064C">
      <w:r w:rsidRPr="00174A2A">
        <w:t>Tools for carpentry and masonry are grouped together because the tools are generally similar: spikes</w:t>
      </w:r>
      <w:r w:rsidR="007E5582">
        <w:t xml:space="preserve">, </w:t>
      </w:r>
      <w:r w:rsidRPr="00174A2A">
        <w:t>wedges, chisels, axes, and the like. Both carpentry and masonry, including in their context of construction, were certainly male tasks in the Roman world, so these tools (and a small number of waste products) were likely offered by men.</w:t>
      </w:r>
    </w:p>
    <w:p w14:paraId="35CE73F4" w14:textId="77777777" w:rsidR="00C61B21" w:rsidRDefault="00C61B21" w:rsidP="00F6064C"/>
    <w:p w14:paraId="44BD7C2C" w14:textId="70FC3817" w:rsidR="00C61B21" w:rsidRPr="002762A7" w:rsidRDefault="00C61B21" w:rsidP="00F6064C">
      <w:pPr>
        <w:rPr>
          <w:u w:val="single"/>
        </w:rPr>
      </w:pPr>
      <w:r w:rsidRPr="002762A7">
        <w:rPr>
          <w:u w:val="single"/>
        </w:rPr>
        <w:t>Miscellaneous</w:t>
      </w:r>
      <w:r w:rsidR="008C6C23" w:rsidRPr="002762A7">
        <w:rPr>
          <w:u w:val="single"/>
        </w:rPr>
        <w:t xml:space="preserve"> tools</w:t>
      </w:r>
    </w:p>
    <w:p w14:paraId="0C83C7CB" w14:textId="77777777" w:rsidR="00C61B21" w:rsidRPr="00174A2A" w:rsidRDefault="00C61B21" w:rsidP="00F6064C">
      <w:r w:rsidRPr="00174A2A">
        <w:t>This category contains tools with a diversity of uses, but most cannot be gendered; I include here justifications for gendering the limited types that can be assigned a gender.</w:t>
      </w:r>
    </w:p>
    <w:p w14:paraId="36947683" w14:textId="3ED24583" w:rsidR="00C61B21" w:rsidRPr="00174A2A" w:rsidRDefault="00C61B21" w:rsidP="00F6064C">
      <w:pPr>
        <w:pStyle w:val="ListParagraph"/>
        <w:numPr>
          <w:ilvl w:val="0"/>
          <w:numId w:val="2"/>
        </w:numPr>
        <w:rPr>
          <w:rFonts w:ascii="Times New Roman" w:hAnsi="Times New Roman" w:cs="Times New Roman"/>
        </w:rPr>
      </w:pPr>
      <w:r w:rsidRPr="000A69E8">
        <w:rPr>
          <w:rFonts w:ascii="Times New Roman" w:hAnsi="Times New Roman" w:cs="Times New Roman"/>
          <w:i/>
          <w:iCs/>
          <w:u w:val="single"/>
        </w:rPr>
        <w:t>Harness elements: Men possible</w:t>
      </w:r>
      <w:r w:rsidRPr="00174A2A">
        <w:rPr>
          <w:rFonts w:ascii="Times New Roman" w:hAnsi="Times New Roman" w:cs="Times New Roman"/>
          <w:b/>
          <w:bCs/>
        </w:rPr>
        <w:t xml:space="preserve"> </w:t>
      </w:r>
      <w:r w:rsidRPr="00174A2A">
        <w:rPr>
          <w:rFonts w:ascii="Times New Roman" w:hAnsi="Times New Roman" w:cs="Times New Roman"/>
        </w:rPr>
        <w:t>In the Roman provinces, harness elements and other horse gear are often linked to weaponry and associated with the army (see for example Nicolay 2007; Worrell and Pearce 2012). Even when such items are found far from Roman forts, Nicolay (2007) makes the case that they often belonged to veterans. However, there were certainly non-military reasons to own harness gear, and no reason to think women did not travel by horse. Because of the association with the military, I mark harness elements as related to male offerers, but the association is certainly not absolute, so I mark the gender association as only possible.</w:t>
      </w:r>
    </w:p>
    <w:p w14:paraId="7893492B" w14:textId="7EF13DE9" w:rsidR="00C61B21" w:rsidRPr="00174A2A" w:rsidRDefault="00C61B21" w:rsidP="00F6064C">
      <w:pPr>
        <w:pStyle w:val="ListParagraph"/>
        <w:numPr>
          <w:ilvl w:val="0"/>
          <w:numId w:val="2"/>
        </w:numPr>
        <w:rPr>
          <w:rFonts w:ascii="Times New Roman" w:hAnsi="Times New Roman" w:cs="Times New Roman"/>
        </w:rPr>
      </w:pPr>
      <w:r w:rsidRPr="000A69E8">
        <w:rPr>
          <w:rFonts w:ascii="Times New Roman" w:hAnsi="Times New Roman" w:cs="Times New Roman"/>
          <w:i/>
          <w:iCs/>
          <w:u w:val="single"/>
        </w:rPr>
        <w:t>Knives: Men possible</w:t>
      </w:r>
      <w:r w:rsidR="000A69E8" w:rsidRPr="000A69E8">
        <w:rPr>
          <w:rFonts w:ascii="Times New Roman" w:hAnsi="Times New Roman" w:cs="Times New Roman"/>
          <w:i/>
          <w:iCs/>
        </w:rPr>
        <w:t xml:space="preserve"> </w:t>
      </w:r>
      <w:r w:rsidRPr="00174A2A">
        <w:rPr>
          <w:rFonts w:ascii="Times New Roman" w:hAnsi="Times New Roman" w:cs="Times New Roman"/>
        </w:rPr>
        <w:t>Knives obviously had a wide range of uses, including cooking and other domestic activities that women frequently engaged in. However, Booth et al. (2010, 492) note that all knives discovered in securely sexed graves were buried with males. Evidence like this suggests that even though women would have used knives often, there was a symbolic connection between knives and masculinity; perhaps that symbolic connection extended to offering behavior as well. For this reason, I classify knives as possibly offered by men.</w:t>
      </w:r>
    </w:p>
    <w:p w14:paraId="5E451A4A" w14:textId="77777777" w:rsidR="000A69E8" w:rsidRDefault="000A69E8" w:rsidP="00F6064C">
      <w:pPr>
        <w:rPr>
          <w:u w:val="single"/>
        </w:rPr>
      </w:pPr>
    </w:p>
    <w:p w14:paraId="52D083B5" w14:textId="07E10337" w:rsidR="00C61B21" w:rsidRPr="000A69E8" w:rsidRDefault="00C61B21" w:rsidP="00F6064C">
      <w:pPr>
        <w:rPr>
          <w:b/>
          <w:bCs/>
          <w:i/>
          <w:iCs/>
        </w:rPr>
      </w:pPr>
      <w:r w:rsidRPr="000A69E8">
        <w:rPr>
          <w:b/>
          <w:bCs/>
          <w:i/>
          <w:iCs/>
        </w:rPr>
        <w:t>Toiletry/Medical Instruments</w:t>
      </w:r>
    </w:p>
    <w:p w14:paraId="1232FB47" w14:textId="77777777" w:rsidR="000A69E8" w:rsidRDefault="00C61B21" w:rsidP="00F6064C">
      <w:pPr>
        <w:rPr>
          <w:b/>
          <w:bCs/>
        </w:rPr>
      </w:pPr>
      <w:r w:rsidRPr="000A69E8">
        <w:rPr>
          <w:u w:val="single"/>
        </w:rPr>
        <w:t>Combs: Women possible</w:t>
      </w:r>
    </w:p>
    <w:p w14:paraId="2459976A" w14:textId="09C62981" w:rsidR="00C61B21" w:rsidRDefault="00C61B21" w:rsidP="00F6064C">
      <w:r w:rsidRPr="000A69E8">
        <w:t>While combs and hairdressing are generally associated with women iconographically (Revell 2015, 114), logic dictates that both men and women had reason to employ combs often. Booth et al. (2010, 273) note that at Lankhills as well as in other cemetery contexts combs are generally found in the graves of adult females—but they have been found in some cases buried with males. While undoubtedly both men and women used combs regularly, the symbolic association of combs with women leads them to be categorized as possibly women’s offerings in the database.</w:t>
      </w:r>
    </w:p>
    <w:p w14:paraId="46CB3C27" w14:textId="77777777" w:rsidR="000A69E8" w:rsidRPr="000A69E8" w:rsidRDefault="000A69E8" w:rsidP="00F6064C">
      <w:pPr>
        <w:rPr>
          <w:i/>
          <w:iCs/>
          <w:u w:val="single"/>
        </w:rPr>
      </w:pPr>
    </w:p>
    <w:p w14:paraId="42C6E3AA" w14:textId="77777777" w:rsidR="000A69E8" w:rsidRPr="000A69E8" w:rsidRDefault="00C61B21" w:rsidP="00F6064C">
      <w:pPr>
        <w:rPr>
          <w:u w:val="single"/>
        </w:rPr>
      </w:pPr>
      <w:r w:rsidRPr="000A69E8">
        <w:rPr>
          <w:u w:val="single"/>
        </w:rPr>
        <w:t>Mirrors: Women possible</w:t>
      </w:r>
    </w:p>
    <w:p w14:paraId="1C127D20" w14:textId="6E977095" w:rsidR="00C61B21" w:rsidRPr="000A69E8" w:rsidRDefault="00C61B21" w:rsidP="00F6064C">
      <w:pPr>
        <w:rPr>
          <w:i/>
          <w:iCs/>
          <w:u w:val="single"/>
        </w:rPr>
      </w:pPr>
      <w:r w:rsidRPr="000A69E8">
        <w:t>The gendering of mirrors is similar to the gendering of combs. They are generally depicted in imagery as women’s items in the Roman world (Revell 2015, 110-14). Men doubtless had reason to use mirrors, but they were symbolically associated with femininity. The very small number of mirror-related objects in the database are all broken handles, and while they likely belonged to mirrors, this identification is not generally certain. I therefore downgrade the certainty regarding mirrors as women’s offerings to “possible.”</w:t>
      </w:r>
    </w:p>
    <w:p w14:paraId="519970F8" w14:textId="77777777" w:rsidR="000A69E8" w:rsidRDefault="000A69E8" w:rsidP="00F6064C">
      <w:pPr>
        <w:rPr>
          <w:b/>
          <w:bCs/>
        </w:rPr>
      </w:pPr>
    </w:p>
    <w:p w14:paraId="74C6FA05" w14:textId="77777777" w:rsidR="000A69E8" w:rsidRPr="000A69E8" w:rsidRDefault="00C61B21" w:rsidP="00F6064C">
      <w:pPr>
        <w:rPr>
          <w:u w:val="single"/>
        </w:rPr>
      </w:pPr>
      <w:r w:rsidRPr="000A69E8">
        <w:rPr>
          <w:u w:val="single"/>
        </w:rPr>
        <w:t>Palettes and small spoons/spatulas: Women possible</w:t>
      </w:r>
    </w:p>
    <w:p w14:paraId="0C56F045" w14:textId="2E7ABF55" w:rsidR="00C61B21" w:rsidRPr="000A69E8" w:rsidRDefault="00C61B21" w:rsidP="00F6064C">
      <w:pPr>
        <w:rPr>
          <w:i/>
          <w:iCs/>
          <w:u w:val="single"/>
        </w:rPr>
      </w:pPr>
      <w:r w:rsidRPr="000A69E8">
        <w:t xml:space="preserve">It is impossible to know whether these items were used for grinding, mixing, and applying cosmetics or medicines in these sanctuary contexts. </w:t>
      </w:r>
      <w:r w:rsidR="00DA2F63" w:rsidRPr="00675A60">
        <w:rPr>
          <w:color w:val="000000" w:themeColor="text1"/>
        </w:rPr>
        <w:t>Wearing cosmetics was written about in Roman sources as sign of effeminacy; writers denigrate men who paint</w:t>
      </w:r>
      <w:r w:rsidR="00DA2F63">
        <w:rPr>
          <w:color w:val="000000" w:themeColor="text1"/>
        </w:rPr>
        <w:t>ed</w:t>
      </w:r>
      <w:r w:rsidR="00DA2F63" w:rsidRPr="00675A60">
        <w:rPr>
          <w:color w:val="000000" w:themeColor="text1"/>
        </w:rPr>
        <w:t xml:space="preserve"> their faces. </w:t>
      </w:r>
      <w:r w:rsidR="00CC51C0">
        <w:rPr>
          <w:color w:val="000000" w:themeColor="text1"/>
        </w:rPr>
        <w:t xml:space="preserve">While </w:t>
      </w:r>
      <w:r w:rsidR="00DA2F63" w:rsidRPr="00675A60">
        <w:rPr>
          <w:color w:val="000000" w:themeColor="text1"/>
        </w:rPr>
        <w:t xml:space="preserve">Orizaga (2013) and Olson (2014) make convincing arguments that such disdain </w:t>
      </w:r>
      <w:r w:rsidR="00CC51C0">
        <w:rPr>
          <w:color w:val="000000" w:themeColor="text1"/>
        </w:rPr>
        <w:t xml:space="preserve">seems to prove that some men did </w:t>
      </w:r>
      <w:r w:rsidR="00B22E29">
        <w:rPr>
          <w:color w:val="000000" w:themeColor="text1"/>
        </w:rPr>
        <w:t>in fact use them</w:t>
      </w:r>
      <w:r w:rsidR="0015391D">
        <w:rPr>
          <w:color w:val="000000" w:themeColor="text1"/>
        </w:rPr>
        <w:t xml:space="preserve">, </w:t>
      </w:r>
      <w:r w:rsidR="00B22E29">
        <w:t>it also proves that the majority of users were</w:t>
      </w:r>
      <w:r w:rsidRPr="000A69E8">
        <w:t xml:space="preserve"> women (Olson 200</w:t>
      </w:r>
      <w:r w:rsidR="00843B3F" w:rsidRPr="000A69E8">
        <w:t>8</w:t>
      </w:r>
      <w:r w:rsidRPr="000A69E8">
        <w:t>)</w:t>
      </w:r>
      <w:r w:rsidR="00B22E29">
        <w:t>.</w:t>
      </w:r>
      <w:r w:rsidRPr="000A69E8">
        <w:t xml:space="preserve"> </w:t>
      </w:r>
      <w:r w:rsidR="00C87715">
        <w:t>However, these same tools could also have been used for medicines</w:t>
      </w:r>
      <w:r w:rsidR="009941F2">
        <w:t xml:space="preserve"> by either women or men</w:t>
      </w:r>
      <w:r w:rsidRPr="000A69E8">
        <w:t>. Balancing out these two separate uses, the best solution is to mark these objects as possible women’s offerings.</w:t>
      </w:r>
    </w:p>
    <w:p w14:paraId="3F294C0B" w14:textId="77777777" w:rsidR="000A69E8" w:rsidRDefault="000A69E8" w:rsidP="00F6064C">
      <w:pPr>
        <w:rPr>
          <w:b/>
          <w:bCs/>
        </w:rPr>
      </w:pPr>
    </w:p>
    <w:p w14:paraId="0F9CBBA2" w14:textId="0BA70E06" w:rsidR="000A69E8" w:rsidRPr="000A69E8" w:rsidRDefault="00C61B21" w:rsidP="00F6064C">
      <w:pPr>
        <w:rPr>
          <w:u w:val="single"/>
        </w:rPr>
      </w:pPr>
      <w:r w:rsidRPr="000A69E8">
        <w:rPr>
          <w:u w:val="single"/>
        </w:rPr>
        <w:t xml:space="preserve">Tweezers and nail cleaners: </w:t>
      </w:r>
      <w:r w:rsidR="000A69E8">
        <w:rPr>
          <w:u w:val="single"/>
        </w:rPr>
        <w:t>Un</w:t>
      </w:r>
      <w:r w:rsidRPr="000A69E8">
        <w:rPr>
          <w:u w:val="single"/>
        </w:rPr>
        <w:t>gendered</w:t>
      </w:r>
    </w:p>
    <w:p w14:paraId="7E4C5104" w14:textId="494FA5E9" w:rsidR="00C61B21" w:rsidRPr="00174A2A" w:rsidRDefault="00C61B21" w:rsidP="00F6064C">
      <w:r w:rsidRPr="000A69E8">
        <w:t>Items including tweezers and nail cleaners were integral parts of toiletry sets used by both men and women in the Roman world (Morrison 2013).</w:t>
      </w:r>
    </w:p>
    <w:p w14:paraId="629A02B3" w14:textId="77777777" w:rsidR="000A69E8" w:rsidRDefault="000A69E8" w:rsidP="00F6064C">
      <w:pPr>
        <w:rPr>
          <w:i/>
          <w:iCs/>
        </w:rPr>
      </w:pPr>
    </w:p>
    <w:p w14:paraId="2D896F69" w14:textId="1908E1FA" w:rsidR="00C61B21" w:rsidRPr="000A69E8" w:rsidRDefault="008C6C23" w:rsidP="00F6064C">
      <w:pPr>
        <w:rPr>
          <w:b/>
          <w:bCs/>
          <w:i/>
          <w:iCs/>
        </w:rPr>
      </w:pPr>
      <w:r w:rsidRPr="000A69E8">
        <w:rPr>
          <w:b/>
          <w:bCs/>
          <w:i/>
          <w:iCs/>
        </w:rPr>
        <w:t>Gaming</w:t>
      </w:r>
      <w:r w:rsidR="000A69E8">
        <w:rPr>
          <w:b/>
          <w:bCs/>
          <w:i/>
          <w:iCs/>
        </w:rPr>
        <w:t>: Ungendered</w:t>
      </w:r>
    </w:p>
    <w:p w14:paraId="01C6E80E" w14:textId="77777777" w:rsidR="008C6C23" w:rsidRPr="00174A2A" w:rsidRDefault="008C6C23" w:rsidP="00F6064C">
      <w:pPr>
        <w:textAlignment w:val="center"/>
      </w:pPr>
      <w:r w:rsidRPr="00174A2A">
        <w:t>Because gaming counters and dice are found in a range of archaeological contexts, from military forts to domestic settings, we cannot consider them gendered offerings. Gaming pieces (and sometimes even game boards) are also occasionally found in graves of both males and females (Hall and Forsyth 2011; Allison 2018, 171-72).</w:t>
      </w:r>
    </w:p>
    <w:p w14:paraId="064C61A3" w14:textId="77777777" w:rsidR="000A69E8" w:rsidRDefault="000A69E8" w:rsidP="00F6064C">
      <w:pPr>
        <w:rPr>
          <w:i/>
          <w:iCs/>
        </w:rPr>
      </w:pPr>
    </w:p>
    <w:p w14:paraId="3C86285A" w14:textId="0171DFC1" w:rsidR="008C6C23" w:rsidRPr="000A69E8" w:rsidRDefault="008C6C23" w:rsidP="00F6064C">
      <w:pPr>
        <w:rPr>
          <w:b/>
          <w:bCs/>
          <w:i/>
          <w:iCs/>
        </w:rPr>
      </w:pPr>
      <w:r w:rsidRPr="000A69E8">
        <w:rPr>
          <w:b/>
          <w:bCs/>
          <w:i/>
          <w:iCs/>
        </w:rPr>
        <w:t>Vessels</w:t>
      </w:r>
      <w:r w:rsidR="000A69E8">
        <w:rPr>
          <w:b/>
          <w:bCs/>
          <w:i/>
          <w:iCs/>
        </w:rPr>
        <w:t>: Ungendered</w:t>
      </w:r>
    </w:p>
    <w:p w14:paraId="0C6E4973" w14:textId="7E046A22" w:rsidR="008C6C23" w:rsidRDefault="008C6C23" w:rsidP="00F6064C">
      <w:r w:rsidRPr="00174A2A">
        <w:t>All objects in this category, from candlesticks and boxes to spoons, plates, and jugs were used by both men and women and therefore cannot be gendered based on historical or archaeological evidence.</w:t>
      </w:r>
    </w:p>
    <w:p w14:paraId="774EC075" w14:textId="77777777" w:rsidR="008C6C23" w:rsidRDefault="008C6C23" w:rsidP="00F6064C"/>
    <w:p w14:paraId="0E93D30A" w14:textId="00CF50C8" w:rsidR="008C6C23" w:rsidRPr="000A69E8" w:rsidRDefault="008C6C23" w:rsidP="00F6064C">
      <w:pPr>
        <w:rPr>
          <w:b/>
          <w:bCs/>
          <w:i/>
          <w:iCs/>
        </w:rPr>
      </w:pPr>
      <w:r w:rsidRPr="000A69E8">
        <w:rPr>
          <w:b/>
          <w:bCs/>
          <w:i/>
          <w:iCs/>
        </w:rPr>
        <w:t>Decorative Components</w:t>
      </w:r>
      <w:r w:rsidR="00BF76DE" w:rsidRPr="000A69E8">
        <w:rPr>
          <w:b/>
          <w:bCs/>
          <w:i/>
          <w:iCs/>
        </w:rPr>
        <w:t xml:space="preserve"> and Connectors</w:t>
      </w:r>
      <w:r w:rsidR="000A69E8">
        <w:rPr>
          <w:b/>
          <w:bCs/>
          <w:i/>
          <w:iCs/>
        </w:rPr>
        <w:t>: Ungendered</w:t>
      </w:r>
    </w:p>
    <w:p w14:paraId="0D2EB541" w14:textId="19A5E537" w:rsidR="008C6C23" w:rsidRPr="00174A2A" w:rsidRDefault="008C6C23" w:rsidP="00F6064C">
      <w:r w:rsidRPr="00174A2A">
        <w:t>Decorative components</w:t>
      </w:r>
      <w:r w:rsidR="002B56C8">
        <w:t xml:space="preserve"> such as inlays</w:t>
      </w:r>
      <w:r w:rsidRPr="00174A2A">
        <w:t xml:space="preserve"> and connectors </w:t>
      </w:r>
      <w:r w:rsidR="002B56C8">
        <w:t>like pins and hinges</w:t>
      </w:r>
      <w:r w:rsidRPr="00174A2A">
        <w:t xml:space="preserve"> have in common that they are remains of larger objects that cannot often be identified. Because we cannot generally discern what type of object these items were originally associated with, </w:t>
      </w:r>
      <w:r w:rsidR="002550E3">
        <w:t xml:space="preserve">I </w:t>
      </w:r>
      <w:r w:rsidRPr="00174A2A">
        <w:t>cannot assign a gender to either category.</w:t>
      </w:r>
    </w:p>
    <w:p w14:paraId="6648AD56" w14:textId="77777777" w:rsidR="008C6C23" w:rsidRDefault="008C6C23" w:rsidP="00F6064C"/>
    <w:p w14:paraId="5CDBC7DF" w14:textId="77777777" w:rsidR="009941F2" w:rsidRDefault="009941F2" w:rsidP="00F6064C">
      <w:pPr>
        <w:rPr>
          <w:b/>
          <w:bCs/>
        </w:rPr>
      </w:pPr>
    </w:p>
    <w:p w14:paraId="7C0D15AF" w14:textId="77777777" w:rsidR="009941F2" w:rsidRDefault="009941F2" w:rsidP="00F6064C">
      <w:pPr>
        <w:rPr>
          <w:b/>
          <w:bCs/>
        </w:rPr>
      </w:pPr>
    </w:p>
    <w:p w14:paraId="03A421AF" w14:textId="77777777" w:rsidR="009941F2" w:rsidRDefault="009941F2" w:rsidP="00F6064C">
      <w:pPr>
        <w:rPr>
          <w:b/>
          <w:bCs/>
        </w:rPr>
      </w:pPr>
    </w:p>
    <w:p w14:paraId="7E4C4077" w14:textId="1D05D409" w:rsidR="00386BC4" w:rsidRPr="000A69E8" w:rsidRDefault="00386BC4" w:rsidP="00F6064C">
      <w:pPr>
        <w:rPr>
          <w:b/>
          <w:bCs/>
        </w:rPr>
      </w:pPr>
      <w:r w:rsidRPr="000A69E8">
        <w:rPr>
          <w:b/>
          <w:bCs/>
        </w:rPr>
        <w:t>BIBLIOGRAPHY</w:t>
      </w:r>
    </w:p>
    <w:p w14:paraId="5AB5303B" w14:textId="7C329FA8" w:rsidR="00310296" w:rsidRPr="00174A2A" w:rsidRDefault="00310296" w:rsidP="00F6064C">
      <w:pPr>
        <w:ind w:left="720" w:hanging="720"/>
      </w:pPr>
      <w:r w:rsidRPr="00174A2A">
        <w:t>Allason-Jones</w:t>
      </w:r>
      <w:r>
        <w:t xml:space="preserve"> </w:t>
      </w:r>
      <w:r w:rsidRPr="00174A2A">
        <w:t>L</w:t>
      </w:r>
      <w:r>
        <w:t xml:space="preserve"> (</w:t>
      </w:r>
      <w:r w:rsidRPr="00174A2A">
        <w:t>1989</w:t>
      </w:r>
      <w:r>
        <w:t>)</w:t>
      </w:r>
      <w:r w:rsidRPr="00174A2A">
        <w:t xml:space="preserve"> </w:t>
      </w:r>
      <w:r w:rsidRPr="00174A2A">
        <w:rPr>
          <w:i/>
          <w:iCs/>
        </w:rPr>
        <w:t>Ear-Rings in Roman Britain</w:t>
      </w:r>
      <w:r w:rsidRPr="00174A2A">
        <w:t>. Oxford: British Archaeological Reports.</w:t>
      </w:r>
    </w:p>
    <w:p w14:paraId="18359581" w14:textId="77777777" w:rsidR="00310296" w:rsidRDefault="00310296" w:rsidP="00F6064C">
      <w:pPr>
        <w:ind w:left="720" w:hanging="720"/>
      </w:pPr>
    </w:p>
    <w:p w14:paraId="2CF9F0EB" w14:textId="38A2E167" w:rsidR="009E5B3E" w:rsidRPr="00174A2A" w:rsidRDefault="009E5B3E" w:rsidP="00F6064C">
      <w:pPr>
        <w:ind w:left="720" w:hanging="720"/>
      </w:pPr>
      <w:r>
        <w:t>Allison P (</w:t>
      </w:r>
      <w:r w:rsidRPr="00174A2A">
        <w:t>2008b</w:t>
      </w:r>
      <w:r>
        <w:t xml:space="preserve">) </w:t>
      </w:r>
      <w:r w:rsidRPr="00174A2A">
        <w:t xml:space="preserve">Measuring Women’s Influence on Roman Military Life: Using GIS on Published Excavation Reports from the German Frontier. </w:t>
      </w:r>
      <w:r w:rsidRPr="00174A2A">
        <w:rPr>
          <w:i/>
        </w:rPr>
        <w:t xml:space="preserve">Internet Archaeology </w:t>
      </w:r>
      <w:r w:rsidRPr="00174A2A">
        <w:t xml:space="preserve">24. </w:t>
      </w:r>
      <w:r>
        <w:t>DOI: 10.11141/ia.24.5.</w:t>
      </w:r>
    </w:p>
    <w:p w14:paraId="2A94E3F5" w14:textId="77777777" w:rsidR="009E5B3E" w:rsidRDefault="009E5B3E" w:rsidP="00F6064C">
      <w:pPr>
        <w:ind w:left="720" w:hanging="720"/>
      </w:pPr>
    </w:p>
    <w:p w14:paraId="5AA3AE40" w14:textId="774C8320" w:rsidR="00156C9F" w:rsidRDefault="00156C9F" w:rsidP="00F6064C">
      <w:pPr>
        <w:ind w:left="720" w:hanging="720"/>
      </w:pPr>
      <w:r>
        <w:t>Allison P (</w:t>
      </w:r>
      <w:r w:rsidRPr="00174A2A">
        <w:t>2018</w:t>
      </w:r>
      <w:r>
        <w:t xml:space="preserve">) </w:t>
      </w:r>
      <w:r w:rsidRPr="00174A2A">
        <w:t>Roman Household Organization. In</w:t>
      </w:r>
      <w:r>
        <w:t>: Crawford S, Hadley DM and Shepherd G (eds)</w:t>
      </w:r>
      <w:r w:rsidRPr="00174A2A">
        <w:t xml:space="preserve"> </w:t>
      </w:r>
      <w:r w:rsidRPr="00174A2A">
        <w:rPr>
          <w:i/>
          <w:iCs/>
        </w:rPr>
        <w:t>The Oxford Handbook of the Archaeology of Childhood</w:t>
      </w:r>
      <w:r w:rsidRPr="00174A2A">
        <w:t>. Oxford: Oxford University Press</w:t>
      </w:r>
      <w:r>
        <w:t xml:space="preserve">, pp. </w:t>
      </w:r>
      <w:r w:rsidRPr="00174A2A">
        <w:t>165–78.</w:t>
      </w:r>
    </w:p>
    <w:p w14:paraId="7661B549" w14:textId="77777777" w:rsidR="00156C9F" w:rsidRDefault="00156C9F" w:rsidP="00F6064C">
      <w:pPr>
        <w:ind w:left="720" w:hanging="720"/>
      </w:pPr>
    </w:p>
    <w:p w14:paraId="5C88B362" w14:textId="4873A960" w:rsidR="0011031E" w:rsidRPr="00174A2A" w:rsidRDefault="0011031E" w:rsidP="00F6064C">
      <w:pPr>
        <w:ind w:left="720" w:hanging="720"/>
      </w:pPr>
      <w:r w:rsidRPr="00174A2A">
        <w:t>Böhme-Schönberger A</w:t>
      </w:r>
      <w:r>
        <w:t xml:space="preserve"> (</w:t>
      </w:r>
      <w:r w:rsidRPr="00174A2A">
        <w:t>2008</w:t>
      </w:r>
      <w:r>
        <w:t>)</w:t>
      </w:r>
      <w:r w:rsidRPr="00174A2A">
        <w:t xml:space="preserve"> Die Distelﬁbeln – Sind sie Männer- oder Frauenﬁbeln? In</w:t>
      </w:r>
      <w:r>
        <w:t>: Brandl U (ed)</w:t>
      </w:r>
      <w:r w:rsidRPr="00174A2A">
        <w:t xml:space="preserve"> </w:t>
      </w:r>
      <w:r w:rsidRPr="00174A2A">
        <w:rPr>
          <w:i/>
          <w:iCs/>
        </w:rPr>
        <w:t>Frauen und Römisches Militär: Beiträge eines Runden Tisches in Xanten vom 7. bis 9. Juli 2005</w:t>
      </w:r>
      <w:r w:rsidRPr="00174A2A">
        <w:t>. Oxford: Archaeopress</w:t>
      </w:r>
      <w:r>
        <w:t xml:space="preserve">, pp. </w:t>
      </w:r>
      <w:r w:rsidRPr="00174A2A">
        <w:t>140–45.</w:t>
      </w:r>
    </w:p>
    <w:p w14:paraId="39ADD31C" w14:textId="77777777" w:rsidR="0011031E" w:rsidRDefault="0011031E" w:rsidP="00F6064C">
      <w:pPr>
        <w:ind w:left="720" w:hanging="720"/>
      </w:pPr>
    </w:p>
    <w:p w14:paraId="451C73B9" w14:textId="64916A74" w:rsidR="001A52ED" w:rsidRPr="00174A2A" w:rsidRDefault="001A52ED" w:rsidP="00F6064C">
      <w:pPr>
        <w:ind w:left="720" w:hanging="720"/>
      </w:pPr>
      <w:r w:rsidRPr="00174A2A">
        <w:t>Booth</w:t>
      </w:r>
      <w:r>
        <w:t xml:space="preserve"> P</w:t>
      </w:r>
      <w:r w:rsidRPr="00174A2A">
        <w:t>, Simmonds</w:t>
      </w:r>
      <w:r>
        <w:t xml:space="preserve"> A</w:t>
      </w:r>
      <w:r w:rsidRPr="00174A2A">
        <w:t>, Boyle</w:t>
      </w:r>
      <w:r>
        <w:t xml:space="preserve"> A</w:t>
      </w:r>
      <w:r w:rsidRPr="00174A2A">
        <w:t>, Clough</w:t>
      </w:r>
      <w:r>
        <w:t xml:space="preserve"> S</w:t>
      </w:r>
      <w:r w:rsidRPr="00174A2A">
        <w:t xml:space="preserve">, </w:t>
      </w:r>
      <w:r>
        <w:t xml:space="preserve">Cool HEM </w:t>
      </w:r>
      <w:r w:rsidRPr="00174A2A">
        <w:t xml:space="preserve">and </w:t>
      </w:r>
      <w:r>
        <w:t>Poore D</w:t>
      </w:r>
      <w:r w:rsidRPr="00174A2A">
        <w:t xml:space="preserve"> </w:t>
      </w:r>
      <w:r>
        <w:t>(</w:t>
      </w:r>
      <w:r w:rsidRPr="00174A2A">
        <w:t>eds</w:t>
      </w:r>
      <w:r>
        <w:t>)</w:t>
      </w:r>
      <w:r w:rsidRPr="00174A2A">
        <w:t xml:space="preserve"> </w:t>
      </w:r>
      <w:r>
        <w:t>(</w:t>
      </w:r>
      <w:r w:rsidRPr="00174A2A">
        <w:t>2010</w:t>
      </w:r>
      <w:r>
        <w:t>)</w:t>
      </w:r>
      <w:r w:rsidRPr="00174A2A">
        <w:t xml:space="preserve"> </w:t>
      </w:r>
      <w:r w:rsidRPr="00174A2A">
        <w:rPr>
          <w:i/>
          <w:iCs/>
        </w:rPr>
        <w:t xml:space="preserve">The Late Roman Cemetery at Lankhills, Winchester: Excavations 2000-2005. </w:t>
      </w:r>
      <w:r w:rsidRPr="00174A2A">
        <w:t>Oxford: Oxford Archaeology.</w:t>
      </w:r>
    </w:p>
    <w:p w14:paraId="3F42A18D" w14:textId="77777777" w:rsidR="001A52ED" w:rsidRDefault="001A52ED" w:rsidP="00F6064C">
      <w:pPr>
        <w:ind w:left="720" w:hanging="720"/>
        <w:rPr>
          <w:rStyle w:val="bibliographicauthorname"/>
          <w:shd w:val="clear" w:color="auto" w:fill="FFFFFF"/>
        </w:rPr>
      </w:pPr>
    </w:p>
    <w:p w14:paraId="3297F524" w14:textId="71AD6177" w:rsidR="00A57308" w:rsidRPr="00174A2A" w:rsidRDefault="00A57308" w:rsidP="00F6064C">
      <w:pPr>
        <w:ind w:left="720" w:hanging="720"/>
      </w:pPr>
      <w:r w:rsidRPr="00174A2A">
        <w:t>Broekaert</w:t>
      </w:r>
      <w:r>
        <w:t xml:space="preserve"> W</w:t>
      </w:r>
      <w:r w:rsidRPr="00174A2A">
        <w:t xml:space="preserve"> </w:t>
      </w:r>
      <w:r>
        <w:t>(</w:t>
      </w:r>
      <w:r w:rsidRPr="00174A2A">
        <w:t>2016</w:t>
      </w:r>
      <w:r>
        <w:t xml:space="preserve">) </w:t>
      </w:r>
      <w:r w:rsidRPr="00174A2A">
        <w:t>The Empire’s New Clothes: The Roman Textile Industry in an Imperial Framework. In</w:t>
      </w:r>
      <w:r w:rsidR="00F717FB">
        <w:t xml:space="preserve">: </w:t>
      </w:r>
      <w:r w:rsidR="00F717FB" w:rsidRPr="00174A2A">
        <w:t xml:space="preserve">Droß-Krüpe </w:t>
      </w:r>
      <w:r w:rsidR="00F717FB">
        <w:t xml:space="preserve">K </w:t>
      </w:r>
      <w:r w:rsidR="00F717FB" w:rsidRPr="00174A2A">
        <w:t>and Nosch</w:t>
      </w:r>
      <w:r w:rsidR="00F717FB">
        <w:t xml:space="preserve"> ML (eds)</w:t>
      </w:r>
      <w:r w:rsidRPr="00174A2A">
        <w:t xml:space="preserve"> </w:t>
      </w:r>
      <w:r w:rsidRPr="00174A2A">
        <w:rPr>
          <w:i/>
          <w:iCs/>
        </w:rPr>
        <w:t>Textiles, Trade and Theories from the Ancient Near East to the Mediterranean</w:t>
      </w:r>
      <w:r w:rsidRPr="00174A2A">
        <w:t>. Münster: Ugarit-Verlag</w:t>
      </w:r>
      <w:r w:rsidR="00597A4B">
        <w:t xml:space="preserve">, </w:t>
      </w:r>
      <w:r w:rsidR="00597A4B" w:rsidRPr="00174A2A">
        <w:t>2948</w:t>
      </w:r>
      <w:r w:rsidRPr="00174A2A">
        <w:t>.</w:t>
      </w:r>
    </w:p>
    <w:p w14:paraId="0BE02FD7" w14:textId="77777777" w:rsidR="00A57308" w:rsidRDefault="00A57308" w:rsidP="00F6064C">
      <w:pPr>
        <w:ind w:left="720" w:hanging="720"/>
        <w:rPr>
          <w:rStyle w:val="bibliographicauthorname"/>
          <w:shd w:val="clear" w:color="auto" w:fill="FFFFFF"/>
        </w:rPr>
      </w:pPr>
    </w:p>
    <w:p w14:paraId="5A1CDAD0" w14:textId="0310BE5A" w:rsidR="003C67F8" w:rsidRPr="00174A2A" w:rsidRDefault="003C67F8" w:rsidP="00F6064C">
      <w:pPr>
        <w:ind w:left="720" w:hanging="720"/>
      </w:pPr>
      <w:r w:rsidRPr="00174A2A">
        <w:t>Carroll</w:t>
      </w:r>
      <w:r>
        <w:t xml:space="preserve"> M (</w:t>
      </w:r>
      <w:r w:rsidRPr="00174A2A">
        <w:t>2012</w:t>
      </w:r>
      <w:r>
        <w:t>) “</w:t>
      </w:r>
      <w:r w:rsidRPr="00174A2A">
        <w:t>The Insignia of Women</w:t>
      </w:r>
      <w:r>
        <w:t>”</w:t>
      </w:r>
      <w:r w:rsidRPr="00174A2A">
        <w:t xml:space="preserve">: Dress, Gender and Identity on the Roman Funerary Monument of Regina from Arbeia. </w:t>
      </w:r>
      <w:r w:rsidRPr="00174A2A">
        <w:rPr>
          <w:i/>
          <w:iCs/>
        </w:rPr>
        <w:t>Archaeological Journal</w:t>
      </w:r>
      <w:r w:rsidRPr="00174A2A">
        <w:t xml:space="preserve"> 169(1): 281–311.</w:t>
      </w:r>
    </w:p>
    <w:p w14:paraId="34130E6A" w14:textId="77777777" w:rsidR="003C67F8" w:rsidRDefault="003C67F8" w:rsidP="00F6064C">
      <w:pPr>
        <w:ind w:left="720" w:hanging="720"/>
        <w:rPr>
          <w:rStyle w:val="bibliographicauthorname"/>
          <w:shd w:val="clear" w:color="auto" w:fill="FFFFFF"/>
        </w:rPr>
      </w:pPr>
    </w:p>
    <w:p w14:paraId="47447C42" w14:textId="6254AAE3" w:rsidR="00AF1382" w:rsidRPr="0006752C" w:rsidRDefault="00AF1382" w:rsidP="00F6064C">
      <w:pPr>
        <w:ind w:left="720" w:hanging="720"/>
        <w:rPr>
          <w:rStyle w:val="bibliographicauthorname"/>
        </w:rPr>
      </w:pPr>
      <w:r w:rsidRPr="00174A2A">
        <w:t>Cool</w:t>
      </w:r>
      <w:r>
        <w:t xml:space="preserve"> HEM (</w:t>
      </w:r>
      <w:r w:rsidRPr="00174A2A">
        <w:t>1990</w:t>
      </w:r>
      <w:r>
        <w:t>)</w:t>
      </w:r>
      <w:r w:rsidRPr="00174A2A">
        <w:t xml:space="preserve"> Roman Metal Hair Pins from Southern Britain. </w:t>
      </w:r>
      <w:r w:rsidRPr="00174A2A">
        <w:rPr>
          <w:i/>
          <w:iCs/>
        </w:rPr>
        <w:t>Archaeological Journal</w:t>
      </w:r>
      <w:r w:rsidRPr="00174A2A">
        <w:t xml:space="preserve"> 147(1): 148–82.</w:t>
      </w:r>
    </w:p>
    <w:p w14:paraId="73EE09E6" w14:textId="77777777" w:rsidR="0006752C" w:rsidRPr="00174A2A" w:rsidRDefault="0006752C" w:rsidP="00F6064C">
      <w:pPr>
        <w:ind w:left="720" w:hanging="720"/>
      </w:pPr>
    </w:p>
    <w:p w14:paraId="0DFEC2E8" w14:textId="67759EB1" w:rsidR="0006752C" w:rsidRPr="00174A2A" w:rsidRDefault="0006752C" w:rsidP="00F6064C">
      <w:pPr>
        <w:ind w:left="720" w:hanging="720"/>
      </w:pPr>
      <w:r w:rsidRPr="00174A2A">
        <w:t>Erdkamp</w:t>
      </w:r>
      <w:r>
        <w:t xml:space="preserve"> P</w:t>
      </w:r>
      <w:r w:rsidRPr="00174A2A">
        <w:t xml:space="preserve"> </w:t>
      </w:r>
      <w:r>
        <w:t>(</w:t>
      </w:r>
      <w:r w:rsidRPr="00174A2A">
        <w:t>1999</w:t>
      </w:r>
      <w:r>
        <w:t xml:space="preserve">) </w:t>
      </w:r>
      <w:r w:rsidRPr="00174A2A">
        <w:t xml:space="preserve">Agriculture, Underemployment, and the Cost of Rural Labour in the Roman World. </w:t>
      </w:r>
      <w:r w:rsidRPr="00174A2A">
        <w:rPr>
          <w:i/>
          <w:iCs/>
        </w:rPr>
        <w:t>The Classical Quarterly</w:t>
      </w:r>
      <w:r w:rsidRPr="00174A2A">
        <w:t xml:space="preserve"> 49(2): 556–72.</w:t>
      </w:r>
    </w:p>
    <w:p w14:paraId="54D8E5AD" w14:textId="77777777" w:rsidR="001651E3" w:rsidRDefault="001651E3" w:rsidP="00F6064C">
      <w:pPr>
        <w:ind w:left="720" w:hanging="720"/>
        <w:rPr>
          <w:rStyle w:val="bibliographicauthorname"/>
          <w:shd w:val="clear" w:color="auto" w:fill="FFFFFF"/>
        </w:rPr>
      </w:pPr>
    </w:p>
    <w:p w14:paraId="357A3E2A" w14:textId="2483A828" w:rsidR="001651E3" w:rsidRPr="00174A2A" w:rsidRDefault="001651E3" w:rsidP="00F6064C">
      <w:pPr>
        <w:ind w:left="720" w:hanging="720"/>
      </w:pPr>
      <w:r w:rsidRPr="00174A2A">
        <w:t>Hall</w:t>
      </w:r>
      <w:r>
        <w:t xml:space="preserve"> MA</w:t>
      </w:r>
      <w:r w:rsidRPr="00174A2A">
        <w:t xml:space="preserve"> and Forsyth</w:t>
      </w:r>
      <w:r>
        <w:t xml:space="preserve"> K</w:t>
      </w:r>
      <w:r w:rsidRPr="00174A2A">
        <w:t xml:space="preserve"> </w:t>
      </w:r>
      <w:r>
        <w:t>(</w:t>
      </w:r>
      <w:r w:rsidRPr="00174A2A">
        <w:t>2011</w:t>
      </w:r>
      <w:r>
        <w:t xml:space="preserve">) </w:t>
      </w:r>
      <w:r w:rsidRPr="00174A2A">
        <w:t xml:space="preserve">Roman </w:t>
      </w:r>
      <w:r>
        <w:t>R</w:t>
      </w:r>
      <w:r w:rsidRPr="00174A2A">
        <w:t xml:space="preserve">ules? The Introduction of Board Games to Britain and Ireland. </w:t>
      </w:r>
      <w:r w:rsidRPr="00174A2A">
        <w:rPr>
          <w:i/>
          <w:iCs/>
        </w:rPr>
        <w:t>Antiquity</w:t>
      </w:r>
      <w:r w:rsidRPr="00174A2A">
        <w:t xml:space="preserve"> 85(330): 1325–1338.</w:t>
      </w:r>
    </w:p>
    <w:p w14:paraId="56091512" w14:textId="77777777" w:rsidR="001651E3" w:rsidRDefault="001651E3" w:rsidP="00F6064C">
      <w:pPr>
        <w:ind w:left="720" w:hanging="720"/>
        <w:rPr>
          <w:rStyle w:val="bibliographicauthorname"/>
          <w:shd w:val="clear" w:color="auto" w:fill="FFFFFF"/>
        </w:rPr>
      </w:pPr>
    </w:p>
    <w:p w14:paraId="5C2E9792" w14:textId="1FF00553" w:rsidR="00FA71A6" w:rsidRPr="00174A2A" w:rsidRDefault="00FA71A6" w:rsidP="00F6064C">
      <w:pPr>
        <w:ind w:left="720" w:hanging="720"/>
      </w:pPr>
      <w:r w:rsidRPr="00174A2A">
        <w:t>Hemelrijk</w:t>
      </w:r>
      <w:r>
        <w:t xml:space="preserve"> EA</w:t>
      </w:r>
      <w:r w:rsidRPr="00174A2A">
        <w:t xml:space="preserve"> </w:t>
      </w:r>
      <w:r>
        <w:t>(</w:t>
      </w:r>
      <w:r w:rsidRPr="00174A2A">
        <w:t>2012</w:t>
      </w:r>
      <w:r>
        <w:t>)</w:t>
      </w:r>
      <w:r w:rsidRPr="00174A2A">
        <w:t xml:space="preserve"> Public Roles for Women in the Cities of the Latin West. In</w:t>
      </w:r>
      <w:r>
        <w:t>: James SL and Dillon S (eds)</w:t>
      </w:r>
      <w:r w:rsidRPr="00174A2A">
        <w:t xml:space="preserve"> </w:t>
      </w:r>
      <w:r w:rsidRPr="00174A2A">
        <w:rPr>
          <w:i/>
          <w:iCs/>
        </w:rPr>
        <w:t>A Companion to Women in the Ancient World</w:t>
      </w:r>
      <w:r w:rsidRPr="00174A2A">
        <w:t>. Oxford: Wiley</w:t>
      </w:r>
      <w:r>
        <w:t xml:space="preserve">, pp. </w:t>
      </w:r>
      <w:r w:rsidRPr="00174A2A">
        <w:t>478–90.</w:t>
      </w:r>
    </w:p>
    <w:p w14:paraId="747589A6" w14:textId="77777777" w:rsidR="00FA71A6" w:rsidRDefault="00FA71A6" w:rsidP="00F6064C">
      <w:pPr>
        <w:ind w:left="720" w:hanging="720"/>
        <w:rPr>
          <w:rStyle w:val="bibliographicauthorname"/>
          <w:shd w:val="clear" w:color="auto" w:fill="FFFFFF"/>
        </w:rPr>
      </w:pPr>
    </w:p>
    <w:p w14:paraId="71C928FE" w14:textId="4880952F" w:rsidR="0080424F" w:rsidRPr="00174A2A" w:rsidRDefault="0080424F" w:rsidP="00F6064C">
      <w:pPr>
        <w:ind w:left="720" w:hanging="720"/>
      </w:pPr>
      <w:r w:rsidRPr="00174A2A">
        <w:t>Ivleva</w:t>
      </w:r>
      <w:r>
        <w:t xml:space="preserve"> T (</w:t>
      </w:r>
      <w:r w:rsidRPr="00174A2A">
        <w:t>2017</w:t>
      </w:r>
      <w:r>
        <w:t>)</w:t>
      </w:r>
      <w:r w:rsidRPr="00174A2A">
        <w:t xml:space="preserve"> “Active Brooches</w:t>
      </w:r>
      <w:r>
        <w:t>”</w:t>
      </w:r>
      <w:r w:rsidRPr="00174A2A">
        <w:t>: Theorising Brooches of the Roman North-West (First to Third Centuries AD). In</w:t>
      </w:r>
      <w:r>
        <w:t>: Martin TF and Weech R (eds)</w:t>
      </w:r>
      <w:r w:rsidRPr="00174A2A">
        <w:t xml:space="preserve"> </w:t>
      </w:r>
      <w:r w:rsidRPr="00174A2A">
        <w:rPr>
          <w:i/>
          <w:iCs/>
        </w:rPr>
        <w:t>Dress and Society: Contributions from Archaeology</w:t>
      </w:r>
      <w:r w:rsidRPr="00174A2A">
        <w:t>. Oxford: Oxbow Books</w:t>
      </w:r>
      <w:r>
        <w:t xml:space="preserve">, pp. </w:t>
      </w:r>
      <w:r w:rsidRPr="00174A2A">
        <w:t>69–93.</w:t>
      </w:r>
    </w:p>
    <w:p w14:paraId="5365570B" w14:textId="77777777" w:rsidR="0080424F" w:rsidRDefault="0080424F" w:rsidP="00F6064C">
      <w:pPr>
        <w:ind w:left="720" w:hanging="720"/>
        <w:rPr>
          <w:rStyle w:val="bibliographicauthorname"/>
          <w:shd w:val="clear" w:color="auto" w:fill="FFFFFF"/>
        </w:rPr>
      </w:pPr>
    </w:p>
    <w:p w14:paraId="6DB7F012" w14:textId="4AF49005" w:rsidR="00D803B2" w:rsidRPr="00174A2A" w:rsidRDefault="00D803B2" w:rsidP="00F6064C">
      <w:pPr>
        <w:ind w:left="720" w:hanging="720"/>
      </w:pPr>
      <w:r w:rsidRPr="00174A2A">
        <w:t>Johns C</w:t>
      </w:r>
      <w:r>
        <w:t xml:space="preserve"> (</w:t>
      </w:r>
      <w:r w:rsidRPr="00174A2A">
        <w:t>1996</w:t>
      </w:r>
      <w:r>
        <w:t>)</w:t>
      </w:r>
      <w:r w:rsidRPr="00174A2A">
        <w:t xml:space="preserve"> </w:t>
      </w:r>
      <w:r w:rsidRPr="00174A2A">
        <w:rPr>
          <w:i/>
          <w:iCs/>
        </w:rPr>
        <w:t>The Jewellery of Roman Britain: Celtic and Classical Traditions</w:t>
      </w:r>
      <w:r w:rsidRPr="00174A2A">
        <w:t>. London: UCL Press.</w:t>
      </w:r>
    </w:p>
    <w:p w14:paraId="04167CA1" w14:textId="77777777" w:rsidR="00D803B2" w:rsidRDefault="00D803B2" w:rsidP="00F6064C">
      <w:pPr>
        <w:ind w:left="720" w:hanging="720"/>
        <w:rPr>
          <w:rStyle w:val="bibliographicauthorname"/>
          <w:shd w:val="clear" w:color="auto" w:fill="FFFFFF"/>
        </w:rPr>
      </w:pPr>
    </w:p>
    <w:p w14:paraId="661E9AE4" w14:textId="2AEC7AB5" w:rsidR="00041E56" w:rsidRPr="00174A2A" w:rsidRDefault="00041E56" w:rsidP="00F6064C">
      <w:pPr>
        <w:ind w:left="720" w:hanging="720"/>
      </w:pPr>
      <w:r w:rsidRPr="00174A2A">
        <w:t>Larsson Lovén</w:t>
      </w:r>
      <w:r w:rsidR="00317804">
        <w:t xml:space="preserve"> L (</w:t>
      </w:r>
      <w:r w:rsidRPr="00174A2A">
        <w:t>2002</w:t>
      </w:r>
      <w:r w:rsidR="00317804">
        <w:t>)</w:t>
      </w:r>
      <w:r w:rsidRPr="00174A2A">
        <w:t xml:space="preserve"> </w:t>
      </w:r>
      <w:r w:rsidRPr="00317804">
        <w:rPr>
          <w:i/>
          <w:iCs/>
        </w:rPr>
        <w:t>The Imagery of Textile Making: Gender and Status in the Funerary Iconography of Textile Manufacture in Roman Italy and Gaul.</w:t>
      </w:r>
      <w:r w:rsidRPr="00174A2A">
        <w:t xml:space="preserve"> PhD </w:t>
      </w:r>
      <w:r w:rsidR="00317804">
        <w:t>Thesis</w:t>
      </w:r>
      <w:r w:rsidRPr="00174A2A">
        <w:t>, University of Gothenburg</w:t>
      </w:r>
      <w:r w:rsidR="002B5093">
        <w:t>, Sweden</w:t>
      </w:r>
      <w:r w:rsidRPr="00174A2A">
        <w:t>.</w:t>
      </w:r>
    </w:p>
    <w:p w14:paraId="79D471CC" w14:textId="77777777" w:rsidR="00041E56" w:rsidRDefault="00041E56" w:rsidP="00F6064C">
      <w:pPr>
        <w:ind w:left="720" w:hanging="720"/>
        <w:rPr>
          <w:rStyle w:val="bibliographicauthorname"/>
          <w:shd w:val="clear" w:color="auto" w:fill="FFFFFF"/>
        </w:rPr>
      </w:pPr>
    </w:p>
    <w:p w14:paraId="47D5153F" w14:textId="71CE3A45" w:rsidR="00D25C7A" w:rsidRPr="00174A2A" w:rsidRDefault="00D25C7A" w:rsidP="00F6064C">
      <w:pPr>
        <w:ind w:left="720" w:hanging="720"/>
      </w:pPr>
      <w:r w:rsidRPr="00174A2A">
        <w:t>Mackreth</w:t>
      </w:r>
      <w:r>
        <w:t xml:space="preserve"> DF (</w:t>
      </w:r>
      <w:r w:rsidRPr="00174A2A">
        <w:t>2011</w:t>
      </w:r>
      <w:r>
        <w:t>)</w:t>
      </w:r>
      <w:r w:rsidRPr="00174A2A">
        <w:t xml:space="preserve">. </w:t>
      </w:r>
      <w:r w:rsidRPr="00174A2A">
        <w:rPr>
          <w:i/>
          <w:iCs/>
        </w:rPr>
        <w:t xml:space="preserve">Brooches in Late Iron Age and Roman Britain. </w:t>
      </w:r>
      <w:r w:rsidRPr="00174A2A">
        <w:t>Oxford: Oxbow Books.</w:t>
      </w:r>
    </w:p>
    <w:p w14:paraId="07AB0B17" w14:textId="77777777" w:rsidR="00D25C7A" w:rsidRDefault="00D25C7A" w:rsidP="00F6064C">
      <w:pPr>
        <w:ind w:left="720" w:hanging="720"/>
        <w:rPr>
          <w:rStyle w:val="bibliographicauthorname"/>
          <w:shd w:val="clear" w:color="auto" w:fill="FFFFFF"/>
        </w:rPr>
      </w:pPr>
    </w:p>
    <w:p w14:paraId="65D327BD" w14:textId="0D5B7492" w:rsidR="0083271D" w:rsidRPr="00174A2A" w:rsidRDefault="0083271D" w:rsidP="00F6064C">
      <w:pPr>
        <w:ind w:left="720" w:hanging="720"/>
      </w:pPr>
      <w:r w:rsidRPr="00174A2A">
        <w:t>Morrison</w:t>
      </w:r>
      <w:r>
        <w:t xml:space="preserve"> WA</w:t>
      </w:r>
      <w:r w:rsidRPr="00174A2A">
        <w:t xml:space="preserve"> </w:t>
      </w:r>
      <w:r>
        <w:t>(</w:t>
      </w:r>
      <w:r w:rsidRPr="00174A2A">
        <w:t>2013</w:t>
      </w:r>
      <w:r>
        <w:t xml:space="preserve">) </w:t>
      </w:r>
      <w:r w:rsidRPr="00174A2A">
        <w:t xml:space="preserve">A Fresh Eye on Familiar Objects: Rethinking Toiletry Sets in Roman Britain. </w:t>
      </w:r>
      <w:r w:rsidRPr="00174A2A">
        <w:rPr>
          <w:i/>
          <w:iCs/>
        </w:rPr>
        <w:t>Oxford Journal of Archaeology</w:t>
      </w:r>
      <w:r w:rsidRPr="00174A2A">
        <w:t xml:space="preserve"> 32(2): 221–30.</w:t>
      </w:r>
    </w:p>
    <w:p w14:paraId="268F62EF" w14:textId="77777777" w:rsidR="0083271D" w:rsidRDefault="0083271D" w:rsidP="00F6064C">
      <w:pPr>
        <w:ind w:left="720" w:hanging="720"/>
        <w:rPr>
          <w:rStyle w:val="bibliographicauthorname"/>
          <w:shd w:val="clear" w:color="auto" w:fill="FFFFFF"/>
        </w:rPr>
      </w:pPr>
    </w:p>
    <w:p w14:paraId="49FFD192" w14:textId="6C922FDA" w:rsidR="00D61E22" w:rsidRDefault="004845CD" w:rsidP="00F6064C">
      <w:pPr>
        <w:ind w:left="720" w:hanging="720"/>
        <w:rPr>
          <w:shd w:val="clear" w:color="auto" w:fill="FFFFFF"/>
        </w:rPr>
      </w:pPr>
      <w:r>
        <w:rPr>
          <w:rStyle w:val="bibliographicauthorname"/>
          <w:shd w:val="clear" w:color="auto" w:fill="FFFFFF"/>
        </w:rPr>
        <w:t xml:space="preserve">Oldfather CH (trans) (1939) </w:t>
      </w:r>
      <w:r w:rsidR="00D61E22" w:rsidRPr="00174A2A">
        <w:rPr>
          <w:rStyle w:val="bibliographicauthorname"/>
          <w:shd w:val="clear" w:color="auto" w:fill="FFFFFF"/>
        </w:rPr>
        <w:t>Diodorus Siculus</w:t>
      </w:r>
      <w:r w:rsidR="00EE4862">
        <w:rPr>
          <w:shd w:val="clear" w:color="auto" w:fill="FFFFFF"/>
        </w:rPr>
        <w:t>:</w:t>
      </w:r>
      <w:r w:rsidR="00D61E22" w:rsidRPr="00174A2A">
        <w:rPr>
          <w:shd w:val="clear" w:color="auto" w:fill="FFFFFF"/>
        </w:rPr>
        <w:t> </w:t>
      </w:r>
      <w:r w:rsidR="00D61E22" w:rsidRPr="00174A2A">
        <w:rPr>
          <w:i/>
          <w:iCs/>
          <w:shd w:val="clear" w:color="auto" w:fill="FFFFFF"/>
        </w:rPr>
        <w:t>Library of History, Volume III: Books 4.59-8.</w:t>
      </w:r>
      <w:r w:rsidR="00D61E22" w:rsidRPr="00174A2A">
        <w:rPr>
          <w:shd w:val="clear" w:color="auto" w:fill="FFFFFF"/>
        </w:rPr>
        <w:t xml:space="preserve"> Cambridge: Harvard University Press.</w:t>
      </w:r>
    </w:p>
    <w:p w14:paraId="32433077" w14:textId="77777777" w:rsidR="006053AF" w:rsidRDefault="006053AF" w:rsidP="00F6064C">
      <w:pPr>
        <w:ind w:left="720" w:hanging="720"/>
      </w:pPr>
    </w:p>
    <w:p w14:paraId="7E6D3992" w14:textId="3571B66D" w:rsidR="0040116D" w:rsidRPr="00174A2A" w:rsidRDefault="0040116D" w:rsidP="00F6064C">
      <w:pPr>
        <w:ind w:left="720" w:hanging="720"/>
      </w:pPr>
      <w:r w:rsidRPr="00174A2A">
        <w:t>Olson</w:t>
      </w:r>
      <w:r>
        <w:t xml:space="preserve"> K</w:t>
      </w:r>
      <w:r w:rsidRPr="00174A2A">
        <w:t xml:space="preserve"> </w:t>
      </w:r>
      <w:r w:rsidR="0099468D">
        <w:t>(</w:t>
      </w:r>
      <w:r w:rsidRPr="00174A2A">
        <w:t>2008</w:t>
      </w:r>
      <w:r w:rsidR="0099468D">
        <w:t>)</w:t>
      </w:r>
      <w:r w:rsidRPr="00174A2A">
        <w:t xml:space="preserve"> </w:t>
      </w:r>
      <w:r w:rsidRPr="00174A2A">
        <w:rPr>
          <w:i/>
          <w:iCs/>
        </w:rPr>
        <w:t>Dress and the Roman Woman: Self-Presentation and Society</w:t>
      </w:r>
      <w:r w:rsidRPr="00174A2A">
        <w:t>. London: Routledge.</w:t>
      </w:r>
    </w:p>
    <w:p w14:paraId="34D8DB99" w14:textId="77777777" w:rsidR="0040116D" w:rsidRDefault="0040116D" w:rsidP="00F6064C">
      <w:pPr>
        <w:ind w:left="720" w:hanging="720"/>
      </w:pPr>
    </w:p>
    <w:p w14:paraId="68A36694" w14:textId="6FBDECEA" w:rsidR="006E1B0A" w:rsidRDefault="006E1B0A" w:rsidP="00F6064C">
      <w:pPr>
        <w:ind w:left="720" w:hanging="720"/>
      </w:pPr>
      <w:r>
        <w:t>Olson K (</w:t>
      </w:r>
      <w:r w:rsidRPr="00174A2A">
        <w:t>2014</w:t>
      </w:r>
      <w:r>
        <w:t>)</w:t>
      </w:r>
      <w:r w:rsidRPr="00174A2A">
        <w:t xml:space="preserve"> Masculinity, Appearance, and Sexuality: Dandies in Roman Antiquity. </w:t>
      </w:r>
      <w:r w:rsidRPr="00174A2A">
        <w:rPr>
          <w:i/>
          <w:iCs/>
        </w:rPr>
        <w:t>Journal of the History of Sexuality</w:t>
      </w:r>
      <w:r w:rsidRPr="00174A2A">
        <w:t xml:space="preserve"> 23(2): 182–205.</w:t>
      </w:r>
    </w:p>
    <w:p w14:paraId="21FBC9F1" w14:textId="77777777" w:rsidR="006E1B0A" w:rsidRDefault="006E1B0A" w:rsidP="00F6064C">
      <w:pPr>
        <w:ind w:left="720" w:hanging="720"/>
      </w:pPr>
    </w:p>
    <w:p w14:paraId="65C16CB2" w14:textId="3642A434" w:rsidR="00C742EC" w:rsidRPr="00174A2A" w:rsidRDefault="00C742EC" w:rsidP="00F6064C">
      <w:pPr>
        <w:ind w:left="720" w:hanging="720"/>
      </w:pPr>
      <w:r w:rsidRPr="00174A2A">
        <w:t>Orizaga</w:t>
      </w:r>
      <w:r>
        <w:t xml:space="preserve"> RY</w:t>
      </w:r>
      <w:r w:rsidRPr="00174A2A">
        <w:t xml:space="preserve"> </w:t>
      </w:r>
      <w:r>
        <w:t>(</w:t>
      </w:r>
      <w:r w:rsidRPr="00174A2A">
        <w:t>2013</w:t>
      </w:r>
      <w:r>
        <w:t xml:space="preserve">) </w:t>
      </w:r>
      <w:r w:rsidRPr="00174A2A">
        <w:t>Roman Cosmetics Revisited: Facial Modification and Identity. In</w:t>
      </w:r>
      <w:r>
        <w:t>: Della Casa P and Witt C (eds)</w:t>
      </w:r>
      <w:r w:rsidRPr="00174A2A">
        <w:t xml:space="preserve"> </w:t>
      </w:r>
      <w:r w:rsidRPr="00174A2A">
        <w:rPr>
          <w:i/>
          <w:iCs/>
        </w:rPr>
        <w:t>Tattoos and Body Modifications in Antiquity. Proceedings of the Sessions at the EAA Annual Meetings in The Hague and Oslo, 2010/11</w:t>
      </w:r>
      <w:r w:rsidRPr="00174A2A">
        <w:t>. Zürich: Chronos</w:t>
      </w:r>
      <w:r>
        <w:t xml:space="preserve">, pp. </w:t>
      </w:r>
      <w:r w:rsidRPr="00174A2A">
        <w:t>115–20.</w:t>
      </w:r>
    </w:p>
    <w:p w14:paraId="479978F0" w14:textId="77777777" w:rsidR="00C742EC" w:rsidRDefault="00C742EC" w:rsidP="00F6064C">
      <w:pPr>
        <w:ind w:left="720" w:hanging="720"/>
      </w:pPr>
    </w:p>
    <w:p w14:paraId="2B90A9F3" w14:textId="4A6C532F" w:rsidR="00D60752" w:rsidRPr="00174A2A" w:rsidRDefault="00D60752" w:rsidP="00F6064C">
      <w:pPr>
        <w:ind w:left="720" w:hanging="720"/>
      </w:pPr>
      <w:r w:rsidRPr="00174A2A">
        <w:t>Pommeret</w:t>
      </w:r>
      <w:r>
        <w:t xml:space="preserve"> C (</w:t>
      </w:r>
      <w:r w:rsidRPr="00174A2A">
        <w:t>ed</w:t>
      </w:r>
      <w:r>
        <w:t>) (</w:t>
      </w:r>
      <w:r w:rsidRPr="00174A2A">
        <w:t>2001</w:t>
      </w:r>
      <w:r>
        <w:t>)</w:t>
      </w:r>
      <w:r w:rsidRPr="00174A2A">
        <w:t xml:space="preserve"> </w:t>
      </w:r>
      <w:r w:rsidRPr="00174A2A">
        <w:rPr>
          <w:i/>
          <w:iCs/>
        </w:rPr>
        <w:t>Le Sanctuaire Antique des Bolards à Nuits-Saint-Georges (Côte-d’Or)</w:t>
      </w:r>
      <w:r w:rsidRPr="00174A2A">
        <w:t>. Dijon: ARTEHIS Editions.</w:t>
      </w:r>
    </w:p>
    <w:p w14:paraId="23847531" w14:textId="77777777" w:rsidR="00D60752" w:rsidRDefault="00D60752" w:rsidP="00F6064C">
      <w:pPr>
        <w:ind w:left="720" w:hanging="720"/>
      </w:pPr>
    </w:p>
    <w:p w14:paraId="6006A0BB" w14:textId="109E9DEE" w:rsidR="00D835A6" w:rsidRPr="00174A2A" w:rsidRDefault="00D835A6" w:rsidP="00F6064C">
      <w:pPr>
        <w:ind w:left="720" w:hanging="720"/>
      </w:pPr>
      <w:r w:rsidRPr="00174A2A">
        <w:t>Rémy</w:t>
      </w:r>
      <w:r>
        <w:t xml:space="preserve"> B</w:t>
      </w:r>
      <w:r w:rsidRPr="00174A2A">
        <w:t xml:space="preserve"> and Mathieu</w:t>
      </w:r>
      <w:r>
        <w:t xml:space="preserve"> N</w:t>
      </w:r>
      <w:r w:rsidRPr="00174A2A">
        <w:t xml:space="preserve"> </w:t>
      </w:r>
      <w:r>
        <w:t>(</w:t>
      </w:r>
      <w:r w:rsidRPr="00174A2A">
        <w:t>2009</w:t>
      </w:r>
      <w:r>
        <w:t>)</w:t>
      </w:r>
      <w:r w:rsidRPr="00174A2A">
        <w:t xml:space="preserve"> </w:t>
      </w:r>
      <w:r w:rsidRPr="00174A2A">
        <w:rPr>
          <w:i/>
          <w:iCs/>
        </w:rPr>
        <w:t>Les Femmes en Gaule Romaine : Ier Siècle Avant J-C - Ve Siècle Après J-C</w:t>
      </w:r>
      <w:r w:rsidRPr="00174A2A">
        <w:t>. Paris: Editions Errance.</w:t>
      </w:r>
    </w:p>
    <w:p w14:paraId="5F1FBF9C" w14:textId="77777777" w:rsidR="00D835A6" w:rsidRDefault="00D835A6" w:rsidP="00F6064C">
      <w:pPr>
        <w:ind w:left="720" w:hanging="720"/>
      </w:pPr>
    </w:p>
    <w:p w14:paraId="2A1C4685" w14:textId="287D046E" w:rsidR="00B70397" w:rsidRDefault="00B70397" w:rsidP="00F6064C">
      <w:pPr>
        <w:ind w:left="720" w:hanging="720"/>
      </w:pPr>
      <w:r>
        <w:t>Revell L (</w:t>
      </w:r>
      <w:r w:rsidRPr="00174A2A">
        <w:t>2015</w:t>
      </w:r>
      <w:r>
        <w:t>)</w:t>
      </w:r>
      <w:r w:rsidRPr="00174A2A">
        <w:t xml:space="preserve"> </w:t>
      </w:r>
      <w:r w:rsidRPr="00174A2A">
        <w:rPr>
          <w:i/>
          <w:iCs/>
        </w:rPr>
        <w:t>Ways of Being Roman: Discourses of Identity in the Roman West</w:t>
      </w:r>
      <w:r w:rsidRPr="00174A2A">
        <w:t>. Oxford: Oxbow Books.</w:t>
      </w:r>
    </w:p>
    <w:p w14:paraId="3C2B8FB1" w14:textId="77777777" w:rsidR="00F162E3" w:rsidRDefault="00F162E3" w:rsidP="00F6064C">
      <w:pPr>
        <w:ind w:left="720" w:hanging="720"/>
      </w:pPr>
    </w:p>
    <w:p w14:paraId="4DE3D1D4" w14:textId="0086D608" w:rsidR="005E3688" w:rsidRPr="00174A2A" w:rsidRDefault="005E3688" w:rsidP="00F6064C">
      <w:pPr>
        <w:ind w:left="720" w:hanging="720"/>
      </w:pPr>
      <w:r w:rsidRPr="00174A2A">
        <w:t>Scheidel</w:t>
      </w:r>
      <w:r>
        <w:t xml:space="preserve"> W</w:t>
      </w:r>
      <w:r w:rsidRPr="00174A2A">
        <w:t xml:space="preserve"> </w:t>
      </w:r>
      <w:r>
        <w:t>(</w:t>
      </w:r>
      <w:r w:rsidRPr="00174A2A">
        <w:t>1995</w:t>
      </w:r>
      <w:r>
        <w:t xml:space="preserve">) </w:t>
      </w:r>
      <w:r w:rsidRPr="00174A2A">
        <w:t xml:space="preserve">The Most Silent Women of Greece and Rome: Rural Labour and Women’s Life in the Ancient World. </w:t>
      </w:r>
      <w:r w:rsidRPr="00174A2A">
        <w:rPr>
          <w:i/>
          <w:iCs/>
        </w:rPr>
        <w:t>Greece &amp; Rome</w:t>
      </w:r>
      <w:r w:rsidRPr="00174A2A">
        <w:t xml:space="preserve"> 42(2): 202–18.</w:t>
      </w:r>
    </w:p>
    <w:p w14:paraId="37E7ACFA" w14:textId="77777777" w:rsidR="005E3688" w:rsidRDefault="005E3688" w:rsidP="00F6064C">
      <w:pPr>
        <w:ind w:left="720" w:hanging="720"/>
      </w:pPr>
    </w:p>
    <w:p w14:paraId="00AB9BD6" w14:textId="7392BFD3" w:rsidR="00537508" w:rsidRPr="00174A2A" w:rsidRDefault="00537508" w:rsidP="00F6064C">
      <w:pPr>
        <w:ind w:left="720" w:hanging="720"/>
      </w:pPr>
      <w:r w:rsidRPr="00174A2A">
        <w:t>Shaffrey</w:t>
      </w:r>
      <w:r>
        <w:t xml:space="preserve"> R</w:t>
      </w:r>
      <w:r w:rsidRPr="00174A2A">
        <w:t xml:space="preserve"> </w:t>
      </w:r>
      <w:r>
        <w:t>(</w:t>
      </w:r>
      <w:r w:rsidRPr="00174A2A">
        <w:t>2021</w:t>
      </w:r>
      <w:r>
        <w:t xml:space="preserve">) </w:t>
      </w:r>
      <w:r w:rsidRPr="00174A2A">
        <w:t xml:space="preserve">Feeding Roman Silchester: Querns and Millstones in and around Roman Towns. </w:t>
      </w:r>
      <w:r w:rsidRPr="00174A2A">
        <w:rPr>
          <w:i/>
          <w:iCs/>
        </w:rPr>
        <w:t>Britannia</w:t>
      </w:r>
      <w:r w:rsidRPr="00174A2A">
        <w:t xml:space="preserve"> 52: 33–65.</w:t>
      </w:r>
    </w:p>
    <w:p w14:paraId="0535EC01" w14:textId="77777777" w:rsidR="00537508" w:rsidRDefault="00537508" w:rsidP="00F6064C">
      <w:pPr>
        <w:ind w:left="720" w:hanging="720"/>
      </w:pPr>
    </w:p>
    <w:p w14:paraId="70564848" w14:textId="38F25575" w:rsidR="006053AF" w:rsidRPr="00174A2A" w:rsidRDefault="006053AF" w:rsidP="00F6064C">
      <w:pPr>
        <w:ind w:left="720" w:hanging="720"/>
      </w:pPr>
      <w:r w:rsidRPr="00174A2A">
        <w:t>Swift</w:t>
      </w:r>
      <w:r>
        <w:t xml:space="preserve"> E</w:t>
      </w:r>
      <w:r w:rsidRPr="00174A2A">
        <w:t xml:space="preserve"> </w:t>
      </w:r>
      <w:r>
        <w:t>(</w:t>
      </w:r>
      <w:r w:rsidRPr="00174A2A">
        <w:t>2000</w:t>
      </w:r>
      <w:r>
        <w:t>)</w:t>
      </w:r>
      <w:r w:rsidRPr="00174A2A">
        <w:t xml:space="preserve"> </w:t>
      </w:r>
      <w:r w:rsidRPr="00174A2A">
        <w:rPr>
          <w:i/>
          <w:iCs/>
        </w:rPr>
        <w:t xml:space="preserve">Regionality in Dress Accessories in the Late Roman West. </w:t>
      </w:r>
      <w:r w:rsidRPr="00174A2A">
        <w:t>Montagnac: Editions Monique Mergoil.</w:t>
      </w:r>
    </w:p>
    <w:p w14:paraId="3D152C6E" w14:textId="77777777" w:rsidR="006053AF" w:rsidRDefault="006053AF" w:rsidP="00F6064C">
      <w:pPr>
        <w:ind w:left="720" w:hanging="720"/>
      </w:pPr>
    </w:p>
    <w:p w14:paraId="306463BB" w14:textId="2D22F28D" w:rsidR="00C82FF9" w:rsidRPr="00174A2A" w:rsidRDefault="00C82FF9" w:rsidP="00F6064C">
      <w:pPr>
        <w:ind w:left="720" w:hanging="720"/>
      </w:pPr>
      <w:r w:rsidRPr="00174A2A">
        <w:t>Treggiari</w:t>
      </w:r>
      <w:r>
        <w:t xml:space="preserve"> S</w:t>
      </w:r>
      <w:r w:rsidRPr="00174A2A">
        <w:t xml:space="preserve"> </w:t>
      </w:r>
      <w:r>
        <w:t>(</w:t>
      </w:r>
      <w:r w:rsidRPr="00174A2A">
        <w:t>1979</w:t>
      </w:r>
      <w:r>
        <w:t>)</w:t>
      </w:r>
      <w:r w:rsidRPr="00174A2A">
        <w:t xml:space="preserve"> Lower Class Women in the Roman Economy. </w:t>
      </w:r>
      <w:r w:rsidRPr="00174A2A">
        <w:rPr>
          <w:i/>
          <w:iCs/>
        </w:rPr>
        <w:t>Florilegium</w:t>
      </w:r>
      <w:r w:rsidRPr="00174A2A">
        <w:t xml:space="preserve"> 1: 65–86.</w:t>
      </w:r>
    </w:p>
    <w:p w14:paraId="6F3070CD" w14:textId="77777777" w:rsidR="00C82FF9" w:rsidRPr="00174A2A" w:rsidRDefault="00C82FF9" w:rsidP="00F6064C">
      <w:pPr>
        <w:ind w:left="720" w:hanging="720"/>
      </w:pPr>
    </w:p>
    <w:p w14:paraId="3CB42497" w14:textId="77777777" w:rsidR="00386BC4" w:rsidRPr="00386BC4" w:rsidRDefault="00386BC4" w:rsidP="00F6064C"/>
    <w:sectPr w:rsidR="00386BC4" w:rsidRPr="00386BC4" w:rsidSect="003D5ED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5EDC8A" w14:textId="77777777" w:rsidR="003D5EDA" w:rsidRDefault="003D5EDA" w:rsidP="00C61B21">
      <w:r>
        <w:separator/>
      </w:r>
    </w:p>
  </w:endnote>
  <w:endnote w:type="continuationSeparator" w:id="0">
    <w:p w14:paraId="6EA9000F" w14:textId="77777777" w:rsidR="003D5EDA" w:rsidRDefault="003D5EDA" w:rsidP="00C61B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955ABD" w14:textId="77777777" w:rsidR="003D5EDA" w:rsidRDefault="003D5EDA" w:rsidP="00C61B21">
      <w:r>
        <w:separator/>
      </w:r>
    </w:p>
  </w:footnote>
  <w:footnote w:type="continuationSeparator" w:id="0">
    <w:p w14:paraId="7FE84AF4" w14:textId="77777777" w:rsidR="003D5EDA" w:rsidRDefault="003D5EDA" w:rsidP="00C61B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7271BE"/>
    <w:multiLevelType w:val="hybridMultilevel"/>
    <w:tmpl w:val="9782F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09D3B2E"/>
    <w:multiLevelType w:val="hybridMultilevel"/>
    <w:tmpl w:val="216217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850761A"/>
    <w:multiLevelType w:val="hybridMultilevel"/>
    <w:tmpl w:val="1AD23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67324824">
    <w:abstractNumId w:val="1"/>
  </w:num>
  <w:num w:numId="2" w16cid:durableId="483161037">
    <w:abstractNumId w:val="2"/>
  </w:num>
  <w:num w:numId="3" w16cid:durableId="11839821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7"/>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B21"/>
    <w:rsid w:val="000143A8"/>
    <w:rsid w:val="00035997"/>
    <w:rsid w:val="00041E56"/>
    <w:rsid w:val="0006752C"/>
    <w:rsid w:val="000933B7"/>
    <w:rsid w:val="000A69E8"/>
    <w:rsid w:val="000E63B7"/>
    <w:rsid w:val="0011031E"/>
    <w:rsid w:val="0015391D"/>
    <w:rsid w:val="00156C9F"/>
    <w:rsid w:val="001651E3"/>
    <w:rsid w:val="001A52ED"/>
    <w:rsid w:val="001D3DBD"/>
    <w:rsid w:val="00224985"/>
    <w:rsid w:val="002515E7"/>
    <w:rsid w:val="00253452"/>
    <w:rsid w:val="002550E3"/>
    <w:rsid w:val="00260358"/>
    <w:rsid w:val="002762A7"/>
    <w:rsid w:val="00286469"/>
    <w:rsid w:val="002A4D18"/>
    <w:rsid w:val="002B5093"/>
    <w:rsid w:val="002B56C8"/>
    <w:rsid w:val="002E2897"/>
    <w:rsid w:val="002E52FB"/>
    <w:rsid w:val="00310296"/>
    <w:rsid w:val="00317804"/>
    <w:rsid w:val="00384CBA"/>
    <w:rsid w:val="00386BC4"/>
    <w:rsid w:val="003B611B"/>
    <w:rsid w:val="003C67F8"/>
    <w:rsid w:val="003D05E9"/>
    <w:rsid w:val="003D5EDA"/>
    <w:rsid w:val="0040116D"/>
    <w:rsid w:val="00403C8B"/>
    <w:rsid w:val="00461D86"/>
    <w:rsid w:val="004845CD"/>
    <w:rsid w:val="00495AC0"/>
    <w:rsid w:val="004C4977"/>
    <w:rsid w:val="004C5E83"/>
    <w:rsid w:val="004C692A"/>
    <w:rsid w:val="004F35E9"/>
    <w:rsid w:val="00524A9F"/>
    <w:rsid w:val="00537508"/>
    <w:rsid w:val="00577058"/>
    <w:rsid w:val="005870EE"/>
    <w:rsid w:val="00597A4B"/>
    <w:rsid w:val="005C4E4A"/>
    <w:rsid w:val="005D5730"/>
    <w:rsid w:val="005E3688"/>
    <w:rsid w:val="00604ED7"/>
    <w:rsid w:val="006053AF"/>
    <w:rsid w:val="00626988"/>
    <w:rsid w:val="006A7633"/>
    <w:rsid w:val="006E1B0A"/>
    <w:rsid w:val="006E70BC"/>
    <w:rsid w:val="00724591"/>
    <w:rsid w:val="00760ABE"/>
    <w:rsid w:val="007B5206"/>
    <w:rsid w:val="007D7E3B"/>
    <w:rsid w:val="007E5582"/>
    <w:rsid w:val="0080424F"/>
    <w:rsid w:val="0083271D"/>
    <w:rsid w:val="00843B3F"/>
    <w:rsid w:val="00862F2A"/>
    <w:rsid w:val="0086385C"/>
    <w:rsid w:val="008C6C23"/>
    <w:rsid w:val="008D34EE"/>
    <w:rsid w:val="009113F3"/>
    <w:rsid w:val="00957374"/>
    <w:rsid w:val="009941F2"/>
    <w:rsid w:val="00994660"/>
    <w:rsid w:val="0099468D"/>
    <w:rsid w:val="009E5B3E"/>
    <w:rsid w:val="00A1771C"/>
    <w:rsid w:val="00A254DA"/>
    <w:rsid w:val="00A57308"/>
    <w:rsid w:val="00AD043C"/>
    <w:rsid w:val="00AF1382"/>
    <w:rsid w:val="00B16ECF"/>
    <w:rsid w:val="00B22E29"/>
    <w:rsid w:val="00B70397"/>
    <w:rsid w:val="00B77170"/>
    <w:rsid w:val="00B929B4"/>
    <w:rsid w:val="00BA1713"/>
    <w:rsid w:val="00BB2C06"/>
    <w:rsid w:val="00BB7810"/>
    <w:rsid w:val="00BF76DE"/>
    <w:rsid w:val="00C160F0"/>
    <w:rsid w:val="00C52A14"/>
    <w:rsid w:val="00C61B21"/>
    <w:rsid w:val="00C742EC"/>
    <w:rsid w:val="00C82FF9"/>
    <w:rsid w:val="00C87715"/>
    <w:rsid w:val="00CB7EDE"/>
    <w:rsid w:val="00CC24DF"/>
    <w:rsid w:val="00CC51C0"/>
    <w:rsid w:val="00CE0E5C"/>
    <w:rsid w:val="00CE3409"/>
    <w:rsid w:val="00CE528F"/>
    <w:rsid w:val="00D25C7A"/>
    <w:rsid w:val="00D527B6"/>
    <w:rsid w:val="00D60752"/>
    <w:rsid w:val="00D61E22"/>
    <w:rsid w:val="00D803B2"/>
    <w:rsid w:val="00D835A6"/>
    <w:rsid w:val="00D94853"/>
    <w:rsid w:val="00DA2F63"/>
    <w:rsid w:val="00DC7DAB"/>
    <w:rsid w:val="00DD2C12"/>
    <w:rsid w:val="00DE5ED1"/>
    <w:rsid w:val="00E001C1"/>
    <w:rsid w:val="00E1281B"/>
    <w:rsid w:val="00E17524"/>
    <w:rsid w:val="00E95D15"/>
    <w:rsid w:val="00EC458D"/>
    <w:rsid w:val="00EE4862"/>
    <w:rsid w:val="00EE4D31"/>
    <w:rsid w:val="00EF7083"/>
    <w:rsid w:val="00F06BE9"/>
    <w:rsid w:val="00F15052"/>
    <w:rsid w:val="00F162E3"/>
    <w:rsid w:val="00F2476F"/>
    <w:rsid w:val="00F52207"/>
    <w:rsid w:val="00F6064C"/>
    <w:rsid w:val="00F717FB"/>
    <w:rsid w:val="00F832CB"/>
    <w:rsid w:val="00FA25D9"/>
    <w:rsid w:val="00FA71A6"/>
    <w:rsid w:val="00FE71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DA2A46E"/>
  <w14:defaultImageDpi w14:val="32767"/>
  <w15:chartTrackingRefBased/>
  <w15:docId w15:val="{40866186-3D85-1149-B44F-72DAA4868C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C61B21"/>
    <w:rPr>
      <w:rFonts w:ascii="Times New Roman" w:eastAsia="Times New Roman" w:hAnsi="Times New Roman" w:cs="Times New Roman"/>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C61B21"/>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rsid w:val="00C61B21"/>
    <w:rPr>
      <w:kern w:val="0"/>
      <w:sz w:val="20"/>
      <w:szCs w:val="20"/>
      <w14:ligatures w14:val="none"/>
    </w:rPr>
  </w:style>
  <w:style w:type="character" w:styleId="FootnoteReference">
    <w:name w:val="footnote reference"/>
    <w:basedOn w:val="DefaultParagraphFont"/>
    <w:uiPriority w:val="99"/>
    <w:unhideWhenUsed/>
    <w:rsid w:val="00C61B21"/>
    <w:rPr>
      <w:vertAlign w:val="superscript"/>
    </w:rPr>
  </w:style>
  <w:style w:type="paragraph" w:styleId="ListParagraph">
    <w:name w:val="List Paragraph"/>
    <w:basedOn w:val="Normal"/>
    <w:uiPriority w:val="34"/>
    <w:qFormat/>
    <w:rsid w:val="00C61B21"/>
    <w:pPr>
      <w:ind w:left="720"/>
      <w:contextualSpacing/>
    </w:pPr>
    <w:rPr>
      <w:rFonts w:asciiTheme="minorHAnsi" w:eastAsiaTheme="minorHAnsi" w:hAnsiTheme="minorHAnsi" w:cstheme="minorBidi"/>
    </w:rPr>
  </w:style>
  <w:style w:type="character" w:customStyle="1" w:styleId="bibliographicauthorname">
    <w:name w:val="bibliographicauthorname"/>
    <w:basedOn w:val="DefaultParagraphFont"/>
    <w:rsid w:val="00D61E22"/>
  </w:style>
  <w:style w:type="character" w:customStyle="1" w:styleId="translators">
    <w:name w:val="translators"/>
    <w:basedOn w:val="DefaultParagraphFont"/>
    <w:rsid w:val="00D61E22"/>
  </w:style>
  <w:style w:type="character" w:customStyle="1" w:styleId="contributorname">
    <w:name w:val="contributorname"/>
    <w:basedOn w:val="DefaultParagraphFont"/>
    <w:rsid w:val="00D61E22"/>
  </w:style>
  <w:style w:type="character" w:styleId="Hyperlink">
    <w:name w:val="Hyperlink"/>
    <w:basedOn w:val="DefaultParagraphFont"/>
    <w:uiPriority w:val="99"/>
    <w:unhideWhenUsed/>
    <w:rsid w:val="009E5B3E"/>
    <w:rPr>
      <w:color w:val="0000FF"/>
      <w:u w:val="single"/>
    </w:rPr>
  </w:style>
  <w:style w:type="character" w:styleId="FollowedHyperlink">
    <w:name w:val="FollowedHyperlink"/>
    <w:basedOn w:val="DefaultParagraphFont"/>
    <w:uiPriority w:val="99"/>
    <w:semiHidden/>
    <w:unhideWhenUsed/>
    <w:rsid w:val="009E5B3E"/>
    <w:rPr>
      <w:color w:val="954F72" w:themeColor="followedHyperlink"/>
      <w:u w:val="single"/>
    </w:rPr>
  </w:style>
  <w:style w:type="character" w:styleId="UnresolvedMention">
    <w:name w:val="Unresolved Mention"/>
    <w:basedOn w:val="DefaultParagraphFont"/>
    <w:uiPriority w:val="99"/>
    <w:rsid w:val="009E5B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romaninscriptionsofbritain.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134</TotalTime>
  <Pages>8</Pages>
  <Words>3636</Words>
  <Characters>20112</Characters>
  <Application>Microsoft Office Word</Application>
  <DocSecurity>0</DocSecurity>
  <Lines>427</Lines>
  <Paragraphs>188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Alena S. Wigodner</dc:creator>
  <cp:keywords/>
  <dc:description/>
  <cp:lastModifiedBy>Alena S. Wigodner</cp:lastModifiedBy>
  <cp:revision>120</cp:revision>
  <dcterms:created xsi:type="dcterms:W3CDTF">2024-01-31T02:21:00Z</dcterms:created>
  <dcterms:modified xsi:type="dcterms:W3CDTF">2024-04-20T01:31:00Z</dcterms:modified>
</cp:coreProperties>
</file>