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3574" w14:textId="5021D007" w:rsidR="00C736C4" w:rsidRDefault="00C736C4" w:rsidP="00C736C4">
      <w:pPr>
        <w:pStyle w:val="Heading1"/>
        <w:numPr>
          <w:ilvl w:val="0"/>
          <w:numId w:val="0"/>
        </w:numPr>
      </w:pPr>
      <w:r>
        <w:t xml:space="preserve">Appendix </w:t>
      </w:r>
      <w:r w:rsidR="00633F16">
        <w:t>S</w:t>
      </w:r>
      <w:r w:rsidR="00535D92">
        <w:t>1</w:t>
      </w:r>
    </w:p>
    <w:p w14:paraId="52A9611B" w14:textId="68F5DA04" w:rsidR="00C736C4" w:rsidRPr="002F29A3" w:rsidRDefault="00C736C4" w:rsidP="00C736C4">
      <w:pPr>
        <w:pStyle w:val="Subtitle"/>
        <w:rPr>
          <w:rStyle w:val="SubtleEmphasis"/>
          <w:i w:val="0"/>
          <w:iCs w:val="0"/>
        </w:rPr>
      </w:pPr>
      <w:r>
        <w:rPr>
          <w:rStyle w:val="SubtleEmphasis"/>
          <w:i w:val="0"/>
          <w:iCs w:val="0"/>
        </w:rPr>
        <w:t xml:space="preserve">Calculations for </w:t>
      </w:r>
      <w:r w:rsidRPr="002F29A3">
        <w:rPr>
          <w:rStyle w:val="SubtleEmphasis"/>
          <w:i w:val="0"/>
          <w:iCs w:val="0"/>
        </w:rPr>
        <w:t>Perinate Age in Foetal Weeks</w:t>
      </w:r>
    </w:p>
    <w:p w14:paraId="46FF2AF7" w14:textId="12EC3BA8" w:rsidR="00C736C4" w:rsidRPr="00D31856" w:rsidRDefault="006916B0" w:rsidP="00C736C4">
      <w:pPr>
        <w:ind w:firstLine="567"/>
      </w:pPr>
      <w:r>
        <w:t>T</w:t>
      </w:r>
      <w:r w:rsidR="00C736C4" w:rsidRPr="00D31856">
        <w:t xml:space="preserve">he high number of perinates at Khok Phanom Di lent itself to a closer examination of age, (Franklin, 2010; Cunningham et al., 2016). In addition to Tayles’s (1999) age estimates, a further assessment of age was made for perinatal individuals by calculating foetal weeks from diaphyseal measurements recorded from Halcrow et al. (2008) and Tayles (1999). It is difficult to calculate an accurate length of gestation for new-borns; as Cunningham et al. point out, separate disciplines record age differently, and the weight and length of a full-term baby are population dependent (2016, 7-8). </w:t>
      </w:r>
    </w:p>
    <w:p w14:paraId="46202C02" w14:textId="53E9F8A7" w:rsidR="00C736C4" w:rsidRPr="00D31856" w:rsidRDefault="00C736C4" w:rsidP="00C736C4">
      <w:pPr>
        <w:ind w:firstLine="567"/>
        <w:rPr>
          <w:rFonts w:ascii="Garamond" w:hAnsi="Garamond"/>
        </w:rPr>
      </w:pPr>
      <w:r w:rsidRPr="00D31856">
        <w:t>Age in foetal weeks was calculated for</w:t>
      </w:r>
      <w:r w:rsidRPr="00D31856">
        <w:rPr>
          <w:rFonts w:ascii="Garamond" w:hAnsi="Garamond"/>
        </w:rPr>
        <w:t xml:space="preserve"> perinates from diaphyseal long bone measurements reported in both Halcrow et al., (2008) and Tayles (1999). The latter published maximum diaphyseal lengths of infants, children and adolescents. Halcrow and colleagues (2008) published the diaphyseal lengths for 49 perinatal individuals from Khok Phanom Di, comparing age distribution to other Thai sites</w:t>
      </w:r>
      <w:r w:rsidRPr="00D31856">
        <w:rPr>
          <w:rStyle w:val="FootnoteReference"/>
          <w:rFonts w:ascii="Garamond" w:hAnsi="Garamond"/>
        </w:rPr>
        <w:footnoteReference w:id="1"/>
      </w:r>
      <w:r w:rsidRPr="00D31856">
        <w:rPr>
          <w:rFonts w:ascii="Garamond" w:hAnsi="Garamond"/>
        </w:rPr>
        <w:t xml:space="preserve">. </w:t>
      </w:r>
      <w:r w:rsidRPr="00D31856">
        <w:t>Halcrow et al. (2008) took measurements in millimetres, to one decimal place, using the Buikstra and Ubelaker (1994) standard with Mitutoyo digital callipers. Tayles (1999) also recorded to one decimal place</w:t>
      </w:r>
      <w:r w:rsidRPr="00D31856">
        <w:rPr>
          <w:rStyle w:val="FootnoteReference"/>
        </w:rPr>
        <w:footnoteReference w:id="2"/>
      </w:r>
      <w:r w:rsidRPr="00D31856">
        <w:t xml:space="preserve">. </w:t>
      </w:r>
      <w:r w:rsidRPr="00D31856">
        <w:rPr>
          <w:rFonts w:ascii="Garamond" w:hAnsi="Garamond"/>
        </w:rPr>
        <w:t>The individuals measured by Tayles (1999) and Halcrow et al. (2008) largely overlapped</w:t>
      </w:r>
      <w:r>
        <w:rPr>
          <w:rFonts w:ascii="Garamond" w:hAnsi="Garamond"/>
        </w:rPr>
        <w:t>; however,</w:t>
      </w:r>
      <w:r w:rsidRPr="00D31856">
        <w:rPr>
          <w:rFonts w:ascii="Garamond" w:hAnsi="Garamond"/>
        </w:rPr>
        <w:t xml:space="preserve"> not entirely. In order to age more perinate individuals, it was desirable to combine the datasets. However, if there had been significant interobserver variability between the two sets of measurements it would increase error for individuals where only one set of measurements existed. In order to establish whether the two datasets could be combined it was necessary to confirm if there was a statistically significant difference or a difference in equivalence between the measurements taken by both authors. The measurements suitable for comparison were the diaphyseal length of the humerus, ulna, radius, femur and tibia. It was not possible to access whether measurements of the fibulae were significantly different as only Halcrow et al. (2008) had included them in their study. Comparison of 44 individuals was carried out using a paired samples t-test for the humerus, radius, and tibia as they met the assumption of normal distribution; and a Wilcoxon signed rank test for the ulna, and </w:t>
      </w:r>
      <w:r w:rsidRPr="00D31856">
        <w:rPr>
          <w:rFonts w:ascii="Garamond" w:hAnsi="Garamond"/>
        </w:rPr>
        <w:lastRenderedPageBreak/>
        <w:t xml:space="preserve">femur as they did not have a normal distribution; with significance set at 95% (p value &lt;0.05). The paired sample t-tests of the humeri suggests a significant difference between the measurements made by the two authors different (t=2.59, </w:t>
      </w:r>
      <w:proofErr w:type="spellStart"/>
      <w:r w:rsidRPr="00D31856">
        <w:rPr>
          <w:rFonts w:ascii="Garamond" w:hAnsi="Garamond"/>
        </w:rPr>
        <w:t>df</w:t>
      </w:r>
      <w:proofErr w:type="spellEnd"/>
      <w:r w:rsidRPr="00D31856">
        <w:rPr>
          <w:rFonts w:ascii="Garamond" w:hAnsi="Garamond"/>
        </w:rPr>
        <w:t xml:space="preserve">=32, </w:t>
      </w:r>
      <w:r w:rsidRPr="00D31856">
        <w:rPr>
          <w:rFonts w:ascii="Garamond" w:hAnsi="Garamond"/>
          <w:i/>
          <w:iCs/>
        </w:rPr>
        <w:t>p</w:t>
      </w:r>
      <w:r w:rsidRPr="00D31856">
        <w:rPr>
          <w:rFonts w:ascii="Garamond" w:hAnsi="Garamond"/>
        </w:rPr>
        <w:t xml:space="preserve">=0.01). However, the tests suggest there was not a significant difference between radial (t=-1.08, </w:t>
      </w:r>
      <w:proofErr w:type="spellStart"/>
      <w:r w:rsidRPr="00D31856">
        <w:rPr>
          <w:rFonts w:ascii="Garamond" w:hAnsi="Garamond"/>
        </w:rPr>
        <w:t>df</w:t>
      </w:r>
      <w:proofErr w:type="spellEnd"/>
      <w:r w:rsidRPr="00D31856">
        <w:rPr>
          <w:rFonts w:ascii="Garamond" w:hAnsi="Garamond"/>
        </w:rPr>
        <w:t xml:space="preserve">=22, </w:t>
      </w:r>
      <w:r w:rsidRPr="00D31856">
        <w:rPr>
          <w:rFonts w:ascii="Garamond" w:hAnsi="Garamond"/>
          <w:i/>
          <w:iCs/>
        </w:rPr>
        <w:t>p</w:t>
      </w:r>
      <w:r w:rsidRPr="00D31856">
        <w:rPr>
          <w:rFonts w:ascii="Garamond" w:hAnsi="Garamond"/>
        </w:rPr>
        <w:t xml:space="preserve">=0.29), femoral (t=-0.86, </w:t>
      </w:r>
      <w:proofErr w:type="spellStart"/>
      <w:r w:rsidRPr="00D31856">
        <w:rPr>
          <w:rFonts w:ascii="Garamond" w:hAnsi="Garamond"/>
        </w:rPr>
        <w:t>df</w:t>
      </w:r>
      <w:proofErr w:type="spellEnd"/>
      <w:r w:rsidRPr="00D31856">
        <w:rPr>
          <w:rFonts w:ascii="Garamond" w:hAnsi="Garamond"/>
        </w:rPr>
        <w:t xml:space="preserve">=33, </w:t>
      </w:r>
      <w:r w:rsidRPr="00D31856">
        <w:rPr>
          <w:rFonts w:ascii="Garamond" w:hAnsi="Garamond"/>
          <w:i/>
          <w:iCs/>
        </w:rPr>
        <w:t>p</w:t>
      </w:r>
      <w:r w:rsidRPr="00D31856">
        <w:rPr>
          <w:rFonts w:ascii="Garamond" w:hAnsi="Garamond"/>
        </w:rPr>
        <w:t xml:space="preserve">=0.40), and tibial (t=1.81, </w:t>
      </w:r>
      <w:proofErr w:type="spellStart"/>
      <w:r w:rsidRPr="00D31856">
        <w:rPr>
          <w:rFonts w:ascii="Garamond" w:hAnsi="Garamond"/>
        </w:rPr>
        <w:t>df</w:t>
      </w:r>
      <w:proofErr w:type="spellEnd"/>
      <w:r w:rsidRPr="00D31856">
        <w:rPr>
          <w:rFonts w:ascii="Garamond" w:hAnsi="Garamond"/>
        </w:rPr>
        <w:t xml:space="preserve">=32, </w:t>
      </w:r>
      <w:r w:rsidRPr="00D31856">
        <w:rPr>
          <w:rFonts w:ascii="Garamond" w:hAnsi="Garamond"/>
          <w:i/>
          <w:iCs/>
        </w:rPr>
        <w:t>p</w:t>
      </w:r>
      <w:r w:rsidRPr="00D31856">
        <w:rPr>
          <w:rFonts w:ascii="Garamond" w:hAnsi="Garamond"/>
        </w:rPr>
        <w:t xml:space="preserve">=0.08) measurements taken by Tayles (1999) and Halcrow et al. (2008). The Wilcoxon signed rank test suggests that there is no significant difference between the ulna (V=110, </w:t>
      </w:r>
      <w:r w:rsidRPr="00D31856">
        <w:rPr>
          <w:rFonts w:ascii="Garamond" w:hAnsi="Garamond"/>
          <w:i/>
          <w:iCs/>
        </w:rPr>
        <w:t>p</w:t>
      </w:r>
      <w:r w:rsidRPr="00D31856">
        <w:rPr>
          <w:rFonts w:ascii="Garamond" w:hAnsi="Garamond"/>
        </w:rPr>
        <w:t xml:space="preserve">=0.56) and the femoral (V=142.5, </w:t>
      </w:r>
      <w:r w:rsidRPr="00D31856">
        <w:rPr>
          <w:rFonts w:ascii="Garamond" w:hAnsi="Garamond"/>
          <w:i/>
          <w:iCs/>
        </w:rPr>
        <w:t>p</w:t>
      </w:r>
      <w:r w:rsidRPr="00D31856">
        <w:rPr>
          <w:rFonts w:ascii="Garamond" w:hAnsi="Garamond"/>
        </w:rPr>
        <w:t>=0.41) measurements in the two publications. A paired two one-sided test (TOST) for equivalence was also carried out on the five pairs of measurements, with a 95% TOST interval and tolerance of 1mm</w:t>
      </w:r>
      <w:r w:rsidRPr="00D31856">
        <w:rPr>
          <w:rStyle w:val="FootnoteReference"/>
          <w:rFonts w:ascii="Garamond" w:hAnsi="Garamond"/>
        </w:rPr>
        <w:footnoteReference w:id="3"/>
      </w:r>
      <w:r w:rsidRPr="00D31856">
        <w:rPr>
          <w:rFonts w:ascii="Garamond" w:hAnsi="Garamond"/>
        </w:rPr>
        <w:t xml:space="preserve"> (humerus </w:t>
      </w:r>
      <w:r w:rsidRPr="00D31856">
        <w:rPr>
          <w:rFonts w:ascii="Garamond" w:hAnsi="Garamond"/>
          <w:i/>
          <w:iCs/>
        </w:rPr>
        <w:t>p</w:t>
      </w:r>
      <w:r w:rsidRPr="00D31856">
        <w:rPr>
          <w:rFonts w:ascii="Garamond" w:hAnsi="Garamond"/>
        </w:rPr>
        <w:t xml:space="preserve">=0.40; radius </w:t>
      </w:r>
      <w:r w:rsidRPr="00D31856">
        <w:rPr>
          <w:rFonts w:ascii="Garamond" w:hAnsi="Garamond"/>
          <w:i/>
          <w:iCs/>
        </w:rPr>
        <w:t>p</w:t>
      </w:r>
      <w:r w:rsidRPr="00D31856">
        <w:rPr>
          <w:rFonts w:ascii="Garamond" w:hAnsi="Garamond"/>
        </w:rPr>
        <w:t xml:space="preserve">=2.25e-07; ulna </w:t>
      </w:r>
      <w:r w:rsidRPr="00D31856">
        <w:rPr>
          <w:rFonts w:ascii="Garamond" w:hAnsi="Garamond"/>
          <w:i/>
          <w:iCs/>
        </w:rPr>
        <w:t>p</w:t>
      </w:r>
      <w:r w:rsidRPr="00D31856">
        <w:rPr>
          <w:rFonts w:ascii="Garamond" w:hAnsi="Garamond"/>
        </w:rPr>
        <w:t xml:space="preserve">=0.00; femur </w:t>
      </w:r>
      <w:r w:rsidRPr="00D31856">
        <w:rPr>
          <w:rFonts w:ascii="Garamond" w:hAnsi="Garamond"/>
          <w:i/>
          <w:iCs/>
        </w:rPr>
        <w:t>p</w:t>
      </w:r>
      <w:r w:rsidRPr="00D31856">
        <w:rPr>
          <w:rFonts w:ascii="Garamond" w:hAnsi="Garamond"/>
        </w:rPr>
        <w:t xml:space="preserve">=3.44e-16; tibia </w:t>
      </w:r>
      <w:r w:rsidRPr="00D31856">
        <w:rPr>
          <w:rFonts w:ascii="Garamond" w:hAnsi="Garamond"/>
          <w:i/>
          <w:iCs/>
        </w:rPr>
        <w:t>p</w:t>
      </w:r>
      <w:r w:rsidRPr="00D31856">
        <w:rPr>
          <w:rFonts w:ascii="Garamond" w:hAnsi="Garamond"/>
        </w:rPr>
        <w:t>=0.00). The null hypothesis here is of statistical difference, which was rejected in all cases. This would indicate that the measurements from Tayles (1999) and Halcrow et al., (2008) for the radius, ulna, femur and tibia were not significantly different and were statistically equivalent; the humeral measurements</w:t>
      </w:r>
      <w:r w:rsidR="00DF1326">
        <w:rPr>
          <w:rFonts w:ascii="Garamond" w:hAnsi="Garamond"/>
        </w:rPr>
        <w:t>;</w:t>
      </w:r>
      <w:r w:rsidRPr="00D31856">
        <w:rPr>
          <w:rFonts w:ascii="Garamond" w:hAnsi="Garamond"/>
        </w:rPr>
        <w:t xml:space="preserve"> however</w:t>
      </w:r>
      <w:r w:rsidR="00DF1326">
        <w:rPr>
          <w:rFonts w:ascii="Garamond" w:hAnsi="Garamond"/>
        </w:rPr>
        <w:t>,</w:t>
      </w:r>
      <w:r w:rsidRPr="00D31856">
        <w:rPr>
          <w:rFonts w:ascii="Garamond" w:hAnsi="Garamond"/>
        </w:rPr>
        <w:t xml:space="preserve"> were significantly different but were statistically equivalent. The statistical equivalence of all bone measurements, indicating a minimal degree of interobserver error, was felt to be sufficient to combine them, taking an average, excluding any outliers in difference</w:t>
      </w:r>
      <w:r w:rsidRPr="00D31856">
        <w:rPr>
          <w:rStyle w:val="FootnoteReference"/>
          <w:rFonts w:ascii="Garamond" w:hAnsi="Garamond"/>
        </w:rPr>
        <w:footnoteReference w:id="4"/>
      </w:r>
      <w:r w:rsidRPr="00D31856">
        <w:rPr>
          <w:rFonts w:ascii="Garamond" w:hAnsi="Garamond"/>
        </w:rPr>
        <w:t xml:space="preserve">, and include the Halcrow et al., (2008) fibula measurements in order to calculate foetal weeks. </w:t>
      </w:r>
    </w:p>
    <w:p w14:paraId="5B45203E" w14:textId="55158A6D" w:rsidR="00C736C4" w:rsidRPr="00D31856" w:rsidRDefault="00C736C4" w:rsidP="00C736C4">
      <w:pPr>
        <w:ind w:firstLine="567"/>
      </w:pPr>
      <w:r w:rsidRPr="00D31856">
        <w:rPr>
          <w:rFonts w:ascii="Garamond" w:hAnsi="Garamond"/>
        </w:rPr>
        <w:t>Using the new combined long bone measurements, it was possible to estimate gestational age for 53 individuals</w:t>
      </w:r>
      <w:r w:rsidRPr="00D31856">
        <w:rPr>
          <w:rStyle w:val="FootnoteReference"/>
          <w:rFonts w:ascii="Garamond" w:hAnsi="Garamond"/>
        </w:rPr>
        <w:footnoteReference w:id="5"/>
      </w:r>
      <w:r w:rsidRPr="00D31856">
        <w:rPr>
          <w:rFonts w:ascii="Garamond" w:hAnsi="Garamond"/>
        </w:rPr>
        <w:t xml:space="preserve">, using the multi-method approach (similar to Halcrow et al. 2008). This combined means from seven calculations from Scheuer et al. (1980) and Scheuer and Black, </w:t>
      </w:r>
      <w:r w:rsidR="00D72684">
        <w:rPr>
          <w:rFonts w:ascii="Garamond" w:hAnsi="Garamond"/>
        </w:rPr>
        <w:lastRenderedPageBreak/>
        <w:t>(</w:t>
      </w:r>
      <w:r w:rsidRPr="00D31856">
        <w:rPr>
          <w:rFonts w:ascii="Garamond" w:hAnsi="Garamond"/>
        </w:rPr>
        <w:t>2000)</w:t>
      </w:r>
      <w:r w:rsidRPr="00D31856">
        <w:rPr>
          <w:rStyle w:val="FootnoteReference"/>
          <w:rFonts w:ascii="Garamond" w:hAnsi="Garamond"/>
        </w:rPr>
        <w:footnoteReference w:id="6"/>
      </w:r>
      <w:r w:rsidRPr="00D31856">
        <w:rPr>
          <w:rFonts w:ascii="Garamond" w:hAnsi="Garamond"/>
        </w:rPr>
        <w:t>; six methods from Sherwood et al. (2000)</w:t>
      </w:r>
      <w:r w:rsidRPr="00D31856">
        <w:rPr>
          <w:rStyle w:val="FootnoteReference"/>
          <w:rFonts w:ascii="Garamond" w:hAnsi="Garamond"/>
        </w:rPr>
        <w:footnoteReference w:id="7"/>
      </w:r>
      <w:r w:rsidRPr="00D31856">
        <w:rPr>
          <w:rFonts w:ascii="Garamond" w:hAnsi="Garamond"/>
        </w:rPr>
        <w:t>; and six methods from Carneiro et al. (2016)</w:t>
      </w:r>
      <w:r w:rsidRPr="00D31856">
        <w:rPr>
          <w:rStyle w:val="FootnoteReference"/>
          <w:rFonts w:ascii="Garamond" w:hAnsi="Garamond"/>
        </w:rPr>
        <w:footnoteReference w:id="8"/>
      </w:r>
      <w:r w:rsidRPr="00D31856">
        <w:rPr>
          <w:rFonts w:ascii="Garamond" w:hAnsi="Garamond"/>
        </w:rPr>
        <w:t>. These authors used foetuses of known age to develop regression models based on different long bones. The femur is identified as the bone providing the highest level of accuracy; however, a multi-method approach enables calculations to be made for incomplete skeletons, where for example the femora may not be present. In addition to these regression-based methods, a further assessment of age was made taking the combined measurements for the femora and applying a Bayesian procedure developed by Gowland and Chamberlain (2002)</w:t>
      </w:r>
      <w:r w:rsidRPr="00D31856">
        <w:rPr>
          <w:rStyle w:val="FootnoteReference"/>
          <w:rFonts w:ascii="Garamond" w:hAnsi="Garamond"/>
        </w:rPr>
        <w:footnoteReference w:id="9"/>
      </w:r>
      <w:r w:rsidRPr="00D31856">
        <w:rPr>
          <w:rFonts w:ascii="Garamond" w:hAnsi="Garamond"/>
        </w:rPr>
        <w:t xml:space="preserve">. Chamberlain (2000) in earlier work argued that a Bayesian estimation method can remove population bias. Gowland and Chamberlain (2002) argue that previous regression models generate an artificially narrow age distribution because of the non-uniformity of the age distribution from the reference samples used to develop regression-based methods. The authors counter this by accounting for the different probability of death at each week of gestation by incorporating the prior probability of mortality risk at a given age-at-death based on foetal and infant </w:t>
      </w:r>
      <w:r w:rsidRPr="00D31856">
        <w:t xml:space="preserve">diaphyseal length data from clinical studies of individuals with known gestational age (studies used: </w:t>
      </w:r>
      <w:proofErr w:type="spellStart"/>
      <w:r w:rsidRPr="00D31856">
        <w:t>Maresh</w:t>
      </w:r>
      <w:proofErr w:type="spellEnd"/>
      <w:r w:rsidRPr="00D31856">
        <w:t xml:space="preserve"> and Deming, 1939; </w:t>
      </w:r>
      <w:proofErr w:type="spellStart"/>
      <w:r w:rsidRPr="00D31856">
        <w:t>Maresh</w:t>
      </w:r>
      <w:proofErr w:type="spellEnd"/>
      <w:r w:rsidRPr="00D31856">
        <w:t xml:space="preserve">, 1955; Fazekas and </w:t>
      </w:r>
      <w:proofErr w:type="spellStart"/>
      <w:r w:rsidRPr="00D31856">
        <w:t>Kósa</w:t>
      </w:r>
      <w:proofErr w:type="spellEnd"/>
      <w:r w:rsidRPr="00D31856">
        <w:t xml:space="preserve">, 1978; Scheuer et al., 1980; </w:t>
      </w:r>
      <w:proofErr w:type="spellStart"/>
      <w:r w:rsidRPr="00D31856">
        <w:t>Jeanty</w:t>
      </w:r>
      <w:proofErr w:type="spellEnd"/>
      <w:r w:rsidRPr="00D31856">
        <w:t xml:space="preserve"> et al., 1981; 1982). </w:t>
      </w:r>
      <w:r w:rsidRPr="00D31856">
        <w:rPr>
          <w:rFonts w:ascii="Garamond" w:hAnsi="Garamond"/>
        </w:rPr>
        <w:t>However, w</w:t>
      </w:r>
      <w:r w:rsidRPr="00D31856">
        <w:t xml:space="preserve">hile providing a more reliable representation of the age distribution, Gowland and Chamberlain’s method is limited by its use of only one bony element. </w:t>
      </w:r>
    </w:p>
    <w:p w14:paraId="05F2CA5C" w14:textId="77777777" w:rsidR="00C736C4" w:rsidRPr="00D31856" w:rsidRDefault="00C736C4" w:rsidP="00C736C4">
      <w:pPr>
        <w:ind w:firstLine="567"/>
      </w:pPr>
      <w:r w:rsidRPr="00D31856">
        <w:lastRenderedPageBreak/>
        <w:t xml:space="preserve">In literature reporting age in foetal weeks, authors will commonly report the foetal week estimations from the different methods and take an average in order to gain a single estimate for perinate age (Halcrow et al., 2008; </w:t>
      </w:r>
      <w:proofErr w:type="spellStart"/>
      <w:r w:rsidRPr="00D31856">
        <w:t>Kinaston</w:t>
      </w:r>
      <w:proofErr w:type="spellEnd"/>
      <w:r w:rsidRPr="00D31856">
        <w:t>, et al., 2009). The advantage of using all nineteen methods is that it maximises data collection for incomplete individuals</w:t>
      </w:r>
      <w:r>
        <w:t>; however,</w:t>
      </w:r>
      <w:r w:rsidRPr="00D31856">
        <w:t xml:space="preserve"> this is problematic with a data set that includes missing values, in much the same way as combining Tayles’s (1999) and Halcrow et al.’s (2008) measurements discussed above. In order to compare the twenty different methods across the three different authors an analysis of variance (ANOVA) was performed on a linear mixed effects model (</w:t>
      </w:r>
      <w:proofErr w:type="spellStart"/>
      <w:r w:rsidRPr="00D31856">
        <w:t>lmer</w:t>
      </w:r>
      <w:proofErr w:type="spellEnd"/>
      <w:r w:rsidRPr="00D31856">
        <w:t>) of the twenty methods. This determined a highly significant difference between them (p=2.2e-16). An estimated marginal means (EMMs) test was then performed, which demonstrated the relationship between each method. Of the 190 pairs, only 34 were not significantly different.</w:t>
      </w:r>
      <w:r w:rsidRPr="00D31856">
        <w:rPr>
          <w:rStyle w:val="FootnoteReference"/>
        </w:rPr>
        <w:footnoteReference w:id="10"/>
      </w:r>
      <w:r w:rsidRPr="00D31856">
        <w:t xml:space="preserve"> Similarly, the same methods applied to the different methods grouped by author resulted in a significant difference between the authors (all six pairs p==&lt;0.0001). The difference between the methods leaves three options to achieve a single estimate for age in foetal weeks. The first is to take an average, acknowledging a bias based on the number and particular methods used to make the estimate, this would make it difficult to achieve an accurate relative comparison of the perinates at Khok Phanom Di. A second option would be to choose a preferred method for estimation; however, this would result in a loss of individuals who do not have the bony element(s) required for the calculation (Barnard and Meng, 1999; Horton and Kleinman, 2007). Alternatively, choose a preferred method and impute the data from the other methods using a regression equation. This last option would create less variability in the data and provide an estimate of age suitable for a relative comparison. </w:t>
      </w:r>
    </w:p>
    <w:p w14:paraId="4E49EB1C" w14:textId="77777777" w:rsidR="00C736C4" w:rsidRPr="00D31856" w:rsidRDefault="00C736C4" w:rsidP="00C736C4">
      <w:pPr>
        <w:ind w:firstLine="567"/>
      </w:pPr>
      <w:r w:rsidRPr="00D31856">
        <w:rPr>
          <w:rFonts w:ascii="Garamond" w:hAnsi="Garamond"/>
        </w:rPr>
        <w:t xml:space="preserve">The </w:t>
      </w:r>
      <w:proofErr w:type="spellStart"/>
      <w:r w:rsidRPr="00D31856">
        <w:rPr>
          <w:rFonts w:ascii="Garamond" w:hAnsi="Garamond"/>
        </w:rPr>
        <w:t>CIfA</w:t>
      </w:r>
      <w:proofErr w:type="spellEnd"/>
      <w:r w:rsidRPr="00D31856">
        <w:rPr>
          <w:rFonts w:ascii="Garamond" w:hAnsi="Garamond"/>
        </w:rPr>
        <w:t xml:space="preserve"> suggest a policy of inclusion for skeletal material used in analysis, as they state that exclusion of skeletons with less-than-ideal preservation “may lead to the loss of significant information of pathological conditions that result in the loss of bone density and structure” (</w:t>
      </w:r>
      <w:proofErr w:type="spellStart"/>
      <w:r w:rsidRPr="00D31856">
        <w:rPr>
          <w:rFonts w:ascii="Garamond" w:hAnsi="Garamond"/>
        </w:rPr>
        <w:t>Brickley</w:t>
      </w:r>
      <w:proofErr w:type="spellEnd"/>
      <w:r w:rsidRPr="00D31856">
        <w:rPr>
          <w:rFonts w:ascii="Garamond" w:hAnsi="Garamond"/>
        </w:rPr>
        <w:t xml:space="preserve">, 2017, 7-8). For the purposes of this study ascertaining age in foetal weeks would only be used for relative comparison within the Khok Phanom Di assemblage. As such it was important to find a balance between the quantity of data and its relative accuracy. Imputation was felt to be the most inclusive method for calculating perinate age. </w:t>
      </w:r>
    </w:p>
    <w:p w14:paraId="04CD7A26" w14:textId="45766B48" w:rsidR="00C736C4" w:rsidRPr="00D31856" w:rsidRDefault="00C736C4" w:rsidP="00C736C4">
      <w:pPr>
        <w:ind w:firstLine="567"/>
        <w:rPr>
          <w:rFonts w:ascii="Garamond" w:hAnsi="Garamond"/>
        </w:rPr>
      </w:pPr>
      <w:r w:rsidRPr="00D31856">
        <w:rPr>
          <w:rFonts w:ascii="Garamond" w:hAnsi="Garamond"/>
        </w:rPr>
        <w:t xml:space="preserve">Imputation of the data </w:t>
      </w:r>
      <w:r>
        <w:rPr>
          <w:rFonts w:ascii="Garamond" w:hAnsi="Garamond"/>
        </w:rPr>
        <w:t>was</w:t>
      </w:r>
      <w:r w:rsidRPr="00D31856">
        <w:rPr>
          <w:rFonts w:ascii="Garamond" w:hAnsi="Garamond"/>
        </w:rPr>
        <w:t xml:space="preserve"> done by selecting Gowland and Chamberlain (2002) as the preferred method for estimating foetal weeks. This method was selected because of the prior </w:t>
      </w:r>
      <w:r w:rsidRPr="00D31856">
        <w:rPr>
          <w:rFonts w:ascii="Garamond" w:hAnsi="Garamond"/>
        </w:rPr>
        <w:lastRenderedPageBreak/>
        <w:t>probability inclusion described above. A linear regression was calculated for each of the other nineteen methods against Gowland and Chamberlain, excluding individuals over 50 weeks, following Halcrow et al. (2008). The equation for the regression model from each was used to impute the ages from the other nineteen methods to achieve an estimate comparable to Gowland and Chamberlain for the missing values (</w:t>
      </w:r>
      <w:r>
        <w:rPr>
          <w:rFonts w:ascii="Garamond" w:hAnsi="Garamond"/>
        </w:rPr>
        <w:t>Figure</w:t>
      </w:r>
      <w:r w:rsidR="004501C4">
        <w:rPr>
          <w:rFonts w:ascii="Garamond" w:hAnsi="Garamond"/>
        </w:rPr>
        <w:t xml:space="preserve"> S</w:t>
      </w:r>
      <w:r w:rsidR="00F96F81">
        <w:rPr>
          <w:rFonts w:ascii="Garamond" w:hAnsi="Garamond"/>
        </w:rPr>
        <w:t>1</w:t>
      </w:r>
      <w:r w:rsidRPr="00D31856">
        <w:rPr>
          <w:rFonts w:ascii="Garamond" w:hAnsi="Garamond"/>
        </w:rPr>
        <w:t>). A final estimate for age in foetal weeks was calculated from Gowland and Chamberlain with missing values imputed from an average of the available Scheuer and Black (2000) and Sherwood et al., (2000) calculations using the combined measurements from both Tayles (1999) and Halcrow et al. (2008). This enabled foetal week calculations for 46 of the 49 perinates available for analysis, measurements were unavailable for the remaining three individuals. The difference in distribution of estimated age between foetal weeks calculated the mean of all twenty methods vers</w:t>
      </w:r>
      <w:r>
        <w:rPr>
          <w:rFonts w:ascii="Garamond" w:hAnsi="Garamond"/>
        </w:rPr>
        <w:t>u</w:t>
      </w:r>
      <w:r w:rsidRPr="00D31856">
        <w:rPr>
          <w:rFonts w:ascii="Garamond" w:hAnsi="Garamond"/>
        </w:rPr>
        <w:t>s the imputed values shows a broader and younger distribution in age determined by the collective methods</w:t>
      </w:r>
      <w:r w:rsidR="004501C4">
        <w:rPr>
          <w:rFonts w:ascii="Garamond" w:hAnsi="Garamond"/>
        </w:rPr>
        <w:t xml:space="preserve"> (Figure S</w:t>
      </w:r>
      <w:r w:rsidR="00F96F81">
        <w:rPr>
          <w:rFonts w:ascii="Garamond" w:hAnsi="Garamond"/>
        </w:rPr>
        <w:t>2</w:t>
      </w:r>
      <w:r w:rsidR="004501C4">
        <w:rPr>
          <w:rFonts w:ascii="Garamond" w:hAnsi="Garamond"/>
        </w:rPr>
        <w:t>)</w:t>
      </w:r>
      <w:r w:rsidRPr="00D31856">
        <w:rPr>
          <w:rFonts w:ascii="Garamond" w:hAnsi="Garamond"/>
        </w:rPr>
        <w:t xml:space="preserve">. </w:t>
      </w:r>
    </w:p>
    <w:p w14:paraId="59D3C9A3" w14:textId="77777777" w:rsidR="00C736C4" w:rsidRPr="00D31856" w:rsidRDefault="00C736C4" w:rsidP="00C736C4">
      <w:pPr>
        <w:ind w:firstLine="567"/>
        <w:rPr>
          <w:rFonts w:ascii="Garamond" w:hAnsi="Garamond"/>
        </w:rPr>
      </w:pPr>
      <w:r w:rsidRPr="00D31856">
        <w:rPr>
          <w:rFonts w:ascii="Garamond" w:hAnsi="Garamond"/>
        </w:rPr>
        <w:t>It should be noted that the methods use modern and historical European data sets to develop their calculations, this may not be applicable to prehistoric Southeast Asian groups. Gowland and Chamberlain (2000, 681-682) note this, but also cite Allen et al. (2000), who found that different socio-economic groups in the USA had different levels of mortality; however, they did have a similar age-mortality distribution. A difference in populations would be more problematic if comparing between different cultural groups</w:t>
      </w:r>
      <w:r>
        <w:rPr>
          <w:rFonts w:ascii="Garamond" w:hAnsi="Garamond"/>
        </w:rPr>
        <w:t>; however,</w:t>
      </w:r>
      <w:r w:rsidRPr="00D31856">
        <w:rPr>
          <w:rFonts w:ascii="Garamond" w:hAnsi="Garamond"/>
        </w:rPr>
        <w:t xml:space="preserve"> the use here provides a relative comparison between the perinates at Khok Phanom Di and the relationship to ochre. As noted previously, Cox (2000) describes an ‘obsession’ with age and the cultural bias and assertions that go with it. The efforts to assign age made here provide a ‘rank’ order of perinates by age, the assignment of a number of foetal weeks is made with caution. Any interpretation made based on age in foetal weeks is considering whether individuals are older or younger than others within their society and not compared to other groups. </w:t>
      </w:r>
    </w:p>
    <w:p w14:paraId="2CEB5725" w14:textId="77777777" w:rsidR="00C736C4" w:rsidRPr="00D31856" w:rsidRDefault="00C736C4" w:rsidP="00C736C4">
      <w:pPr>
        <w:ind w:firstLine="567"/>
        <w:rPr>
          <w:rFonts w:ascii="Garamond" w:hAnsi="Garamond"/>
        </w:rPr>
      </w:pPr>
    </w:p>
    <w:p w14:paraId="5B7AF39E" w14:textId="54CE9C64" w:rsidR="00C736C4" w:rsidRDefault="00C736C4" w:rsidP="00C736C4">
      <w:pPr>
        <w:rPr>
          <w:rFonts w:ascii="Garamond" w:hAnsi="Garamond"/>
        </w:rPr>
      </w:pPr>
    </w:p>
    <w:p w14:paraId="0FAE3FB4" w14:textId="77777777" w:rsidR="00961EE2" w:rsidRDefault="00961EE2" w:rsidP="00C736C4">
      <w:pPr>
        <w:rPr>
          <w:rFonts w:ascii="Garamond" w:hAnsi="Garamond"/>
        </w:rPr>
      </w:pPr>
    </w:p>
    <w:p w14:paraId="25C38ABE" w14:textId="77777777" w:rsidR="00C736C4" w:rsidRDefault="00C736C4" w:rsidP="00C736C4">
      <w:pPr>
        <w:sectPr w:rsidR="00C736C4" w:rsidSect="0001000D">
          <w:footerReference w:type="even" r:id="rId8"/>
          <w:footerReference w:type="default" r:id="rId9"/>
          <w:pgSz w:w="11901" w:h="16817"/>
          <w:pgMar w:top="1440" w:right="1440" w:bottom="1440" w:left="1440" w:header="709" w:footer="709" w:gutter="0"/>
          <w:cols w:space="708"/>
          <w:docGrid w:linePitch="360"/>
        </w:sectPr>
      </w:pPr>
    </w:p>
    <w:p w14:paraId="18E87460" w14:textId="77777777" w:rsidR="00C8648F" w:rsidRDefault="00C8648F" w:rsidP="00C736C4">
      <w:pPr>
        <w:rPr>
          <w:i/>
          <w:iCs/>
        </w:rPr>
      </w:pPr>
    </w:p>
    <w:p w14:paraId="0FDDEC7A" w14:textId="10DF4CF4" w:rsidR="00C736C4" w:rsidRPr="00B5209C" w:rsidRDefault="00C8648F" w:rsidP="004651D8">
      <w:r>
        <w:rPr>
          <w:noProof/>
        </w:rPr>
        <w:drawing>
          <wp:anchor distT="0" distB="0" distL="114300" distR="114300" simplePos="0" relativeHeight="251876352" behindDoc="1" locked="0" layoutInCell="1" allowOverlap="1" wp14:anchorId="77B0D15B" wp14:editId="203E9DBD">
            <wp:simplePos x="0" y="0"/>
            <wp:positionH relativeFrom="margin">
              <wp:posOffset>457200</wp:posOffset>
            </wp:positionH>
            <wp:positionV relativeFrom="margin">
              <wp:posOffset>-175895</wp:posOffset>
            </wp:positionV>
            <wp:extent cx="7930515" cy="5183505"/>
            <wp:effectExtent l="0" t="0" r="0" b="0"/>
            <wp:wrapTopAndBottom/>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930515" cy="5183505"/>
                    </a:xfrm>
                    <a:prstGeom prst="rect">
                      <a:avLst/>
                    </a:prstGeom>
                  </pic:spPr>
                </pic:pic>
              </a:graphicData>
            </a:graphic>
            <wp14:sizeRelH relativeFrom="page">
              <wp14:pctWidth>0</wp14:pctWidth>
            </wp14:sizeRelH>
            <wp14:sizeRelV relativeFrom="page">
              <wp14:pctHeight>0</wp14:pctHeight>
            </wp14:sizeRelV>
          </wp:anchor>
        </w:drawing>
      </w:r>
      <w:r w:rsidR="00C736C4" w:rsidRPr="002F29A3">
        <w:rPr>
          <w:i/>
          <w:iCs/>
        </w:rPr>
        <w:t xml:space="preserve">Figure </w:t>
      </w:r>
      <w:r w:rsidR="00DF1326">
        <w:rPr>
          <w:i/>
          <w:iCs/>
        </w:rPr>
        <w:t>S</w:t>
      </w:r>
      <w:r w:rsidR="00F96F81">
        <w:rPr>
          <w:i/>
          <w:iCs/>
        </w:rPr>
        <w:t>1</w:t>
      </w:r>
      <w:r w:rsidR="00C736C4">
        <w:t xml:space="preserve"> </w:t>
      </w:r>
      <w:r w:rsidR="002C2E10">
        <w:t>Linear regression of im</w:t>
      </w:r>
      <w:r w:rsidR="00C736C4">
        <w:t>puted foetal week value</w:t>
      </w:r>
      <w:r w:rsidR="002C2E10">
        <w:t>s</w:t>
      </w:r>
      <w:r w:rsidR="00C736C4">
        <w:t xml:space="preserve"> </w:t>
      </w:r>
      <w:r w:rsidR="002C2E10">
        <w:t xml:space="preserve">using </w:t>
      </w:r>
      <w:proofErr w:type="spellStart"/>
      <w:r w:rsidR="002C2E10">
        <w:t>Gowland</w:t>
      </w:r>
      <w:proofErr w:type="spellEnd"/>
      <w:r w:rsidR="002C2E10">
        <w:t xml:space="preserve"> and Chamberlain (2000) against other methods. </w:t>
      </w:r>
    </w:p>
    <w:p w14:paraId="4FC5B52C" w14:textId="77777777" w:rsidR="00C736C4" w:rsidRDefault="00C736C4" w:rsidP="00C736C4">
      <w:pPr>
        <w:sectPr w:rsidR="00C736C4" w:rsidSect="002F29A3">
          <w:pgSz w:w="16817" w:h="11901" w:orient="landscape"/>
          <w:pgMar w:top="1440" w:right="1440" w:bottom="1440" w:left="1440" w:header="709" w:footer="709" w:gutter="0"/>
          <w:cols w:space="708"/>
          <w:docGrid w:linePitch="360"/>
        </w:sectPr>
      </w:pPr>
    </w:p>
    <w:p w14:paraId="65D56AE9" w14:textId="77777777" w:rsidR="00F96F81" w:rsidRPr="00D31856" w:rsidRDefault="00F96F81" w:rsidP="00F96F81">
      <w:pPr>
        <w:rPr>
          <w:rFonts w:ascii="Garamond" w:hAnsi="Garamond"/>
        </w:rPr>
      </w:pPr>
      <w:r>
        <w:rPr>
          <w:rFonts w:ascii="Garamond" w:hAnsi="Garamond"/>
          <w:noProof/>
        </w:rPr>
        <w:lastRenderedPageBreak/>
        <w:drawing>
          <wp:inline distT="0" distB="0" distL="0" distR="0" wp14:anchorId="7ED98524" wp14:editId="79D5B800">
            <wp:extent cx="5728335" cy="3571926"/>
            <wp:effectExtent l="0" t="0" r="0" b="0"/>
            <wp:docPr id="1310465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65907" name="Picture 1310465907"/>
                    <pic:cNvPicPr/>
                  </pic:nvPicPr>
                  <pic:blipFill rotWithShape="1">
                    <a:blip r:embed="rId12" cstate="print">
                      <a:extLst>
                        <a:ext uri="{28A0092B-C50C-407E-A947-70E740481C1C}">
                          <a14:useLocalDpi xmlns:a14="http://schemas.microsoft.com/office/drawing/2010/main" val="0"/>
                        </a:ext>
                      </a:extLst>
                    </a:blip>
                    <a:srcRect t="4123"/>
                    <a:stretch/>
                  </pic:blipFill>
                  <pic:spPr bwMode="auto">
                    <a:xfrm>
                      <a:off x="0" y="0"/>
                      <a:ext cx="5728335" cy="3571926"/>
                    </a:xfrm>
                    <a:prstGeom prst="rect">
                      <a:avLst/>
                    </a:prstGeom>
                    <a:ln>
                      <a:noFill/>
                    </a:ln>
                    <a:extLst>
                      <a:ext uri="{53640926-AAD7-44D8-BBD7-CCE9431645EC}">
                        <a14:shadowObscured xmlns:a14="http://schemas.microsoft.com/office/drawing/2010/main"/>
                      </a:ext>
                    </a:extLst>
                  </pic:spPr>
                </pic:pic>
              </a:graphicData>
            </a:graphic>
          </wp:inline>
        </w:drawing>
      </w:r>
    </w:p>
    <w:p w14:paraId="477350D3" w14:textId="77777777" w:rsidR="00F96F81" w:rsidRPr="00D31856" w:rsidRDefault="00F96F81" w:rsidP="00F96F81">
      <w:pPr>
        <w:pStyle w:val="Caption"/>
        <w:rPr>
          <w:szCs w:val="20"/>
        </w:rPr>
      </w:pPr>
      <w:bookmarkStart w:id="0" w:name="_Ref63334360"/>
      <w:bookmarkStart w:id="1" w:name="_Ref63334356"/>
      <w:bookmarkStart w:id="2" w:name="_Toc63606935"/>
      <w:r w:rsidRPr="00D31856">
        <w:rPr>
          <w:szCs w:val="20"/>
        </w:rPr>
        <w:t>Figure</w:t>
      </w:r>
      <w:r>
        <w:rPr>
          <w:szCs w:val="20"/>
        </w:rPr>
        <w:t xml:space="preserve"> </w:t>
      </w:r>
      <w:bookmarkEnd w:id="0"/>
      <w:r>
        <w:rPr>
          <w:szCs w:val="20"/>
        </w:rPr>
        <w:t>S2</w:t>
      </w:r>
      <w:r>
        <w:rPr>
          <w:i w:val="0"/>
          <w:iCs w:val="0"/>
          <w:szCs w:val="20"/>
        </w:rPr>
        <w:t>.</w:t>
      </w:r>
      <w:r w:rsidRPr="00D31856">
        <w:rPr>
          <w:szCs w:val="20"/>
        </w:rPr>
        <w:t xml:space="preserve"> </w:t>
      </w:r>
      <w:r w:rsidRPr="00D31856">
        <w:rPr>
          <w:i w:val="0"/>
          <w:iCs w:val="0"/>
          <w:szCs w:val="20"/>
        </w:rPr>
        <w:t xml:space="preserve">Histogram </w:t>
      </w:r>
      <w:r>
        <w:rPr>
          <w:i w:val="0"/>
          <w:iCs w:val="0"/>
          <w:szCs w:val="20"/>
        </w:rPr>
        <w:t xml:space="preserve">showing the </w:t>
      </w:r>
      <w:r w:rsidRPr="00D31856">
        <w:rPr>
          <w:i w:val="0"/>
          <w:iCs w:val="0"/>
          <w:szCs w:val="20"/>
        </w:rPr>
        <w:t>imputed and combined methods for foetal week values.</w:t>
      </w:r>
      <w:bookmarkEnd w:id="1"/>
      <w:bookmarkEnd w:id="2"/>
      <w:r>
        <w:rPr>
          <w:i w:val="0"/>
          <w:iCs w:val="0"/>
          <w:szCs w:val="20"/>
        </w:rPr>
        <w:t xml:space="preserve"> The dashed lines show the mean is lower for the combined than the imputed age in foetal weeks. </w:t>
      </w:r>
    </w:p>
    <w:p w14:paraId="2DF082E0" w14:textId="77777777" w:rsidR="00F96F81" w:rsidRDefault="00F96F81" w:rsidP="00F96F81">
      <w:pPr>
        <w:spacing w:line="240" w:lineRule="auto"/>
        <w:jc w:val="left"/>
      </w:pPr>
      <w:r>
        <w:br w:type="page"/>
      </w:r>
    </w:p>
    <w:p w14:paraId="6EC4434E" w14:textId="6D64DF3C" w:rsidR="00C736C4" w:rsidRDefault="00C736C4" w:rsidP="00C736C4">
      <w:pPr>
        <w:jc w:val="left"/>
        <w:rPr>
          <w:sz w:val="20"/>
          <w:szCs w:val="20"/>
        </w:rPr>
      </w:pPr>
      <w:proofErr w:type="spellStart"/>
      <w:r>
        <w:rPr>
          <w:sz w:val="20"/>
          <w:szCs w:val="20"/>
        </w:rPr>
        <w:lastRenderedPageBreak/>
        <w:t>Gowland</w:t>
      </w:r>
      <w:proofErr w:type="spellEnd"/>
      <w:r>
        <w:rPr>
          <w:sz w:val="20"/>
          <w:szCs w:val="20"/>
        </w:rPr>
        <w:t xml:space="preserve"> and Chamberlain (2000)</w:t>
      </w:r>
    </w:p>
    <w:p w14:paraId="7A56FDDF" w14:textId="77777777" w:rsidR="00C736C4" w:rsidRDefault="00C736C4" w:rsidP="00C736C4">
      <w:pPr>
        <w:rPr>
          <w:sz w:val="20"/>
          <w:szCs w:val="20"/>
        </w:rPr>
      </w:pPr>
      <w:r>
        <w:rPr>
          <w:sz w:val="20"/>
          <w:szCs w:val="20"/>
        </w:rPr>
        <w:t xml:space="preserve">GCF = (0.4208(F)) +9.0467 </w:t>
      </w:r>
      <w:r w:rsidRPr="00051D09">
        <w:rPr>
          <w:rFonts w:eastAsia="Times New Roman"/>
          <w:sz w:val="20"/>
          <w:szCs w:val="20"/>
          <w:lang w:eastAsia="en-GB"/>
        </w:rPr>
        <w:t>±</w:t>
      </w:r>
      <w:r>
        <w:rPr>
          <w:rFonts w:eastAsia="Times New Roman"/>
          <w:sz w:val="20"/>
          <w:szCs w:val="20"/>
          <w:lang w:eastAsia="en-GB"/>
        </w:rPr>
        <w:t xml:space="preserve"> (see graph below)</w:t>
      </w:r>
    </w:p>
    <w:p w14:paraId="76563BA2" w14:textId="77777777" w:rsidR="00C736C4" w:rsidRDefault="00C736C4" w:rsidP="00C736C4">
      <w:pPr>
        <w:jc w:val="left"/>
        <w:rPr>
          <w:sz w:val="20"/>
          <w:szCs w:val="20"/>
        </w:rPr>
      </w:pPr>
      <w:r w:rsidRPr="007662B0">
        <w:rPr>
          <w:sz w:val="20"/>
          <w:szCs w:val="20"/>
        </w:rPr>
        <w:t>Scheuer</w:t>
      </w:r>
      <w:r>
        <w:rPr>
          <w:sz w:val="20"/>
          <w:szCs w:val="20"/>
        </w:rPr>
        <w:t xml:space="preserve"> et al., 1980; Scheuer and Black 2000</w:t>
      </w:r>
      <w:r w:rsidRPr="007662B0">
        <w:rPr>
          <w:sz w:val="20"/>
          <w:szCs w:val="20"/>
        </w:rPr>
        <w:t xml:space="preserve"> (Sc)</w:t>
      </w:r>
    </w:p>
    <w:p w14:paraId="653ABE25" w14:textId="77777777" w:rsidR="00C736C4" w:rsidRDefault="00C736C4" w:rsidP="00C736C4">
      <w:pPr>
        <w:jc w:val="left"/>
        <w:rPr>
          <w:rFonts w:eastAsia="Times New Roman"/>
          <w:sz w:val="20"/>
          <w:szCs w:val="20"/>
          <w:lang w:eastAsia="en-GB"/>
        </w:rPr>
      </w:pPr>
      <w:r w:rsidRPr="007662B0">
        <w:rPr>
          <w:rFonts w:eastAsia="Times New Roman"/>
          <w:sz w:val="20"/>
          <w:szCs w:val="20"/>
          <w:lang w:eastAsia="en-GB"/>
        </w:rPr>
        <w:t>Sc1</w:t>
      </w:r>
      <w:r w:rsidRPr="003E7E3F">
        <w:rPr>
          <w:rFonts w:eastAsia="Times New Roman"/>
          <w:sz w:val="20"/>
          <w:szCs w:val="20"/>
          <w:lang w:eastAsia="en-GB"/>
        </w:rPr>
        <w:t>.01 = (0.1724(F)+0.1538(T)+0.0674(H)-0.0718(R)+0.1397(U)+7.2624)</w:t>
      </w:r>
      <w:r>
        <w:rPr>
          <w:rFonts w:eastAsia="Times New Roman"/>
          <w:sz w:val="20"/>
          <w:szCs w:val="20"/>
          <w:lang w:eastAsia="en-GB"/>
        </w:rPr>
        <w:t xml:space="preserve"> </w:t>
      </w:r>
      <w:r w:rsidRPr="003E7E3F">
        <w:rPr>
          <w:rFonts w:eastAsia="Times New Roman"/>
          <w:sz w:val="20"/>
          <w:szCs w:val="20"/>
          <w:lang w:eastAsia="en-GB"/>
        </w:rPr>
        <w:t xml:space="preserve">±1.88 </w:t>
      </w:r>
    </w:p>
    <w:p w14:paraId="199D7ADE" w14:textId="77777777" w:rsidR="00C736C4" w:rsidRDefault="00C736C4" w:rsidP="00C736C4">
      <w:pPr>
        <w:jc w:val="left"/>
        <w:rPr>
          <w:rFonts w:eastAsia="Times New Roman"/>
          <w:sz w:val="20"/>
          <w:szCs w:val="20"/>
          <w:lang w:eastAsia="en-GB"/>
        </w:rPr>
      </w:pPr>
      <w:r>
        <w:rPr>
          <w:rFonts w:eastAsia="Times New Roman"/>
          <w:sz w:val="20"/>
          <w:szCs w:val="20"/>
          <w:lang w:eastAsia="en-GB"/>
        </w:rPr>
        <w:t>Sc</w:t>
      </w:r>
      <w:r w:rsidRPr="003E7E3F">
        <w:rPr>
          <w:rFonts w:eastAsia="Times New Roman"/>
          <w:sz w:val="20"/>
          <w:szCs w:val="20"/>
          <w:lang w:eastAsia="en-GB"/>
        </w:rPr>
        <w:t>1.02 = (0.1984(FM)+0.2291(T)+9.3575)</w:t>
      </w:r>
      <w:r>
        <w:rPr>
          <w:rFonts w:eastAsia="Times New Roman"/>
          <w:sz w:val="20"/>
          <w:szCs w:val="20"/>
          <w:lang w:eastAsia="en-GB"/>
        </w:rPr>
        <w:t xml:space="preserve"> </w:t>
      </w:r>
      <w:r w:rsidRPr="003E7E3F">
        <w:rPr>
          <w:rFonts w:eastAsia="Times New Roman"/>
          <w:sz w:val="20"/>
          <w:szCs w:val="20"/>
          <w:lang w:eastAsia="en-GB"/>
        </w:rPr>
        <w:t>±1.87</w:t>
      </w:r>
      <w:r>
        <w:rPr>
          <w:rFonts w:eastAsia="Times New Roman"/>
          <w:sz w:val="20"/>
          <w:szCs w:val="20"/>
          <w:lang w:eastAsia="en-GB"/>
        </w:rPr>
        <w:t>; Sc</w:t>
      </w:r>
      <w:r w:rsidRPr="00051D09">
        <w:rPr>
          <w:rFonts w:eastAsia="Times New Roman"/>
          <w:sz w:val="20"/>
          <w:szCs w:val="20"/>
          <w:lang w:eastAsia="en-GB"/>
        </w:rPr>
        <w:t>1.04 = (0.3303(FM)+13.5583)</w:t>
      </w:r>
      <w:r>
        <w:rPr>
          <w:rFonts w:eastAsia="Times New Roman"/>
          <w:sz w:val="20"/>
          <w:szCs w:val="20"/>
          <w:lang w:eastAsia="en-GB"/>
        </w:rPr>
        <w:t xml:space="preserve"> </w:t>
      </w:r>
      <w:r w:rsidRPr="00051D09">
        <w:rPr>
          <w:rFonts w:eastAsia="Times New Roman"/>
          <w:sz w:val="20"/>
          <w:szCs w:val="20"/>
          <w:lang w:eastAsia="en-GB"/>
        </w:rPr>
        <w:t>±2.08</w:t>
      </w:r>
      <w:r>
        <w:rPr>
          <w:rFonts w:eastAsia="Times New Roman"/>
          <w:sz w:val="20"/>
          <w:szCs w:val="20"/>
          <w:lang w:eastAsia="en-GB"/>
        </w:rPr>
        <w:t xml:space="preserve"> </w:t>
      </w:r>
    </w:p>
    <w:p w14:paraId="497F5FEE" w14:textId="77777777" w:rsidR="00C736C4" w:rsidRDefault="00C736C4" w:rsidP="00C736C4">
      <w:pPr>
        <w:jc w:val="left"/>
        <w:rPr>
          <w:rFonts w:eastAsia="Times New Roman"/>
          <w:sz w:val="20"/>
          <w:szCs w:val="20"/>
          <w:lang w:eastAsia="en-GB"/>
        </w:rPr>
      </w:pPr>
      <w:r>
        <w:rPr>
          <w:rFonts w:eastAsia="Times New Roman"/>
          <w:sz w:val="20"/>
          <w:szCs w:val="20"/>
          <w:lang w:eastAsia="en-GB"/>
        </w:rPr>
        <w:t xml:space="preserve">Sc1.06 = </w:t>
      </w:r>
      <w:r w:rsidRPr="00051D09">
        <w:rPr>
          <w:rFonts w:eastAsia="Times New Roman"/>
          <w:sz w:val="20"/>
          <w:szCs w:val="20"/>
          <w:lang w:eastAsia="en-GB"/>
        </w:rPr>
        <w:t>(0.</w:t>
      </w:r>
      <w:r>
        <w:rPr>
          <w:rFonts w:eastAsia="Times New Roman"/>
          <w:sz w:val="20"/>
          <w:szCs w:val="20"/>
          <w:lang w:eastAsia="en-GB"/>
        </w:rPr>
        <w:t>4207</w:t>
      </w:r>
      <w:r w:rsidRPr="00051D09">
        <w:rPr>
          <w:rFonts w:eastAsia="Times New Roman"/>
          <w:sz w:val="20"/>
          <w:szCs w:val="20"/>
          <w:lang w:eastAsia="en-GB"/>
        </w:rPr>
        <w:t>(</w:t>
      </w:r>
      <w:r>
        <w:rPr>
          <w:rFonts w:eastAsia="Times New Roman"/>
          <w:sz w:val="20"/>
          <w:szCs w:val="20"/>
          <w:lang w:eastAsia="en-GB"/>
        </w:rPr>
        <w:t>T</w:t>
      </w:r>
      <w:r w:rsidRPr="00051D09">
        <w:rPr>
          <w:rFonts w:eastAsia="Times New Roman"/>
          <w:sz w:val="20"/>
          <w:szCs w:val="20"/>
          <w:lang w:eastAsia="en-GB"/>
        </w:rPr>
        <w:t>)+1</w:t>
      </w:r>
      <w:r>
        <w:rPr>
          <w:rFonts w:eastAsia="Times New Roman"/>
          <w:sz w:val="20"/>
          <w:szCs w:val="20"/>
          <w:lang w:eastAsia="en-GB"/>
        </w:rPr>
        <w:t>1</w:t>
      </w:r>
      <w:r w:rsidRPr="00051D09">
        <w:rPr>
          <w:rFonts w:eastAsia="Times New Roman"/>
          <w:sz w:val="20"/>
          <w:szCs w:val="20"/>
          <w:lang w:eastAsia="en-GB"/>
        </w:rPr>
        <w:t>.</w:t>
      </w:r>
      <w:r>
        <w:rPr>
          <w:rFonts w:eastAsia="Times New Roman"/>
          <w:sz w:val="20"/>
          <w:szCs w:val="20"/>
          <w:lang w:eastAsia="en-GB"/>
        </w:rPr>
        <w:t>4724</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12</w:t>
      </w:r>
      <w:r w:rsidRPr="006F5185">
        <w:rPr>
          <w:rFonts w:eastAsia="Times New Roman"/>
          <w:sz w:val="20"/>
          <w:szCs w:val="20"/>
          <w:lang w:eastAsia="en-GB"/>
        </w:rPr>
        <w:t xml:space="preserve"> </w:t>
      </w:r>
    </w:p>
    <w:p w14:paraId="368FF9AA" w14:textId="77777777" w:rsidR="00C736C4" w:rsidRDefault="00C736C4" w:rsidP="00C736C4">
      <w:pPr>
        <w:jc w:val="left"/>
        <w:rPr>
          <w:rFonts w:eastAsia="Times New Roman"/>
          <w:sz w:val="20"/>
          <w:szCs w:val="20"/>
          <w:lang w:eastAsia="en-GB"/>
        </w:rPr>
      </w:pPr>
      <w:r>
        <w:rPr>
          <w:rFonts w:eastAsia="Times New Roman"/>
          <w:sz w:val="20"/>
          <w:szCs w:val="20"/>
          <w:lang w:eastAsia="en-GB"/>
        </w:rPr>
        <w:t>Sc</w:t>
      </w:r>
      <w:r w:rsidRPr="00051D09">
        <w:rPr>
          <w:rFonts w:eastAsia="Times New Roman"/>
          <w:sz w:val="20"/>
          <w:szCs w:val="20"/>
          <w:lang w:eastAsia="en-GB"/>
        </w:rPr>
        <w:t>1.0</w:t>
      </w:r>
      <w:r>
        <w:rPr>
          <w:rFonts w:eastAsia="Times New Roman"/>
          <w:sz w:val="20"/>
          <w:szCs w:val="20"/>
          <w:lang w:eastAsia="en-GB"/>
        </w:rPr>
        <w:t>8</w:t>
      </w:r>
      <w:r w:rsidRPr="00051D09">
        <w:rPr>
          <w:rFonts w:eastAsia="Times New Roman"/>
          <w:sz w:val="20"/>
          <w:szCs w:val="20"/>
          <w:lang w:eastAsia="en-GB"/>
        </w:rPr>
        <w:t xml:space="preserve"> = (0.</w:t>
      </w:r>
      <w:r>
        <w:rPr>
          <w:rFonts w:eastAsia="Times New Roman"/>
          <w:sz w:val="20"/>
          <w:szCs w:val="20"/>
          <w:lang w:eastAsia="en-GB"/>
        </w:rPr>
        <w:t>4585</w:t>
      </w:r>
      <w:r w:rsidRPr="00051D09">
        <w:rPr>
          <w:rFonts w:eastAsia="Times New Roman"/>
          <w:sz w:val="20"/>
          <w:szCs w:val="20"/>
          <w:lang w:eastAsia="en-GB"/>
        </w:rPr>
        <w:t>(</w:t>
      </w:r>
      <w:r>
        <w:rPr>
          <w:rFonts w:eastAsia="Times New Roman"/>
          <w:sz w:val="20"/>
          <w:szCs w:val="20"/>
          <w:lang w:eastAsia="en-GB"/>
        </w:rPr>
        <w:t>H</w:t>
      </w:r>
      <w:r w:rsidRPr="00051D09">
        <w:rPr>
          <w:rFonts w:eastAsia="Times New Roman"/>
          <w:sz w:val="20"/>
          <w:szCs w:val="20"/>
          <w:lang w:eastAsia="en-GB"/>
        </w:rPr>
        <w:t>)+</w:t>
      </w:r>
      <w:r>
        <w:rPr>
          <w:rFonts w:eastAsia="Times New Roman"/>
          <w:sz w:val="20"/>
          <w:szCs w:val="20"/>
          <w:lang w:eastAsia="en-GB"/>
        </w:rPr>
        <w:t>8</w:t>
      </w:r>
      <w:r w:rsidRPr="00051D09">
        <w:rPr>
          <w:rFonts w:eastAsia="Times New Roman"/>
          <w:sz w:val="20"/>
          <w:szCs w:val="20"/>
          <w:lang w:eastAsia="en-GB"/>
        </w:rPr>
        <w:t>.</w:t>
      </w:r>
      <w:r>
        <w:rPr>
          <w:rFonts w:eastAsia="Times New Roman"/>
          <w:sz w:val="20"/>
          <w:szCs w:val="20"/>
          <w:lang w:eastAsia="en-GB"/>
        </w:rPr>
        <w:t>6563</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33</w:t>
      </w:r>
      <w:r w:rsidRPr="006F5185">
        <w:rPr>
          <w:rFonts w:eastAsia="Times New Roman"/>
          <w:sz w:val="20"/>
          <w:szCs w:val="20"/>
          <w:lang w:eastAsia="en-GB"/>
        </w:rPr>
        <w:t xml:space="preserve"> </w:t>
      </w:r>
    </w:p>
    <w:p w14:paraId="4C69BE2E" w14:textId="77777777" w:rsidR="00C736C4" w:rsidRDefault="00C736C4" w:rsidP="00C736C4">
      <w:pPr>
        <w:jc w:val="left"/>
        <w:rPr>
          <w:rFonts w:eastAsia="Times New Roman"/>
          <w:sz w:val="20"/>
          <w:szCs w:val="20"/>
          <w:lang w:eastAsia="en-GB"/>
        </w:rPr>
      </w:pPr>
      <w:r>
        <w:rPr>
          <w:rFonts w:eastAsia="Times New Roman"/>
          <w:sz w:val="20"/>
          <w:szCs w:val="20"/>
          <w:lang w:eastAsia="en-GB"/>
        </w:rPr>
        <w:t>Sc</w:t>
      </w:r>
      <w:r w:rsidRPr="00051D09">
        <w:rPr>
          <w:rFonts w:eastAsia="Times New Roman"/>
          <w:sz w:val="20"/>
          <w:szCs w:val="20"/>
          <w:lang w:eastAsia="en-GB"/>
        </w:rPr>
        <w:t>1.</w:t>
      </w:r>
      <w:r>
        <w:rPr>
          <w:rFonts w:eastAsia="Times New Roman"/>
          <w:sz w:val="20"/>
          <w:szCs w:val="20"/>
          <w:lang w:eastAsia="en-GB"/>
        </w:rPr>
        <w:t>10</w:t>
      </w:r>
      <w:r w:rsidRPr="00051D09">
        <w:rPr>
          <w:rFonts w:eastAsia="Times New Roman"/>
          <w:sz w:val="20"/>
          <w:szCs w:val="20"/>
          <w:lang w:eastAsia="en-GB"/>
        </w:rPr>
        <w:t xml:space="preserve"> = (0.</w:t>
      </w:r>
      <w:r>
        <w:rPr>
          <w:rFonts w:eastAsia="Times New Roman"/>
          <w:sz w:val="20"/>
          <w:szCs w:val="20"/>
          <w:lang w:eastAsia="en-GB"/>
        </w:rPr>
        <w:t>5850</w:t>
      </w:r>
      <w:r w:rsidRPr="00051D09">
        <w:rPr>
          <w:rFonts w:eastAsia="Times New Roman"/>
          <w:sz w:val="20"/>
          <w:szCs w:val="20"/>
          <w:lang w:eastAsia="en-GB"/>
        </w:rPr>
        <w:t>(</w:t>
      </w:r>
      <w:r>
        <w:rPr>
          <w:rFonts w:eastAsia="Times New Roman"/>
          <w:sz w:val="20"/>
          <w:szCs w:val="20"/>
          <w:lang w:eastAsia="en-GB"/>
        </w:rPr>
        <w:t>R</w:t>
      </w:r>
      <w:r w:rsidRPr="00051D09">
        <w:rPr>
          <w:rFonts w:eastAsia="Times New Roman"/>
          <w:sz w:val="20"/>
          <w:szCs w:val="20"/>
          <w:lang w:eastAsia="en-GB"/>
        </w:rPr>
        <w:t>)+</w:t>
      </w:r>
      <w:r>
        <w:rPr>
          <w:rFonts w:eastAsia="Times New Roman"/>
          <w:sz w:val="20"/>
          <w:szCs w:val="20"/>
          <w:lang w:eastAsia="en-GB"/>
        </w:rPr>
        <w:t>7</w:t>
      </w:r>
      <w:r w:rsidRPr="00051D09">
        <w:rPr>
          <w:rFonts w:eastAsia="Times New Roman"/>
          <w:sz w:val="20"/>
          <w:szCs w:val="20"/>
          <w:lang w:eastAsia="en-GB"/>
        </w:rPr>
        <w:t>.</w:t>
      </w:r>
      <w:r>
        <w:rPr>
          <w:rFonts w:eastAsia="Times New Roman"/>
          <w:sz w:val="20"/>
          <w:szCs w:val="20"/>
          <w:lang w:eastAsia="en-GB"/>
        </w:rPr>
        <w:t>7100</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 xml:space="preserve">29 </w:t>
      </w:r>
    </w:p>
    <w:p w14:paraId="0FB1D93C" w14:textId="77777777" w:rsidR="00C736C4" w:rsidRDefault="00C736C4" w:rsidP="00C736C4">
      <w:pPr>
        <w:jc w:val="left"/>
        <w:rPr>
          <w:rFonts w:eastAsia="Times New Roman"/>
          <w:sz w:val="20"/>
          <w:szCs w:val="20"/>
          <w:lang w:eastAsia="en-GB"/>
        </w:rPr>
      </w:pPr>
      <w:r>
        <w:rPr>
          <w:rFonts w:eastAsia="Times New Roman"/>
          <w:sz w:val="20"/>
          <w:szCs w:val="20"/>
          <w:lang w:eastAsia="en-GB"/>
        </w:rPr>
        <w:t>Sc</w:t>
      </w:r>
      <w:r w:rsidRPr="00051D09">
        <w:rPr>
          <w:rFonts w:eastAsia="Times New Roman"/>
          <w:sz w:val="20"/>
          <w:szCs w:val="20"/>
          <w:lang w:eastAsia="en-GB"/>
        </w:rPr>
        <w:t>1.</w:t>
      </w:r>
      <w:r>
        <w:rPr>
          <w:rFonts w:eastAsia="Times New Roman"/>
          <w:sz w:val="20"/>
          <w:szCs w:val="20"/>
          <w:lang w:eastAsia="en-GB"/>
        </w:rPr>
        <w:t>12</w:t>
      </w:r>
      <w:r w:rsidRPr="00051D09">
        <w:rPr>
          <w:rFonts w:eastAsia="Times New Roman"/>
          <w:sz w:val="20"/>
          <w:szCs w:val="20"/>
          <w:lang w:eastAsia="en-GB"/>
        </w:rPr>
        <w:t xml:space="preserve"> = (0.</w:t>
      </w:r>
      <w:r>
        <w:rPr>
          <w:rFonts w:eastAsia="Times New Roman"/>
          <w:sz w:val="20"/>
          <w:szCs w:val="20"/>
          <w:lang w:eastAsia="en-GB"/>
        </w:rPr>
        <w:t>5072</w:t>
      </w:r>
      <w:r w:rsidRPr="00051D09">
        <w:rPr>
          <w:rFonts w:eastAsia="Times New Roman"/>
          <w:sz w:val="20"/>
          <w:szCs w:val="20"/>
          <w:lang w:eastAsia="en-GB"/>
        </w:rPr>
        <w:t>(</w:t>
      </w:r>
      <w:r>
        <w:rPr>
          <w:rFonts w:eastAsia="Times New Roman"/>
          <w:sz w:val="20"/>
          <w:szCs w:val="20"/>
          <w:lang w:eastAsia="en-GB"/>
        </w:rPr>
        <w:t>U</w:t>
      </w:r>
      <w:r w:rsidRPr="00051D09">
        <w:rPr>
          <w:rFonts w:eastAsia="Times New Roman"/>
          <w:sz w:val="20"/>
          <w:szCs w:val="20"/>
          <w:lang w:eastAsia="en-GB"/>
        </w:rPr>
        <w:t>)+</w:t>
      </w:r>
      <w:r>
        <w:rPr>
          <w:rFonts w:eastAsia="Times New Roman"/>
          <w:sz w:val="20"/>
          <w:szCs w:val="20"/>
          <w:lang w:eastAsia="en-GB"/>
        </w:rPr>
        <w:t>7.8208</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w:t>
      </w:r>
      <w:r w:rsidRPr="00051D09">
        <w:rPr>
          <w:rFonts w:eastAsia="Times New Roman"/>
          <w:sz w:val="20"/>
          <w:szCs w:val="20"/>
          <w:lang w:eastAsia="en-GB"/>
        </w:rPr>
        <w:t>0</w:t>
      </w:r>
      <w:r>
        <w:rPr>
          <w:rFonts w:eastAsia="Times New Roman"/>
          <w:sz w:val="20"/>
          <w:szCs w:val="20"/>
          <w:lang w:eastAsia="en-GB"/>
        </w:rPr>
        <w:t xml:space="preserve">  </w:t>
      </w:r>
    </w:p>
    <w:p w14:paraId="34E78334" w14:textId="77777777" w:rsidR="00C736C4" w:rsidRPr="00A622FE" w:rsidRDefault="00C736C4" w:rsidP="00C736C4">
      <w:pPr>
        <w:jc w:val="left"/>
        <w:rPr>
          <w:sz w:val="20"/>
          <w:szCs w:val="20"/>
        </w:rPr>
      </w:pPr>
      <w:r w:rsidRPr="007662B0">
        <w:rPr>
          <w:sz w:val="20"/>
          <w:szCs w:val="20"/>
        </w:rPr>
        <w:t>Sharwood</w:t>
      </w:r>
      <w:r>
        <w:rPr>
          <w:sz w:val="20"/>
          <w:szCs w:val="20"/>
        </w:rPr>
        <w:t xml:space="preserve"> et al., 2000</w:t>
      </w:r>
      <w:r w:rsidRPr="007662B0">
        <w:rPr>
          <w:sz w:val="20"/>
          <w:szCs w:val="20"/>
        </w:rPr>
        <w:t xml:space="preserve"> (</w:t>
      </w:r>
      <w:proofErr w:type="spellStart"/>
      <w:r w:rsidRPr="007662B0">
        <w:rPr>
          <w:sz w:val="20"/>
          <w:szCs w:val="20"/>
        </w:rPr>
        <w:t>Sh</w:t>
      </w:r>
      <w:proofErr w:type="spellEnd"/>
      <w:r>
        <w:rPr>
          <w:sz w:val="20"/>
          <w:szCs w:val="20"/>
        </w:rPr>
        <w:t>)</w:t>
      </w:r>
      <w:r>
        <w:rPr>
          <w:rFonts w:eastAsia="Times New Roman"/>
          <w:sz w:val="20"/>
          <w:szCs w:val="20"/>
          <w:lang w:eastAsia="en-GB"/>
        </w:rPr>
        <w:t xml:space="preserve"> </w:t>
      </w:r>
    </w:p>
    <w:p w14:paraId="30A12268" w14:textId="77777777" w:rsidR="00C736C4" w:rsidRDefault="00C736C4" w:rsidP="00C736C4">
      <w:pPr>
        <w:jc w:val="left"/>
        <w:rPr>
          <w:rFonts w:eastAsia="Times New Roman"/>
          <w:sz w:val="20"/>
          <w:szCs w:val="20"/>
          <w:lang w:eastAsia="en-GB"/>
        </w:rPr>
      </w:pPr>
      <w:proofErr w:type="spellStart"/>
      <w:r>
        <w:rPr>
          <w:rFonts w:eastAsia="Times New Roman"/>
          <w:sz w:val="20"/>
          <w:szCs w:val="20"/>
          <w:lang w:eastAsia="en-GB"/>
        </w:rPr>
        <w:t>Sh</w:t>
      </w:r>
      <w:r w:rsidRPr="00753C03">
        <w:rPr>
          <w:rFonts w:eastAsia="Times New Roman"/>
          <w:sz w:val="20"/>
          <w:szCs w:val="20"/>
          <w:lang w:eastAsia="en-GB"/>
        </w:rPr>
        <w:t>H</w:t>
      </w:r>
      <w:proofErr w:type="spellEnd"/>
      <w:r w:rsidRPr="00753C03">
        <w:rPr>
          <w:rFonts w:eastAsia="Times New Roman"/>
          <w:sz w:val="20"/>
          <w:szCs w:val="20"/>
          <w:lang w:eastAsia="en-GB"/>
        </w:rPr>
        <w:t xml:space="preserve"> = (12.98+0.25(H)+(0.0024)(H</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±2.12</w:t>
      </w:r>
    </w:p>
    <w:p w14:paraId="30B1B252" w14:textId="77777777" w:rsidR="00C736C4" w:rsidRDefault="00C736C4" w:rsidP="00C736C4">
      <w:pPr>
        <w:jc w:val="left"/>
        <w:rPr>
          <w:rFonts w:eastAsia="Times New Roman"/>
          <w:sz w:val="20"/>
          <w:szCs w:val="20"/>
          <w:lang w:eastAsia="en-GB"/>
        </w:rPr>
      </w:pPr>
      <w:proofErr w:type="spellStart"/>
      <w:r>
        <w:rPr>
          <w:rFonts w:eastAsia="Times New Roman"/>
          <w:sz w:val="20"/>
          <w:szCs w:val="20"/>
          <w:lang w:eastAsia="en-GB"/>
        </w:rPr>
        <w:t>Sh</w:t>
      </w:r>
      <w:r w:rsidRPr="00753C03">
        <w:rPr>
          <w:rFonts w:eastAsia="Times New Roman"/>
          <w:sz w:val="20"/>
          <w:szCs w:val="20"/>
          <w:lang w:eastAsia="en-GB"/>
        </w:rPr>
        <w:t>U</w:t>
      </w:r>
      <w:proofErr w:type="spellEnd"/>
      <w:r w:rsidRPr="00753C03">
        <w:rPr>
          <w:rFonts w:eastAsia="Times New Roman"/>
          <w:sz w:val="20"/>
          <w:szCs w:val="20"/>
          <w:lang w:eastAsia="en-GB"/>
        </w:rPr>
        <w:t xml:space="preserve"> = (14.28 +0.19(U)+0.0039)(U</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±2.08 </w:t>
      </w:r>
    </w:p>
    <w:p w14:paraId="2C12B2A8" w14:textId="77777777" w:rsidR="00C736C4" w:rsidRDefault="00C736C4" w:rsidP="00C736C4">
      <w:pPr>
        <w:jc w:val="left"/>
        <w:rPr>
          <w:rFonts w:eastAsia="Times New Roman"/>
          <w:sz w:val="20"/>
          <w:szCs w:val="20"/>
          <w:lang w:eastAsia="en-GB"/>
        </w:rPr>
      </w:pPr>
      <w:proofErr w:type="spellStart"/>
      <w:r>
        <w:rPr>
          <w:rFonts w:eastAsia="Times New Roman"/>
          <w:sz w:val="20"/>
          <w:szCs w:val="20"/>
          <w:lang w:eastAsia="en-GB"/>
        </w:rPr>
        <w:t>Sh</w:t>
      </w:r>
      <w:r w:rsidRPr="00753C03">
        <w:rPr>
          <w:rFonts w:eastAsia="Times New Roman"/>
          <w:sz w:val="20"/>
          <w:szCs w:val="20"/>
          <w:lang w:eastAsia="en-GB"/>
        </w:rPr>
        <w:t>R</w:t>
      </w:r>
      <w:proofErr w:type="spellEnd"/>
      <w:r>
        <w:rPr>
          <w:rFonts w:eastAsia="Times New Roman"/>
          <w:sz w:val="20"/>
          <w:szCs w:val="20"/>
          <w:lang w:eastAsia="en-GB"/>
        </w:rPr>
        <w:t xml:space="preserve"> </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(13.53+0.25(R)+(0.0045)(R</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±2.14 </w:t>
      </w:r>
    </w:p>
    <w:p w14:paraId="645C99B7" w14:textId="77777777" w:rsidR="00C736C4" w:rsidRDefault="00C736C4" w:rsidP="00C736C4">
      <w:pPr>
        <w:jc w:val="left"/>
        <w:rPr>
          <w:rFonts w:eastAsia="Times New Roman"/>
          <w:sz w:val="20"/>
          <w:szCs w:val="20"/>
          <w:lang w:eastAsia="en-GB"/>
        </w:rPr>
      </w:pPr>
      <w:proofErr w:type="spellStart"/>
      <w:r>
        <w:rPr>
          <w:rFonts w:eastAsia="Times New Roman"/>
          <w:sz w:val="20"/>
          <w:szCs w:val="20"/>
          <w:lang w:eastAsia="en-GB"/>
        </w:rPr>
        <w:t>Sh</w:t>
      </w:r>
      <w:r w:rsidRPr="00753C03">
        <w:rPr>
          <w:rFonts w:eastAsia="Times New Roman"/>
          <w:sz w:val="20"/>
          <w:szCs w:val="20"/>
          <w:lang w:eastAsia="en-GB"/>
        </w:rPr>
        <w:t>FM</w:t>
      </w:r>
      <w:proofErr w:type="spellEnd"/>
      <w:r w:rsidRPr="00753C03">
        <w:rPr>
          <w:rFonts w:eastAsia="Times New Roman"/>
          <w:sz w:val="20"/>
          <w:szCs w:val="20"/>
          <w:lang w:eastAsia="en-GB"/>
        </w:rPr>
        <w:t xml:space="preserve"> = (10.91+0.38(FM))</w:t>
      </w:r>
      <w:r>
        <w:rPr>
          <w:rFonts w:eastAsia="Times New Roman"/>
          <w:sz w:val="20"/>
          <w:szCs w:val="20"/>
          <w:lang w:eastAsia="en-GB"/>
        </w:rPr>
        <w:t xml:space="preserve"> </w:t>
      </w:r>
      <w:r w:rsidRPr="00753C03">
        <w:rPr>
          <w:rFonts w:eastAsia="Times New Roman"/>
          <w:sz w:val="20"/>
          <w:szCs w:val="20"/>
          <w:lang w:eastAsia="en-GB"/>
        </w:rPr>
        <w:t xml:space="preserve">±2.05 </w:t>
      </w:r>
    </w:p>
    <w:p w14:paraId="4F81F4A5" w14:textId="77777777" w:rsidR="00C736C4" w:rsidRDefault="00C736C4" w:rsidP="00C736C4">
      <w:pPr>
        <w:jc w:val="left"/>
        <w:rPr>
          <w:rFonts w:eastAsia="Times New Roman"/>
          <w:sz w:val="20"/>
          <w:szCs w:val="20"/>
          <w:lang w:eastAsia="en-GB"/>
        </w:rPr>
      </w:pPr>
      <w:proofErr w:type="spellStart"/>
      <w:r>
        <w:rPr>
          <w:rFonts w:eastAsia="Times New Roman"/>
          <w:sz w:val="20"/>
          <w:szCs w:val="20"/>
          <w:lang w:eastAsia="en-GB"/>
        </w:rPr>
        <w:t>Sh</w:t>
      </w:r>
      <w:r w:rsidRPr="00753C03">
        <w:rPr>
          <w:rFonts w:eastAsia="Times New Roman"/>
          <w:sz w:val="20"/>
          <w:szCs w:val="20"/>
          <w:lang w:eastAsia="en-GB"/>
        </w:rPr>
        <w:t>T</w:t>
      </w:r>
      <w:proofErr w:type="spellEnd"/>
      <w:r w:rsidRPr="00753C03">
        <w:rPr>
          <w:rFonts w:eastAsia="Times New Roman"/>
          <w:sz w:val="20"/>
          <w:szCs w:val="20"/>
          <w:lang w:eastAsia="en-GB"/>
        </w:rPr>
        <w:t xml:space="preserve"> = (15.13+0.19(T)+(0.0031)(T</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±2.06 </w:t>
      </w:r>
    </w:p>
    <w:p w14:paraId="47933EC0" w14:textId="77777777" w:rsidR="00C736C4" w:rsidRPr="008F1D47" w:rsidRDefault="00C736C4" w:rsidP="00C736C4">
      <w:pPr>
        <w:jc w:val="left"/>
        <w:rPr>
          <w:rFonts w:eastAsia="Times New Roman"/>
          <w:sz w:val="20"/>
          <w:szCs w:val="20"/>
          <w:lang w:eastAsia="en-GB"/>
        </w:rPr>
      </w:pPr>
      <w:proofErr w:type="spellStart"/>
      <w:r>
        <w:rPr>
          <w:rFonts w:eastAsia="Times New Roman"/>
          <w:sz w:val="20"/>
          <w:szCs w:val="20"/>
          <w:lang w:eastAsia="en-GB"/>
        </w:rPr>
        <w:t>Sh</w:t>
      </w:r>
      <w:r w:rsidRPr="00753C03">
        <w:rPr>
          <w:rFonts w:eastAsia="Times New Roman"/>
          <w:sz w:val="20"/>
          <w:szCs w:val="20"/>
          <w:lang w:eastAsia="en-GB"/>
        </w:rPr>
        <w:t>FB</w:t>
      </w:r>
      <w:proofErr w:type="spellEnd"/>
      <w:r w:rsidRPr="00753C03">
        <w:rPr>
          <w:rFonts w:eastAsia="Times New Roman"/>
          <w:sz w:val="20"/>
          <w:szCs w:val="20"/>
          <w:lang w:eastAsia="en-GB"/>
        </w:rPr>
        <w:t xml:space="preserve"> = (14.72+0.21(FB)+0.0036(FB</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±2.19</w:t>
      </w:r>
    </w:p>
    <w:p w14:paraId="76DB194C" w14:textId="77777777" w:rsidR="00C736C4" w:rsidRDefault="00C736C4" w:rsidP="00C736C4">
      <w:pPr>
        <w:jc w:val="left"/>
        <w:rPr>
          <w:sz w:val="20"/>
          <w:szCs w:val="20"/>
        </w:rPr>
      </w:pPr>
      <w:r>
        <w:rPr>
          <w:sz w:val="20"/>
          <w:szCs w:val="20"/>
        </w:rPr>
        <w:t>Carneiro et al., 2016</w:t>
      </w:r>
      <w:r w:rsidRPr="008F1D47">
        <w:rPr>
          <w:sz w:val="20"/>
          <w:szCs w:val="20"/>
        </w:rPr>
        <w:t xml:space="preserve"> </w:t>
      </w:r>
      <w:r>
        <w:rPr>
          <w:sz w:val="20"/>
          <w:szCs w:val="20"/>
        </w:rPr>
        <w:t>(C)</w:t>
      </w:r>
    </w:p>
    <w:p w14:paraId="4E6678BC" w14:textId="77777777" w:rsidR="00C736C4" w:rsidRDefault="00C736C4" w:rsidP="00C736C4">
      <w:pPr>
        <w:jc w:val="left"/>
        <w:rPr>
          <w:sz w:val="20"/>
          <w:szCs w:val="20"/>
        </w:rPr>
      </w:pPr>
      <w:r w:rsidRPr="008F1D47">
        <w:rPr>
          <w:sz w:val="20"/>
          <w:szCs w:val="20"/>
        </w:rPr>
        <w:t xml:space="preserve">CH = </w:t>
      </w:r>
      <w:r w:rsidRPr="00051D09">
        <w:rPr>
          <w:rFonts w:eastAsia="Times New Roman"/>
          <w:sz w:val="20"/>
          <w:szCs w:val="20"/>
          <w:lang w:eastAsia="en-GB"/>
        </w:rPr>
        <w:t>(0.</w:t>
      </w:r>
      <w:r>
        <w:rPr>
          <w:rFonts w:eastAsia="Times New Roman"/>
          <w:sz w:val="20"/>
          <w:szCs w:val="20"/>
          <w:lang w:eastAsia="en-GB"/>
        </w:rPr>
        <w:t>452</w:t>
      </w:r>
      <w:r w:rsidRPr="00051D09">
        <w:rPr>
          <w:rFonts w:eastAsia="Times New Roman"/>
          <w:sz w:val="20"/>
          <w:szCs w:val="20"/>
          <w:lang w:eastAsia="en-GB"/>
        </w:rPr>
        <w:t>(</w:t>
      </w:r>
      <w:r>
        <w:rPr>
          <w:rFonts w:eastAsia="Times New Roman"/>
          <w:sz w:val="20"/>
          <w:szCs w:val="20"/>
          <w:lang w:eastAsia="en-GB"/>
        </w:rPr>
        <w:t>H</w:t>
      </w:r>
      <w:r w:rsidRPr="00051D09">
        <w:rPr>
          <w:rFonts w:eastAsia="Times New Roman"/>
          <w:sz w:val="20"/>
          <w:szCs w:val="20"/>
          <w:lang w:eastAsia="en-GB"/>
        </w:rPr>
        <w:t>)+</w:t>
      </w:r>
      <w:r>
        <w:rPr>
          <w:rFonts w:eastAsia="Times New Roman"/>
          <w:sz w:val="20"/>
          <w:szCs w:val="20"/>
          <w:lang w:eastAsia="en-GB"/>
        </w:rPr>
        <w:t>6.814</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31</w:t>
      </w:r>
      <w:r w:rsidRPr="008F1D47">
        <w:rPr>
          <w:sz w:val="20"/>
          <w:szCs w:val="20"/>
        </w:rPr>
        <w:t xml:space="preserve"> </w:t>
      </w:r>
    </w:p>
    <w:p w14:paraId="4C32B583" w14:textId="77777777" w:rsidR="00C736C4" w:rsidRDefault="00C736C4" w:rsidP="00C736C4">
      <w:pPr>
        <w:jc w:val="left"/>
        <w:rPr>
          <w:sz w:val="20"/>
          <w:szCs w:val="20"/>
        </w:rPr>
      </w:pPr>
      <w:r w:rsidRPr="008F1D47">
        <w:rPr>
          <w:sz w:val="20"/>
          <w:szCs w:val="20"/>
        </w:rPr>
        <w:t xml:space="preserve">CU = </w:t>
      </w:r>
      <w:r w:rsidRPr="00051D09">
        <w:rPr>
          <w:rFonts w:eastAsia="Times New Roman"/>
          <w:sz w:val="20"/>
          <w:szCs w:val="20"/>
          <w:lang w:eastAsia="en-GB"/>
        </w:rPr>
        <w:t>(0.</w:t>
      </w:r>
      <w:r>
        <w:rPr>
          <w:rFonts w:eastAsia="Times New Roman"/>
          <w:sz w:val="20"/>
          <w:szCs w:val="20"/>
          <w:lang w:eastAsia="en-GB"/>
        </w:rPr>
        <w:t>474</w:t>
      </w:r>
      <w:r w:rsidRPr="00051D09">
        <w:rPr>
          <w:rFonts w:eastAsia="Times New Roman"/>
          <w:sz w:val="20"/>
          <w:szCs w:val="20"/>
          <w:lang w:eastAsia="en-GB"/>
        </w:rPr>
        <w:t>(</w:t>
      </w:r>
      <w:r>
        <w:rPr>
          <w:rFonts w:eastAsia="Times New Roman"/>
          <w:sz w:val="20"/>
          <w:szCs w:val="20"/>
          <w:lang w:eastAsia="en-GB"/>
        </w:rPr>
        <w:t>U</w:t>
      </w:r>
      <w:r w:rsidRPr="00051D09">
        <w:rPr>
          <w:rFonts w:eastAsia="Times New Roman"/>
          <w:sz w:val="20"/>
          <w:szCs w:val="20"/>
          <w:lang w:eastAsia="en-GB"/>
        </w:rPr>
        <w:t>)+</w:t>
      </w:r>
      <w:r>
        <w:rPr>
          <w:rFonts w:eastAsia="Times New Roman"/>
          <w:sz w:val="20"/>
          <w:szCs w:val="20"/>
          <w:lang w:eastAsia="en-GB"/>
        </w:rPr>
        <w:t>7.278</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23</w:t>
      </w:r>
      <w:r w:rsidRPr="008F1D47">
        <w:rPr>
          <w:sz w:val="20"/>
          <w:szCs w:val="20"/>
        </w:rPr>
        <w:t xml:space="preserve"> </w:t>
      </w:r>
    </w:p>
    <w:p w14:paraId="506A4E09" w14:textId="77777777" w:rsidR="00C736C4" w:rsidRDefault="00C736C4" w:rsidP="00C736C4">
      <w:pPr>
        <w:jc w:val="left"/>
        <w:rPr>
          <w:sz w:val="20"/>
          <w:szCs w:val="20"/>
        </w:rPr>
      </w:pPr>
      <w:r w:rsidRPr="008F1D47">
        <w:rPr>
          <w:sz w:val="20"/>
          <w:szCs w:val="20"/>
        </w:rPr>
        <w:t xml:space="preserve">CR = </w:t>
      </w:r>
      <w:r w:rsidRPr="00051D09">
        <w:rPr>
          <w:rFonts w:eastAsia="Times New Roman"/>
          <w:sz w:val="20"/>
          <w:szCs w:val="20"/>
          <w:lang w:eastAsia="en-GB"/>
        </w:rPr>
        <w:t>(0.</w:t>
      </w:r>
      <w:r>
        <w:rPr>
          <w:rFonts w:eastAsia="Times New Roman"/>
          <w:sz w:val="20"/>
          <w:szCs w:val="20"/>
          <w:lang w:eastAsia="en-GB"/>
        </w:rPr>
        <w:t>542</w:t>
      </w:r>
      <w:r w:rsidRPr="00051D09">
        <w:rPr>
          <w:rFonts w:eastAsia="Times New Roman"/>
          <w:sz w:val="20"/>
          <w:szCs w:val="20"/>
          <w:lang w:eastAsia="en-GB"/>
        </w:rPr>
        <w:t>(</w:t>
      </w:r>
      <w:r>
        <w:rPr>
          <w:rFonts w:eastAsia="Times New Roman"/>
          <w:sz w:val="20"/>
          <w:szCs w:val="20"/>
          <w:lang w:eastAsia="en-GB"/>
        </w:rPr>
        <w:t>R</w:t>
      </w:r>
      <w:r w:rsidRPr="00051D09">
        <w:rPr>
          <w:rFonts w:eastAsia="Times New Roman"/>
          <w:sz w:val="20"/>
          <w:szCs w:val="20"/>
          <w:lang w:eastAsia="en-GB"/>
        </w:rPr>
        <w:t>)+</w:t>
      </w:r>
      <w:r>
        <w:rPr>
          <w:rFonts w:eastAsia="Times New Roman"/>
          <w:sz w:val="20"/>
          <w:szCs w:val="20"/>
          <w:lang w:eastAsia="en-GB"/>
        </w:rPr>
        <w:t>7.003</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48</w:t>
      </w:r>
      <w:r w:rsidRPr="008F1D47">
        <w:rPr>
          <w:sz w:val="20"/>
          <w:szCs w:val="20"/>
        </w:rPr>
        <w:t xml:space="preserve"> </w:t>
      </w:r>
    </w:p>
    <w:p w14:paraId="19409B3E" w14:textId="77777777" w:rsidR="00C736C4" w:rsidRDefault="00C736C4" w:rsidP="00C736C4">
      <w:pPr>
        <w:jc w:val="left"/>
        <w:rPr>
          <w:sz w:val="20"/>
          <w:szCs w:val="20"/>
        </w:rPr>
      </w:pPr>
      <w:r w:rsidRPr="008F1D47">
        <w:rPr>
          <w:sz w:val="20"/>
          <w:szCs w:val="20"/>
        </w:rPr>
        <w:t xml:space="preserve">CF = </w:t>
      </w:r>
      <w:r w:rsidRPr="00051D09">
        <w:rPr>
          <w:rFonts w:eastAsia="Times New Roman"/>
          <w:sz w:val="20"/>
          <w:szCs w:val="20"/>
          <w:lang w:eastAsia="en-GB"/>
        </w:rPr>
        <w:t>(0.</w:t>
      </w:r>
      <w:r>
        <w:rPr>
          <w:rFonts w:eastAsia="Times New Roman"/>
          <w:sz w:val="20"/>
          <w:szCs w:val="20"/>
          <w:lang w:eastAsia="en-GB"/>
        </w:rPr>
        <w:t>372</w:t>
      </w:r>
      <w:r w:rsidRPr="00051D09">
        <w:rPr>
          <w:rFonts w:eastAsia="Times New Roman"/>
          <w:sz w:val="20"/>
          <w:szCs w:val="20"/>
          <w:lang w:eastAsia="en-GB"/>
        </w:rPr>
        <w:t>(</w:t>
      </w:r>
      <w:r>
        <w:rPr>
          <w:rFonts w:eastAsia="Times New Roman"/>
          <w:sz w:val="20"/>
          <w:szCs w:val="20"/>
          <w:lang w:eastAsia="en-GB"/>
        </w:rPr>
        <w:t>F</w:t>
      </w:r>
      <w:r w:rsidRPr="00051D09">
        <w:rPr>
          <w:rFonts w:eastAsia="Times New Roman"/>
          <w:sz w:val="20"/>
          <w:szCs w:val="20"/>
          <w:lang w:eastAsia="en-GB"/>
        </w:rPr>
        <w:t>)+</w:t>
      </w:r>
      <w:r>
        <w:rPr>
          <w:rFonts w:eastAsia="Times New Roman"/>
          <w:sz w:val="20"/>
          <w:szCs w:val="20"/>
          <w:lang w:eastAsia="en-GB"/>
        </w:rPr>
        <w:t>8.525</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00</w:t>
      </w:r>
      <w:r w:rsidRPr="008F1D47">
        <w:rPr>
          <w:sz w:val="20"/>
          <w:szCs w:val="20"/>
        </w:rPr>
        <w:t xml:space="preserve"> </w:t>
      </w:r>
    </w:p>
    <w:p w14:paraId="5E90698C" w14:textId="77777777" w:rsidR="00C736C4" w:rsidRDefault="00C736C4" w:rsidP="00C736C4">
      <w:pPr>
        <w:jc w:val="left"/>
        <w:rPr>
          <w:rFonts w:eastAsia="Times New Roman"/>
          <w:sz w:val="20"/>
          <w:szCs w:val="20"/>
          <w:lang w:eastAsia="en-GB"/>
        </w:rPr>
      </w:pPr>
      <w:r w:rsidRPr="008F1D47">
        <w:rPr>
          <w:sz w:val="20"/>
          <w:szCs w:val="20"/>
        </w:rPr>
        <w:t xml:space="preserve">CT = </w:t>
      </w:r>
      <w:r w:rsidRPr="00051D09">
        <w:rPr>
          <w:rFonts w:eastAsia="Times New Roman"/>
          <w:sz w:val="20"/>
          <w:szCs w:val="20"/>
          <w:lang w:eastAsia="en-GB"/>
        </w:rPr>
        <w:t>(0.</w:t>
      </w:r>
      <w:r>
        <w:rPr>
          <w:rFonts w:eastAsia="Times New Roman"/>
          <w:sz w:val="20"/>
          <w:szCs w:val="20"/>
          <w:lang w:eastAsia="en-GB"/>
        </w:rPr>
        <w:t>428</w:t>
      </w:r>
      <w:r w:rsidRPr="00051D09">
        <w:rPr>
          <w:rFonts w:eastAsia="Times New Roman"/>
          <w:sz w:val="20"/>
          <w:szCs w:val="20"/>
          <w:lang w:eastAsia="en-GB"/>
        </w:rPr>
        <w:t>(</w:t>
      </w:r>
      <w:r>
        <w:rPr>
          <w:rFonts w:eastAsia="Times New Roman"/>
          <w:sz w:val="20"/>
          <w:szCs w:val="20"/>
          <w:lang w:eastAsia="en-GB"/>
        </w:rPr>
        <w:t>T</w:t>
      </w:r>
      <w:r w:rsidRPr="00051D09">
        <w:rPr>
          <w:rFonts w:eastAsia="Times New Roman"/>
          <w:sz w:val="20"/>
          <w:szCs w:val="20"/>
          <w:lang w:eastAsia="en-GB"/>
        </w:rPr>
        <w:t>)+</w:t>
      </w:r>
      <w:r>
        <w:rPr>
          <w:rFonts w:eastAsia="Times New Roman"/>
          <w:sz w:val="20"/>
          <w:szCs w:val="20"/>
          <w:lang w:eastAsia="en-GB"/>
        </w:rPr>
        <w:t>8.514</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 xml:space="preserve">12 </w:t>
      </w:r>
    </w:p>
    <w:p w14:paraId="652DF966" w14:textId="77777777" w:rsidR="00C736C4" w:rsidRDefault="00C736C4" w:rsidP="00C736C4">
      <w:pPr>
        <w:jc w:val="left"/>
        <w:rPr>
          <w:sz w:val="20"/>
          <w:szCs w:val="20"/>
        </w:rPr>
      </w:pPr>
      <w:r>
        <w:rPr>
          <w:rFonts w:eastAsia="Times New Roman"/>
          <w:sz w:val="20"/>
          <w:szCs w:val="20"/>
          <w:lang w:eastAsia="en-GB"/>
        </w:rPr>
        <w:t xml:space="preserve">CFB = </w:t>
      </w:r>
      <w:r w:rsidRPr="00051D09">
        <w:rPr>
          <w:rFonts w:eastAsia="Times New Roman"/>
          <w:sz w:val="20"/>
          <w:szCs w:val="20"/>
          <w:lang w:eastAsia="en-GB"/>
        </w:rPr>
        <w:t>(0.</w:t>
      </w:r>
      <w:r>
        <w:rPr>
          <w:rFonts w:eastAsia="Times New Roman"/>
          <w:sz w:val="20"/>
          <w:szCs w:val="20"/>
          <w:lang w:eastAsia="en-GB"/>
        </w:rPr>
        <w:t>451</w:t>
      </w:r>
      <w:r w:rsidRPr="00051D09">
        <w:rPr>
          <w:rFonts w:eastAsia="Times New Roman"/>
          <w:sz w:val="20"/>
          <w:szCs w:val="20"/>
          <w:lang w:eastAsia="en-GB"/>
        </w:rPr>
        <w:t>(</w:t>
      </w:r>
      <w:r>
        <w:rPr>
          <w:rFonts w:eastAsia="Times New Roman"/>
          <w:sz w:val="20"/>
          <w:szCs w:val="20"/>
          <w:lang w:eastAsia="en-GB"/>
        </w:rPr>
        <w:t>FB</w:t>
      </w:r>
      <w:r w:rsidRPr="00051D09">
        <w:rPr>
          <w:rFonts w:eastAsia="Times New Roman"/>
          <w:sz w:val="20"/>
          <w:szCs w:val="20"/>
          <w:lang w:eastAsia="en-GB"/>
        </w:rPr>
        <w:t>)+</w:t>
      </w:r>
      <w:r>
        <w:rPr>
          <w:rFonts w:eastAsia="Times New Roman"/>
          <w:sz w:val="20"/>
          <w:szCs w:val="20"/>
          <w:lang w:eastAsia="en-GB"/>
        </w:rPr>
        <w:t>8.603</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22</w:t>
      </w:r>
      <w:r w:rsidRPr="008F1D47">
        <w:rPr>
          <w:sz w:val="20"/>
          <w:szCs w:val="20"/>
        </w:rPr>
        <w:t xml:space="preserve">. </w:t>
      </w:r>
    </w:p>
    <w:p w14:paraId="444969E9" w14:textId="162D0F9E" w:rsidR="00C736C4" w:rsidRPr="00C736C4" w:rsidRDefault="00C736C4" w:rsidP="00C354E1">
      <w:pPr>
        <w:pStyle w:val="Heading1"/>
        <w:numPr>
          <w:ilvl w:val="0"/>
          <w:numId w:val="0"/>
        </w:numPr>
      </w:pPr>
      <w:r>
        <w:rPr>
          <w:rFonts w:eastAsia="Times New Roman"/>
          <w:sz w:val="20"/>
          <w:szCs w:val="20"/>
          <w:lang w:eastAsia="en-GB"/>
        </w:rPr>
        <w:t xml:space="preserve">F = femoral length; T = tibial length; H = humeral length; R = radial length; U = ulna length; FB fibula length. All long bone measurements in mm and standard error in weeks. Each method name is taken from the original text with the addition of the first author initial. </w:t>
      </w:r>
    </w:p>
    <w:sectPr w:rsidR="00C736C4" w:rsidRPr="00C736C4" w:rsidSect="004651D8">
      <w:footerReference w:type="even" r:id="rId13"/>
      <w:footerReference w:type="default" r:id="rId14"/>
      <w:pgSz w:w="1188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3D98D" w14:textId="77777777" w:rsidR="0069606A" w:rsidRDefault="0069606A" w:rsidP="003D71E2">
      <w:r>
        <w:separator/>
      </w:r>
    </w:p>
  </w:endnote>
  <w:endnote w:type="continuationSeparator" w:id="0">
    <w:p w14:paraId="2C85B4C0" w14:textId="77777777" w:rsidR="0069606A" w:rsidRDefault="0069606A" w:rsidP="003D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8369036"/>
      <w:docPartObj>
        <w:docPartGallery w:val="Page Numbers (Bottom of Page)"/>
        <w:docPartUnique/>
      </w:docPartObj>
    </w:sdtPr>
    <w:sdtContent>
      <w:p w14:paraId="52DDE844" w14:textId="5B2628AA" w:rsidR="00AB0C4A" w:rsidRDefault="00AB0C4A" w:rsidP="002A2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01336" w14:textId="77777777" w:rsidR="00AB0C4A" w:rsidRDefault="00AB0C4A" w:rsidP="00AB0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465956"/>
      <w:docPartObj>
        <w:docPartGallery w:val="Page Numbers (Bottom of Page)"/>
        <w:docPartUnique/>
      </w:docPartObj>
    </w:sdtPr>
    <w:sdtContent>
      <w:p w14:paraId="715A90C7" w14:textId="27FE07CC" w:rsidR="00AB0C4A" w:rsidRDefault="00AB0C4A" w:rsidP="002A2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3F9C44" w14:textId="77777777" w:rsidR="00AB0C4A" w:rsidRDefault="00AB0C4A" w:rsidP="00AB0C4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200808"/>
      <w:docPartObj>
        <w:docPartGallery w:val="Page Numbers (Bottom of Page)"/>
        <w:docPartUnique/>
      </w:docPartObj>
    </w:sdtPr>
    <w:sdtContent>
      <w:p w14:paraId="23BD3203" w14:textId="77777777" w:rsidR="00C736C4" w:rsidRDefault="00C736C4" w:rsidP="00B64E0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3457E9" w14:textId="77777777" w:rsidR="00C736C4" w:rsidRDefault="00C736C4" w:rsidP="00B64E0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9963947"/>
      <w:docPartObj>
        <w:docPartGallery w:val="Page Numbers (Bottom of Page)"/>
        <w:docPartUnique/>
      </w:docPartObj>
    </w:sdtPr>
    <w:sdtContent>
      <w:p w14:paraId="52866501" w14:textId="77777777" w:rsidR="00C736C4" w:rsidRDefault="00C736C4" w:rsidP="00B64E0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DDCA62" w14:textId="77777777" w:rsidR="00C736C4" w:rsidRDefault="00C736C4" w:rsidP="00B64E0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6E9A" w14:textId="77777777" w:rsidR="0069606A" w:rsidRDefault="0069606A" w:rsidP="003D71E2">
      <w:r>
        <w:separator/>
      </w:r>
    </w:p>
  </w:footnote>
  <w:footnote w:type="continuationSeparator" w:id="0">
    <w:p w14:paraId="4457F8B5" w14:textId="77777777" w:rsidR="0069606A" w:rsidRDefault="0069606A" w:rsidP="003D71E2">
      <w:r>
        <w:continuationSeparator/>
      </w:r>
    </w:p>
  </w:footnote>
  <w:footnote w:id="1">
    <w:p w14:paraId="59DDDA42" w14:textId="77777777" w:rsidR="00C736C4" w:rsidRDefault="00C736C4" w:rsidP="00C736C4">
      <w:pPr>
        <w:pStyle w:val="FootnoteText"/>
      </w:pPr>
      <w:r>
        <w:rPr>
          <w:rStyle w:val="FootnoteReference"/>
        </w:rPr>
        <w:footnoteRef/>
      </w:r>
      <w:r>
        <w:t xml:space="preserve"> </w:t>
      </w:r>
      <w:r>
        <w:rPr>
          <w:rFonts w:ascii="Garamond" w:hAnsi="Garamond"/>
        </w:rPr>
        <w:t>In this work the authors calculated age in foetal weeks, using regression methods 1.01, 1.02, 1.04, 4.01, 4.03 from Scheuer et al., (1980) and Scheuer and Black (2000); and Humerus, Ulna, Radius, Femur, Tibia, Fibula from Sherwood et al., (2000).</w:t>
      </w:r>
    </w:p>
  </w:footnote>
  <w:footnote w:id="2">
    <w:p w14:paraId="2F0AF224" w14:textId="77777777" w:rsidR="00C736C4" w:rsidRDefault="00C736C4" w:rsidP="00C736C4">
      <w:pPr>
        <w:pStyle w:val="FootnoteText"/>
      </w:pPr>
      <w:r>
        <w:rPr>
          <w:rStyle w:val="FootnoteReference"/>
        </w:rPr>
        <w:footnoteRef/>
      </w:r>
      <w:r>
        <w:t xml:space="preserve"> However, only two individuals appear to have measurements that are between half a decimal place, the vast majority of measurements are whole numbers (Tayles, 1999, 54-56). </w:t>
      </w:r>
    </w:p>
  </w:footnote>
  <w:footnote w:id="3">
    <w:p w14:paraId="51F81296" w14:textId="77777777" w:rsidR="00C736C4" w:rsidRDefault="00C736C4" w:rsidP="00C736C4">
      <w:pPr>
        <w:pStyle w:val="FootnoteText"/>
      </w:pPr>
      <w:r>
        <w:rPr>
          <w:rStyle w:val="FootnoteReference"/>
        </w:rPr>
        <w:footnoteRef/>
      </w:r>
      <w:r>
        <w:t xml:space="preserve"> This was deemed appropriate as it appears as though the majority of Tayles’s (1999) measurements were taken to the nearest 1mm. </w:t>
      </w:r>
    </w:p>
  </w:footnote>
  <w:footnote w:id="4">
    <w:p w14:paraId="34EDF795" w14:textId="77777777" w:rsidR="00C736C4" w:rsidRDefault="00C736C4" w:rsidP="00C736C4">
      <w:pPr>
        <w:pStyle w:val="FootnoteText"/>
      </w:pPr>
      <w:r>
        <w:rPr>
          <w:rStyle w:val="FootnoteReference"/>
        </w:rPr>
        <w:footnoteRef/>
      </w:r>
      <w:r>
        <w:t xml:space="preserve"> Outliers difference between the two sets of measurements were considered individually. The radial measurement from B52, B66, and the tibial measurement for B124 from Tayles (1999) were excluded as scale photographs supported the Halcrow et al. (2008). The humeral measurement for B99 from Halcrow et al. (2008) was excluded as scale photographs supported Tayles (1999), likely a misprint as the two sets of measurements were inverted 86mm and 68mm. The radial measurements from both authors were excluded from B66 as they were incomplete on examination and so could not corroborate either measurement.</w:t>
      </w:r>
      <w:r w:rsidRPr="00BD3BF8">
        <w:t xml:space="preserve"> </w:t>
      </w:r>
      <w:r>
        <w:t>These were removed from all subsequent calculations.</w:t>
      </w:r>
    </w:p>
  </w:footnote>
  <w:footnote w:id="5">
    <w:p w14:paraId="283FE8F8" w14:textId="15D3F484" w:rsidR="00C736C4" w:rsidRDefault="00C736C4" w:rsidP="00C736C4">
      <w:pPr>
        <w:pStyle w:val="FootnoteText"/>
      </w:pPr>
      <w:r>
        <w:rPr>
          <w:rStyle w:val="FootnoteReference"/>
        </w:rPr>
        <w:footnoteRef/>
      </w:r>
      <w:r>
        <w:t xml:space="preserve"> This number is higher than the total number of perinates from the assemblage. In calculating foetal weeks individuals who were aged below 50 weeks by any of the twenty methods were included. Seven of these individuals were not considered perinatal overall (skeletal and dental morphology) and were aged 0.3 years (2; 82; 89; 97; 106; 133; 133; 134). All seven were excluded in the final estimation of foetal weeks (explanation of the calculations explained in text</w:t>
      </w:r>
      <w:proofErr w:type="gramStart"/>
      <w:r>
        <w:t>), but</w:t>
      </w:r>
      <w:proofErr w:type="gramEnd"/>
      <w:r>
        <w:t xml:space="preserve"> appear graphically </w:t>
      </w:r>
      <w:r w:rsidR="004501C4">
        <w:t xml:space="preserve">in </w:t>
      </w:r>
      <w:r w:rsidR="00DF1326">
        <w:t xml:space="preserve">Figure </w:t>
      </w:r>
      <w:r w:rsidR="004501C4">
        <w:t>S</w:t>
      </w:r>
      <w:r w:rsidR="00F96F81">
        <w:t>1</w:t>
      </w:r>
      <w:r>
        <w:t>.</w:t>
      </w:r>
    </w:p>
  </w:footnote>
  <w:footnote w:id="6">
    <w:p w14:paraId="36D943C4" w14:textId="77777777" w:rsidR="00C736C4" w:rsidRPr="00051D09" w:rsidRDefault="00C736C4" w:rsidP="00C736C4">
      <w:pPr>
        <w:rPr>
          <w:rFonts w:eastAsia="Times New Roman"/>
          <w:sz w:val="20"/>
          <w:szCs w:val="20"/>
          <w:lang w:eastAsia="en-GB"/>
        </w:rPr>
      </w:pPr>
      <w:r w:rsidRPr="003E7E3F">
        <w:rPr>
          <w:rStyle w:val="FootnoteReference"/>
          <w:sz w:val="20"/>
          <w:szCs w:val="20"/>
        </w:rPr>
        <w:footnoteRef/>
      </w:r>
      <w:r w:rsidRPr="003E7E3F">
        <w:rPr>
          <w:sz w:val="20"/>
          <w:szCs w:val="20"/>
        </w:rPr>
        <w:t xml:space="preserve"> </w:t>
      </w:r>
      <w:r>
        <w:rPr>
          <w:sz w:val="20"/>
          <w:szCs w:val="20"/>
        </w:rPr>
        <w:t>Selected m</w:t>
      </w:r>
      <w:r w:rsidRPr="003E7E3F">
        <w:rPr>
          <w:rFonts w:eastAsia="Times New Roman"/>
          <w:sz w:val="20"/>
          <w:szCs w:val="20"/>
          <w:lang w:eastAsia="en-GB"/>
        </w:rPr>
        <w:t>ethod</w:t>
      </w:r>
      <w:r>
        <w:rPr>
          <w:rFonts w:eastAsia="Times New Roman"/>
          <w:sz w:val="20"/>
          <w:szCs w:val="20"/>
          <w:lang w:eastAsia="en-GB"/>
        </w:rPr>
        <w:t xml:space="preserve">s from </w:t>
      </w:r>
      <w:r w:rsidRPr="007662B0">
        <w:rPr>
          <w:sz w:val="20"/>
          <w:szCs w:val="20"/>
        </w:rPr>
        <w:t>Scheuer</w:t>
      </w:r>
      <w:r>
        <w:rPr>
          <w:sz w:val="20"/>
          <w:szCs w:val="20"/>
        </w:rPr>
        <w:t xml:space="preserve"> et al., 1980; Scheuer and Black 2000</w:t>
      </w:r>
      <w:r w:rsidRPr="007662B0">
        <w:rPr>
          <w:sz w:val="20"/>
          <w:szCs w:val="20"/>
        </w:rPr>
        <w:t xml:space="preserve"> (Sc) </w:t>
      </w:r>
      <w:r w:rsidRPr="007662B0">
        <w:rPr>
          <w:rFonts w:eastAsia="Times New Roman"/>
          <w:sz w:val="20"/>
          <w:szCs w:val="20"/>
          <w:lang w:eastAsia="en-GB"/>
        </w:rPr>
        <w:t>Sc1</w:t>
      </w:r>
      <w:r w:rsidRPr="003E7E3F">
        <w:rPr>
          <w:rFonts w:eastAsia="Times New Roman"/>
          <w:sz w:val="20"/>
          <w:szCs w:val="20"/>
          <w:lang w:eastAsia="en-GB"/>
        </w:rPr>
        <w:t>.01 = (0.1724(F)+0.1538(T)+0.0674(H)-0.0718(R)+0.1397(U)+7.2624)</w:t>
      </w:r>
      <w:r>
        <w:rPr>
          <w:rFonts w:eastAsia="Times New Roman"/>
          <w:sz w:val="20"/>
          <w:szCs w:val="20"/>
          <w:lang w:eastAsia="en-GB"/>
        </w:rPr>
        <w:t xml:space="preserve"> </w:t>
      </w:r>
      <w:r w:rsidRPr="003E7E3F">
        <w:rPr>
          <w:rFonts w:eastAsia="Times New Roman"/>
          <w:sz w:val="20"/>
          <w:szCs w:val="20"/>
          <w:lang w:eastAsia="en-GB"/>
        </w:rPr>
        <w:t xml:space="preserve">±1.88; </w:t>
      </w:r>
      <w:r>
        <w:rPr>
          <w:rFonts w:eastAsia="Times New Roman"/>
          <w:sz w:val="20"/>
          <w:szCs w:val="20"/>
          <w:lang w:eastAsia="en-GB"/>
        </w:rPr>
        <w:t>Sc</w:t>
      </w:r>
      <w:r w:rsidRPr="003E7E3F">
        <w:rPr>
          <w:rFonts w:eastAsia="Times New Roman"/>
          <w:sz w:val="20"/>
          <w:szCs w:val="20"/>
          <w:lang w:eastAsia="en-GB"/>
        </w:rPr>
        <w:t>1.02 = (0.1984(FM)+0.2291(T)+9.3575)</w:t>
      </w:r>
      <w:r>
        <w:rPr>
          <w:rFonts w:eastAsia="Times New Roman"/>
          <w:sz w:val="20"/>
          <w:szCs w:val="20"/>
          <w:lang w:eastAsia="en-GB"/>
        </w:rPr>
        <w:t xml:space="preserve"> </w:t>
      </w:r>
      <w:r w:rsidRPr="003E7E3F">
        <w:rPr>
          <w:rFonts w:eastAsia="Times New Roman"/>
          <w:sz w:val="20"/>
          <w:szCs w:val="20"/>
          <w:lang w:eastAsia="en-GB"/>
        </w:rPr>
        <w:t>±1.87</w:t>
      </w:r>
      <w:r>
        <w:rPr>
          <w:rFonts w:eastAsia="Times New Roman"/>
          <w:sz w:val="20"/>
          <w:szCs w:val="20"/>
          <w:lang w:eastAsia="en-GB"/>
        </w:rPr>
        <w:t>; Sc</w:t>
      </w:r>
      <w:r w:rsidRPr="00051D09">
        <w:rPr>
          <w:rFonts w:eastAsia="Times New Roman"/>
          <w:sz w:val="20"/>
          <w:szCs w:val="20"/>
          <w:lang w:eastAsia="en-GB"/>
        </w:rPr>
        <w:t>1.04 = (0.3303(FM)+13.5583)</w:t>
      </w:r>
      <w:r>
        <w:rPr>
          <w:rFonts w:eastAsia="Times New Roman"/>
          <w:sz w:val="20"/>
          <w:szCs w:val="20"/>
          <w:lang w:eastAsia="en-GB"/>
        </w:rPr>
        <w:t xml:space="preserve"> </w:t>
      </w:r>
      <w:r w:rsidRPr="00051D09">
        <w:rPr>
          <w:rFonts w:eastAsia="Times New Roman"/>
          <w:sz w:val="20"/>
          <w:szCs w:val="20"/>
          <w:lang w:eastAsia="en-GB"/>
        </w:rPr>
        <w:t>±2.08</w:t>
      </w:r>
      <w:r>
        <w:rPr>
          <w:rFonts w:eastAsia="Times New Roman"/>
          <w:sz w:val="20"/>
          <w:szCs w:val="20"/>
          <w:lang w:eastAsia="en-GB"/>
        </w:rPr>
        <w:t xml:space="preserve">; Sc1.06 = </w:t>
      </w:r>
      <w:r w:rsidRPr="00051D09">
        <w:rPr>
          <w:rFonts w:eastAsia="Times New Roman"/>
          <w:sz w:val="20"/>
          <w:szCs w:val="20"/>
          <w:lang w:eastAsia="en-GB"/>
        </w:rPr>
        <w:t>(0.</w:t>
      </w:r>
      <w:r>
        <w:rPr>
          <w:rFonts w:eastAsia="Times New Roman"/>
          <w:sz w:val="20"/>
          <w:szCs w:val="20"/>
          <w:lang w:eastAsia="en-GB"/>
        </w:rPr>
        <w:t>4207</w:t>
      </w:r>
      <w:r w:rsidRPr="00051D09">
        <w:rPr>
          <w:rFonts w:eastAsia="Times New Roman"/>
          <w:sz w:val="20"/>
          <w:szCs w:val="20"/>
          <w:lang w:eastAsia="en-GB"/>
        </w:rPr>
        <w:t>(</w:t>
      </w:r>
      <w:r>
        <w:rPr>
          <w:rFonts w:eastAsia="Times New Roman"/>
          <w:sz w:val="20"/>
          <w:szCs w:val="20"/>
          <w:lang w:eastAsia="en-GB"/>
        </w:rPr>
        <w:t>T</w:t>
      </w:r>
      <w:r w:rsidRPr="00051D09">
        <w:rPr>
          <w:rFonts w:eastAsia="Times New Roman"/>
          <w:sz w:val="20"/>
          <w:szCs w:val="20"/>
          <w:lang w:eastAsia="en-GB"/>
        </w:rPr>
        <w:t>)+1</w:t>
      </w:r>
      <w:r>
        <w:rPr>
          <w:rFonts w:eastAsia="Times New Roman"/>
          <w:sz w:val="20"/>
          <w:szCs w:val="20"/>
          <w:lang w:eastAsia="en-GB"/>
        </w:rPr>
        <w:t>1</w:t>
      </w:r>
      <w:r w:rsidRPr="00051D09">
        <w:rPr>
          <w:rFonts w:eastAsia="Times New Roman"/>
          <w:sz w:val="20"/>
          <w:szCs w:val="20"/>
          <w:lang w:eastAsia="en-GB"/>
        </w:rPr>
        <w:t>.</w:t>
      </w:r>
      <w:r>
        <w:rPr>
          <w:rFonts w:eastAsia="Times New Roman"/>
          <w:sz w:val="20"/>
          <w:szCs w:val="20"/>
          <w:lang w:eastAsia="en-GB"/>
        </w:rPr>
        <w:t>4724</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12;</w:t>
      </w:r>
      <w:r w:rsidRPr="006F5185">
        <w:rPr>
          <w:rFonts w:eastAsia="Times New Roman"/>
          <w:sz w:val="20"/>
          <w:szCs w:val="20"/>
          <w:lang w:eastAsia="en-GB"/>
        </w:rPr>
        <w:t xml:space="preserve"> </w:t>
      </w:r>
      <w:r>
        <w:rPr>
          <w:rFonts w:eastAsia="Times New Roman"/>
          <w:sz w:val="20"/>
          <w:szCs w:val="20"/>
          <w:lang w:eastAsia="en-GB"/>
        </w:rPr>
        <w:t>Sc</w:t>
      </w:r>
      <w:r w:rsidRPr="00051D09">
        <w:rPr>
          <w:rFonts w:eastAsia="Times New Roman"/>
          <w:sz w:val="20"/>
          <w:szCs w:val="20"/>
          <w:lang w:eastAsia="en-GB"/>
        </w:rPr>
        <w:t>1.0</w:t>
      </w:r>
      <w:r>
        <w:rPr>
          <w:rFonts w:eastAsia="Times New Roman"/>
          <w:sz w:val="20"/>
          <w:szCs w:val="20"/>
          <w:lang w:eastAsia="en-GB"/>
        </w:rPr>
        <w:t>8</w:t>
      </w:r>
      <w:r w:rsidRPr="00051D09">
        <w:rPr>
          <w:rFonts w:eastAsia="Times New Roman"/>
          <w:sz w:val="20"/>
          <w:szCs w:val="20"/>
          <w:lang w:eastAsia="en-GB"/>
        </w:rPr>
        <w:t xml:space="preserve"> = (0.</w:t>
      </w:r>
      <w:r>
        <w:rPr>
          <w:rFonts w:eastAsia="Times New Roman"/>
          <w:sz w:val="20"/>
          <w:szCs w:val="20"/>
          <w:lang w:eastAsia="en-GB"/>
        </w:rPr>
        <w:t>4585</w:t>
      </w:r>
      <w:r w:rsidRPr="00051D09">
        <w:rPr>
          <w:rFonts w:eastAsia="Times New Roman"/>
          <w:sz w:val="20"/>
          <w:szCs w:val="20"/>
          <w:lang w:eastAsia="en-GB"/>
        </w:rPr>
        <w:t>(</w:t>
      </w:r>
      <w:r>
        <w:rPr>
          <w:rFonts w:eastAsia="Times New Roman"/>
          <w:sz w:val="20"/>
          <w:szCs w:val="20"/>
          <w:lang w:eastAsia="en-GB"/>
        </w:rPr>
        <w:t>H</w:t>
      </w:r>
      <w:r w:rsidRPr="00051D09">
        <w:rPr>
          <w:rFonts w:eastAsia="Times New Roman"/>
          <w:sz w:val="20"/>
          <w:szCs w:val="20"/>
          <w:lang w:eastAsia="en-GB"/>
        </w:rPr>
        <w:t>)+</w:t>
      </w:r>
      <w:r>
        <w:rPr>
          <w:rFonts w:eastAsia="Times New Roman"/>
          <w:sz w:val="20"/>
          <w:szCs w:val="20"/>
          <w:lang w:eastAsia="en-GB"/>
        </w:rPr>
        <w:t>8</w:t>
      </w:r>
      <w:r w:rsidRPr="00051D09">
        <w:rPr>
          <w:rFonts w:eastAsia="Times New Roman"/>
          <w:sz w:val="20"/>
          <w:szCs w:val="20"/>
          <w:lang w:eastAsia="en-GB"/>
        </w:rPr>
        <w:t>.</w:t>
      </w:r>
      <w:r>
        <w:rPr>
          <w:rFonts w:eastAsia="Times New Roman"/>
          <w:sz w:val="20"/>
          <w:szCs w:val="20"/>
          <w:lang w:eastAsia="en-GB"/>
        </w:rPr>
        <w:t>6563</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33;</w:t>
      </w:r>
      <w:r w:rsidRPr="006F5185">
        <w:rPr>
          <w:rFonts w:eastAsia="Times New Roman"/>
          <w:sz w:val="20"/>
          <w:szCs w:val="20"/>
          <w:lang w:eastAsia="en-GB"/>
        </w:rPr>
        <w:t xml:space="preserve"> </w:t>
      </w:r>
      <w:r>
        <w:rPr>
          <w:rFonts w:eastAsia="Times New Roman"/>
          <w:sz w:val="20"/>
          <w:szCs w:val="20"/>
          <w:lang w:eastAsia="en-GB"/>
        </w:rPr>
        <w:t>Sc</w:t>
      </w:r>
      <w:r w:rsidRPr="00051D09">
        <w:rPr>
          <w:rFonts w:eastAsia="Times New Roman"/>
          <w:sz w:val="20"/>
          <w:szCs w:val="20"/>
          <w:lang w:eastAsia="en-GB"/>
        </w:rPr>
        <w:t>1.</w:t>
      </w:r>
      <w:r>
        <w:rPr>
          <w:rFonts w:eastAsia="Times New Roman"/>
          <w:sz w:val="20"/>
          <w:szCs w:val="20"/>
          <w:lang w:eastAsia="en-GB"/>
        </w:rPr>
        <w:t>10</w:t>
      </w:r>
      <w:r w:rsidRPr="00051D09">
        <w:rPr>
          <w:rFonts w:eastAsia="Times New Roman"/>
          <w:sz w:val="20"/>
          <w:szCs w:val="20"/>
          <w:lang w:eastAsia="en-GB"/>
        </w:rPr>
        <w:t xml:space="preserve"> = (0.</w:t>
      </w:r>
      <w:r>
        <w:rPr>
          <w:rFonts w:eastAsia="Times New Roman"/>
          <w:sz w:val="20"/>
          <w:szCs w:val="20"/>
          <w:lang w:eastAsia="en-GB"/>
        </w:rPr>
        <w:t>5850</w:t>
      </w:r>
      <w:r w:rsidRPr="00051D09">
        <w:rPr>
          <w:rFonts w:eastAsia="Times New Roman"/>
          <w:sz w:val="20"/>
          <w:szCs w:val="20"/>
          <w:lang w:eastAsia="en-GB"/>
        </w:rPr>
        <w:t>(</w:t>
      </w:r>
      <w:r>
        <w:rPr>
          <w:rFonts w:eastAsia="Times New Roman"/>
          <w:sz w:val="20"/>
          <w:szCs w:val="20"/>
          <w:lang w:eastAsia="en-GB"/>
        </w:rPr>
        <w:t>R</w:t>
      </w:r>
      <w:r w:rsidRPr="00051D09">
        <w:rPr>
          <w:rFonts w:eastAsia="Times New Roman"/>
          <w:sz w:val="20"/>
          <w:szCs w:val="20"/>
          <w:lang w:eastAsia="en-GB"/>
        </w:rPr>
        <w:t>)+</w:t>
      </w:r>
      <w:r>
        <w:rPr>
          <w:rFonts w:eastAsia="Times New Roman"/>
          <w:sz w:val="20"/>
          <w:szCs w:val="20"/>
          <w:lang w:eastAsia="en-GB"/>
        </w:rPr>
        <w:t>7</w:t>
      </w:r>
      <w:r w:rsidRPr="00051D09">
        <w:rPr>
          <w:rFonts w:eastAsia="Times New Roman"/>
          <w:sz w:val="20"/>
          <w:szCs w:val="20"/>
          <w:lang w:eastAsia="en-GB"/>
        </w:rPr>
        <w:t>.</w:t>
      </w:r>
      <w:r>
        <w:rPr>
          <w:rFonts w:eastAsia="Times New Roman"/>
          <w:sz w:val="20"/>
          <w:szCs w:val="20"/>
          <w:lang w:eastAsia="en-GB"/>
        </w:rPr>
        <w:t>7100</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29; Sc</w:t>
      </w:r>
      <w:r w:rsidRPr="00051D09">
        <w:rPr>
          <w:rFonts w:eastAsia="Times New Roman"/>
          <w:sz w:val="20"/>
          <w:szCs w:val="20"/>
          <w:lang w:eastAsia="en-GB"/>
        </w:rPr>
        <w:t>1.</w:t>
      </w:r>
      <w:r>
        <w:rPr>
          <w:rFonts w:eastAsia="Times New Roman"/>
          <w:sz w:val="20"/>
          <w:szCs w:val="20"/>
          <w:lang w:eastAsia="en-GB"/>
        </w:rPr>
        <w:t>12</w:t>
      </w:r>
      <w:r w:rsidRPr="00051D09">
        <w:rPr>
          <w:rFonts w:eastAsia="Times New Roman"/>
          <w:sz w:val="20"/>
          <w:szCs w:val="20"/>
          <w:lang w:eastAsia="en-GB"/>
        </w:rPr>
        <w:t xml:space="preserve"> = (0.</w:t>
      </w:r>
      <w:r>
        <w:rPr>
          <w:rFonts w:eastAsia="Times New Roman"/>
          <w:sz w:val="20"/>
          <w:szCs w:val="20"/>
          <w:lang w:eastAsia="en-GB"/>
        </w:rPr>
        <w:t>5072</w:t>
      </w:r>
      <w:r w:rsidRPr="00051D09">
        <w:rPr>
          <w:rFonts w:eastAsia="Times New Roman"/>
          <w:sz w:val="20"/>
          <w:szCs w:val="20"/>
          <w:lang w:eastAsia="en-GB"/>
        </w:rPr>
        <w:t>(</w:t>
      </w:r>
      <w:r>
        <w:rPr>
          <w:rFonts w:eastAsia="Times New Roman"/>
          <w:sz w:val="20"/>
          <w:szCs w:val="20"/>
          <w:lang w:eastAsia="en-GB"/>
        </w:rPr>
        <w:t>U</w:t>
      </w:r>
      <w:r w:rsidRPr="00051D09">
        <w:rPr>
          <w:rFonts w:eastAsia="Times New Roman"/>
          <w:sz w:val="20"/>
          <w:szCs w:val="20"/>
          <w:lang w:eastAsia="en-GB"/>
        </w:rPr>
        <w:t>)+</w:t>
      </w:r>
      <w:r>
        <w:rPr>
          <w:rFonts w:eastAsia="Times New Roman"/>
          <w:sz w:val="20"/>
          <w:szCs w:val="20"/>
          <w:lang w:eastAsia="en-GB"/>
        </w:rPr>
        <w:t>7.8208</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w:t>
      </w:r>
      <w:r w:rsidRPr="00051D09">
        <w:rPr>
          <w:rFonts w:eastAsia="Times New Roman"/>
          <w:sz w:val="20"/>
          <w:szCs w:val="20"/>
          <w:lang w:eastAsia="en-GB"/>
        </w:rPr>
        <w:t>0</w:t>
      </w:r>
      <w:r>
        <w:rPr>
          <w:rFonts w:eastAsia="Times New Roman"/>
          <w:sz w:val="20"/>
          <w:szCs w:val="20"/>
          <w:lang w:eastAsia="en-GB"/>
        </w:rPr>
        <w:t xml:space="preserve">.  F = femoral length; T = tibial length; H = humeral length; R = radial length; U = ulna length. All long bone measurements in mm and standard error in weeks. Each method name is taken from the original text with the addition of the first author initial. </w:t>
      </w:r>
    </w:p>
  </w:footnote>
  <w:footnote w:id="7">
    <w:p w14:paraId="48098F98" w14:textId="77777777" w:rsidR="00C736C4" w:rsidRPr="008F1D47" w:rsidRDefault="00C736C4" w:rsidP="00C736C4">
      <w:pPr>
        <w:rPr>
          <w:rFonts w:eastAsia="Times New Roman"/>
          <w:sz w:val="20"/>
          <w:szCs w:val="20"/>
          <w:lang w:eastAsia="en-GB"/>
        </w:rPr>
      </w:pPr>
      <w:r w:rsidRPr="00753C03">
        <w:rPr>
          <w:rStyle w:val="FootnoteReference"/>
          <w:sz w:val="20"/>
          <w:szCs w:val="20"/>
        </w:rPr>
        <w:footnoteRef/>
      </w:r>
      <w:r w:rsidRPr="00753C03">
        <w:rPr>
          <w:sz w:val="20"/>
          <w:szCs w:val="20"/>
        </w:rPr>
        <w:t xml:space="preserve"> </w:t>
      </w:r>
      <w:r w:rsidRPr="007662B0">
        <w:rPr>
          <w:rFonts w:eastAsia="Times New Roman"/>
          <w:sz w:val="20"/>
          <w:szCs w:val="20"/>
          <w:lang w:eastAsia="en-GB"/>
        </w:rPr>
        <w:t xml:space="preserve">Methods </w:t>
      </w:r>
      <w:r>
        <w:rPr>
          <w:rFonts w:eastAsia="Times New Roman"/>
          <w:sz w:val="20"/>
          <w:szCs w:val="20"/>
          <w:lang w:eastAsia="en-GB"/>
        </w:rPr>
        <w:t xml:space="preserve">from </w:t>
      </w:r>
      <w:r w:rsidRPr="007662B0">
        <w:rPr>
          <w:sz w:val="20"/>
          <w:szCs w:val="20"/>
        </w:rPr>
        <w:t>Sharwood</w:t>
      </w:r>
      <w:r>
        <w:rPr>
          <w:sz w:val="20"/>
          <w:szCs w:val="20"/>
        </w:rPr>
        <w:t xml:space="preserve"> et al., 2000</w:t>
      </w:r>
      <w:r w:rsidRPr="007662B0">
        <w:rPr>
          <w:sz w:val="20"/>
          <w:szCs w:val="20"/>
        </w:rPr>
        <w:t xml:space="preserve"> (Sh</w:t>
      </w:r>
      <w:r>
        <w:rPr>
          <w:sz w:val="20"/>
          <w:szCs w:val="20"/>
        </w:rPr>
        <w:t>)</w:t>
      </w:r>
      <w:r>
        <w:rPr>
          <w:rFonts w:eastAsia="Times New Roman"/>
          <w:sz w:val="20"/>
          <w:szCs w:val="20"/>
          <w:lang w:eastAsia="en-GB"/>
        </w:rPr>
        <w:t xml:space="preserve"> Sh</w:t>
      </w:r>
      <w:r w:rsidRPr="00753C03">
        <w:rPr>
          <w:rFonts w:eastAsia="Times New Roman"/>
          <w:sz w:val="20"/>
          <w:szCs w:val="20"/>
          <w:lang w:eastAsia="en-GB"/>
        </w:rPr>
        <w:t>H = (12.98+0.25(H)+(0.0024)(H</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±2.12; </w:t>
      </w:r>
      <w:r>
        <w:rPr>
          <w:rFonts w:eastAsia="Times New Roman"/>
          <w:sz w:val="20"/>
          <w:szCs w:val="20"/>
          <w:lang w:eastAsia="en-GB"/>
        </w:rPr>
        <w:t>Sh</w:t>
      </w:r>
      <w:r w:rsidRPr="00753C03">
        <w:rPr>
          <w:rFonts w:eastAsia="Times New Roman"/>
          <w:sz w:val="20"/>
          <w:szCs w:val="20"/>
          <w:lang w:eastAsia="en-GB"/>
        </w:rPr>
        <w:t>U = (14.28 +0.19(U)+0.0039)(U</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±2.08; </w:t>
      </w:r>
      <w:r>
        <w:rPr>
          <w:rFonts w:eastAsia="Times New Roman"/>
          <w:sz w:val="20"/>
          <w:szCs w:val="20"/>
          <w:lang w:eastAsia="en-GB"/>
        </w:rPr>
        <w:t>Sh</w:t>
      </w:r>
      <w:r w:rsidRPr="00753C03">
        <w:rPr>
          <w:rFonts w:eastAsia="Times New Roman"/>
          <w:sz w:val="20"/>
          <w:szCs w:val="20"/>
          <w:lang w:eastAsia="en-GB"/>
        </w:rPr>
        <w:t>R</w:t>
      </w:r>
      <w:r>
        <w:rPr>
          <w:rFonts w:eastAsia="Times New Roman"/>
          <w:sz w:val="20"/>
          <w:szCs w:val="20"/>
          <w:lang w:eastAsia="en-GB"/>
        </w:rPr>
        <w:t xml:space="preserve"> </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(13.53+0.25(R)+(0.0045)(R</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±2.14; </w:t>
      </w:r>
      <w:r>
        <w:rPr>
          <w:rFonts w:eastAsia="Times New Roman"/>
          <w:sz w:val="20"/>
          <w:szCs w:val="20"/>
          <w:lang w:eastAsia="en-GB"/>
        </w:rPr>
        <w:t>Sh</w:t>
      </w:r>
      <w:r w:rsidRPr="00753C03">
        <w:rPr>
          <w:rFonts w:eastAsia="Times New Roman"/>
          <w:sz w:val="20"/>
          <w:szCs w:val="20"/>
          <w:lang w:eastAsia="en-GB"/>
        </w:rPr>
        <w:t>FM = (10.91+0.38(FM))</w:t>
      </w:r>
      <w:r>
        <w:rPr>
          <w:rFonts w:eastAsia="Times New Roman"/>
          <w:sz w:val="20"/>
          <w:szCs w:val="20"/>
          <w:lang w:eastAsia="en-GB"/>
        </w:rPr>
        <w:t xml:space="preserve"> </w:t>
      </w:r>
      <w:r w:rsidRPr="00753C03">
        <w:rPr>
          <w:rFonts w:eastAsia="Times New Roman"/>
          <w:sz w:val="20"/>
          <w:szCs w:val="20"/>
          <w:lang w:eastAsia="en-GB"/>
        </w:rPr>
        <w:t xml:space="preserve">±2.05; </w:t>
      </w:r>
      <w:r>
        <w:rPr>
          <w:rFonts w:eastAsia="Times New Roman"/>
          <w:sz w:val="20"/>
          <w:szCs w:val="20"/>
          <w:lang w:eastAsia="en-GB"/>
        </w:rPr>
        <w:t>Sh</w:t>
      </w:r>
      <w:r w:rsidRPr="00753C03">
        <w:rPr>
          <w:rFonts w:eastAsia="Times New Roman"/>
          <w:sz w:val="20"/>
          <w:szCs w:val="20"/>
          <w:lang w:eastAsia="en-GB"/>
        </w:rPr>
        <w:t>T = (15.13+0.19(T)+(0.0031)(T</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 xml:space="preserve">±2.06; </w:t>
      </w:r>
      <w:r>
        <w:rPr>
          <w:rFonts w:eastAsia="Times New Roman"/>
          <w:sz w:val="20"/>
          <w:szCs w:val="20"/>
          <w:lang w:eastAsia="en-GB"/>
        </w:rPr>
        <w:t>Sh</w:t>
      </w:r>
      <w:r w:rsidRPr="00753C03">
        <w:rPr>
          <w:rFonts w:eastAsia="Times New Roman"/>
          <w:sz w:val="20"/>
          <w:szCs w:val="20"/>
          <w:lang w:eastAsia="en-GB"/>
        </w:rPr>
        <w:t>FB = (14.72+0.21(FB)+0.0036(FB</w:t>
      </w:r>
      <w:r>
        <w:rPr>
          <w:rFonts w:eastAsia="Times New Roman"/>
          <w:sz w:val="20"/>
          <w:szCs w:val="20"/>
          <w:vertAlign w:val="superscript"/>
          <w:lang w:eastAsia="en-GB"/>
        </w:rPr>
        <w:t>2</w:t>
      </w:r>
      <w:r w:rsidRPr="00753C03">
        <w:rPr>
          <w:rFonts w:eastAsia="Times New Roman"/>
          <w:sz w:val="20"/>
          <w:szCs w:val="20"/>
          <w:lang w:eastAsia="en-GB"/>
        </w:rPr>
        <w:t>))</w:t>
      </w:r>
      <w:r>
        <w:rPr>
          <w:rFonts w:eastAsia="Times New Roman"/>
          <w:sz w:val="20"/>
          <w:szCs w:val="20"/>
          <w:lang w:eastAsia="en-GB"/>
        </w:rPr>
        <w:t xml:space="preserve"> </w:t>
      </w:r>
      <w:r w:rsidRPr="00753C03">
        <w:rPr>
          <w:rFonts w:eastAsia="Times New Roman"/>
          <w:sz w:val="20"/>
          <w:szCs w:val="20"/>
          <w:lang w:eastAsia="en-GB"/>
        </w:rPr>
        <w:t>±2.19.</w:t>
      </w:r>
      <w:r>
        <w:rPr>
          <w:rFonts w:eastAsia="Times New Roman"/>
          <w:sz w:val="20"/>
          <w:szCs w:val="20"/>
          <w:lang w:eastAsia="en-GB"/>
        </w:rPr>
        <w:t xml:space="preserve"> Abbreviations as above plus FB = fibula length, long bone measurements in mm and standard error in weeks. Each method name is taken from the long bone used with addition of the first author initial. </w:t>
      </w:r>
    </w:p>
  </w:footnote>
  <w:footnote w:id="8">
    <w:p w14:paraId="31D68872" w14:textId="77777777" w:rsidR="00C736C4" w:rsidRPr="008F1D47" w:rsidRDefault="00C736C4" w:rsidP="00C736C4">
      <w:pPr>
        <w:rPr>
          <w:rFonts w:eastAsia="Times New Roman"/>
          <w:sz w:val="20"/>
          <w:szCs w:val="20"/>
          <w:lang w:eastAsia="en-GB"/>
        </w:rPr>
      </w:pPr>
      <w:r>
        <w:rPr>
          <w:rStyle w:val="FootnoteReference"/>
        </w:rPr>
        <w:footnoteRef/>
      </w:r>
      <w:r>
        <w:t xml:space="preserve"> </w:t>
      </w:r>
      <w:r w:rsidRPr="008F1D47">
        <w:rPr>
          <w:sz w:val="20"/>
          <w:szCs w:val="20"/>
        </w:rPr>
        <w:t>Method</w:t>
      </w:r>
      <w:r>
        <w:rPr>
          <w:sz w:val="20"/>
          <w:szCs w:val="20"/>
        </w:rPr>
        <w:t xml:space="preserve"> from Carneiro et al., 2016</w:t>
      </w:r>
      <w:r w:rsidRPr="008F1D47">
        <w:rPr>
          <w:sz w:val="20"/>
          <w:szCs w:val="20"/>
        </w:rPr>
        <w:t xml:space="preserve"> CH = </w:t>
      </w:r>
      <w:r w:rsidRPr="00051D09">
        <w:rPr>
          <w:rFonts w:eastAsia="Times New Roman"/>
          <w:sz w:val="20"/>
          <w:szCs w:val="20"/>
          <w:lang w:eastAsia="en-GB"/>
        </w:rPr>
        <w:t>(0.</w:t>
      </w:r>
      <w:r>
        <w:rPr>
          <w:rFonts w:eastAsia="Times New Roman"/>
          <w:sz w:val="20"/>
          <w:szCs w:val="20"/>
          <w:lang w:eastAsia="en-GB"/>
        </w:rPr>
        <w:t>452</w:t>
      </w:r>
      <w:r w:rsidRPr="00051D09">
        <w:rPr>
          <w:rFonts w:eastAsia="Times New Roman"/>
          <w:sz w:val="20"/>
          <w:szCs w:val="20"/>
          <w:lang w:eastAsia="en-GB"/>
        </w:rPr>
        <w:t>(</w:t>
      </w:r>
      <w:r>
        <w:rPr>
          <w:rFonts w:eastAsia="Times New Roman"/>
          <w:sz w:val="20"/>
          <w:szCs w:val="20"/>
          <w:lang w:eastAsia="en-GB"/>
        </w:rPr>
        <w:t>H</w:t>
      </w:r>
      <w:r w:rsidRPr="00051D09">
        <w:rPr>
          <w:rFonts w:eastAsia="Times New Roman"/>
          <w:sz w:val="20"/>
          <w:szCs w:val="20"/>
          <w:lang w:eastAsia="en-GB"/>
        </w:rPr>
        <w:t>)+</w:t>
      </w:r>
      <w:r>
        <w:rPr>
          <w:rFonts w:eastAsia="Times New Roman"/>
          <w:sz w:val="20"/>
          <w:szCs w:val="20"/>
          <w:lang w:eastAsia="en-GB"/>
        </w:rPr>
        <w:t>6.814</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31</w:t>
      </w:r>
      <w:r w:rsidRPr="008F1D47">
        <w:rPr>
          <w:sz w:val="20"/>
          <w:szCs w:val="20"/>
        </w:rPr>
        <w:t xml:space="preserve">; CU = </w:t>
      </w:r>
      <w:r w:rsidRPr="00051D09">
        <w:rPr>
          <w:rFonts w:eastAsia="Times New Roman"/>
          <w:sz w:val="20"/>
          <w:szCs w:val="20"/>
          <w:lang w:eastAsia="en-GB"/>
        </w:rPr>
        <w:t>(0.</w:t>
      </w:r>
      <w:r>
        <w:rPr>
          <w:rFonts w:eastAsia="Times New Roman"/>
          <w:sz w:val="20"/>
          <w:szCs w:val="20"/>
          <w:lang w:eastAsia="en-GB"/>
        </w:rPr>
        <w:t>474</w:t>
      </w:r>
      <w:r w:rsidRPr="00051D09">
        <w:rPr>
          <w:rFonts w:eastAsia="Times New Roman"/>
          <w:sz w:val="20"/>
          <w:szCs w:val="20"/>
          <w:lang w:eastAsia="en-GB"/>
        </w:rPr>
        <w:t>(</w:t>
      </w:r>
      <w:r>
        <w:rPr>
          <w:rFonts w:eastAsia="Times New Roman"/>
          <w:sz w:val="20"/>
          <w:szCs w:val="20"/>
          <w:lang w:eastAsia="en-GB"/>
        </w:rPr>
        <w:t>U</w:t>
      </w:r>
      <w:r w:rsidRPr="00051D09">
        <w:rPr>
          <w:rFonts w:eastAsia="Times New Roman"/>
          <w:sz w:val="20"/>
          <w:szCs w:val="20"/>
          <w:lang w:eastAsia="en-GB"/>
        </w:rPr>
        <w:t>)+</w:t>
      </w:r>
      <w:r>
        <w:rPr>
          <w:rFonts w:eastAsia="Times New Roman"/>
          <w:sz w:val="20"/>
          <w:szCs w:val="20"/>
          <w:lang w:eastAsia="en-GB"/>
        </w:rPr>
        <w:t>7.278</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23</w:t>
      </w:r>
      <w:r w:rsidRPr="008F1D47">
        <w:rPr>
          <w:sz w:val="20"/>
          <w:szCs w:val="20"/>
        </w:rPr>
        <w:t xml:space="preserve">; CR = </w:t>
      </w:r>
      <w:r w:rsidRPr="00051D09">
        <w:rPr>
          <w:rFonts w:eastAsia="Times New Roman"/>
          <w:sz w:val="20"/>
          <w:szCs w:val="20"/>
          <w:lang w:eastAsia="en-GB"/>
        </w:rPr>
        <w:t>(0.</w:t>
      </w:r>
      <w:r>
        <w:rPr>
          <w:rFonts w:eastAsia="Times New Roman"/>
          <w:sz w:val="20"/>
          <w:szCs w:val="20"/>
          <w:lang w:eastAsia="en-GB"/>
        </w:rPr>
        <w:t>542</w:t>
      </w:r>
      <w:r w:rsidRPr="00051D09">
        <w:rPr>
          <w:rFonts w:eastAsia="Times New Roman"/>
          <w:sz w:val="20"/>
          <w:szCs w:val="20"/>
          <w:lang w:eastAsia="en-GB"/>
        </w:rPr>
        <w:t>(</w:t>
      </w:r>
      <w:r>
        <w:rPr>
          <w:rFonts w:eastAsia="Times New Roman"/>
          <w:sz w:val="20"/>
          <w:szCs w:val="20"/>
          <w:lang w:eastAsia="en-GB"/>
        </w:rPr>
        <w:t>R</w:t>
      </w:r>
      <w:r w:rsidRPr="00051D09">
        <w:rPr>
          <w:rFonts w:eastAsia="Times New Roman"/>
          <w:sz w:val="20"/>
          <w:szCs w:val="20"/>
          <w:lang w:eastAsia="en-GB"/>
        </w:rPr>
        <w:t>)+</w:t>
      </w:r>
      <w:r>
        <w:rPr>
          <w:rFonts w:eastAsia="Times New Roman"/>
          <w:sz w:val="20"/>
          <w:szCs w:val="20"/>
          <w:lang w:eastAsia="en-GB"/>
        </w:rPr>
        <w:t>7.003</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48</w:t>
      </w:r>
      <w:r w:rsidRPr="008F1D47">
        <w:rPr>
          <w:sz w:val="20"/>
          <w:szCs w:val="20"/>
        </w:rPr>
        <w:t xml:space="preserve">; CF = </w:t>
      </w:r>
      <w:r w:rsidRPr="00051D09">
        <w:rPr>
          <w:rFonts w:eastAsia="Times New Roman"/>
          <w:sz w:val="20"/>
          <w:szCs w:val="20"/>
          <w:lang w:eastAsia="en-GB"/>
        </w:rPr>
        <w:t>(0.</w:t>
      </w:r>
      <w:r>
        <w:rPr>
          <w:rFonts w:eastAsia="Times New Roman"/>
          <w:sz w:val="20"/>
          <w:szCs w:val="20"/>
          <w:lang w:eastAsia="en-GB"/>
        </w:rPr>
        <w:t>372</w:t>
      </w:r>
      <w:r w:rsidRPr="00051D09">
        <w:rPr>
          <w:rFonts w:eastAsia="Times New Roman"/>
          <w:sz w:val="20"/>
          <w:szCs w:val="20"/>
          <w:lang w:eastAsia="en-GB"/>
        </w:rPr>
        <w:t>(</w:t>
      </w:r>
      <w:r>
        <w:rPr>
          <w:rFonts w:eastAsia="Times New Roman"/>
          <w:sz w:val="20"/>
          <w:szCs w:val="20"/>
          <w:lang w:eastAsia="en-GB"/>
        </w:rPr>
        <w:t>F</w:t>
      </w:r>
      <w:r w:rsidRPr="00051D09">
        <w:rPr>
          <w:rFonts w:eastAsia="Times New Roman"/>
          <w:sz w:val="20"/>
          <w:szCs w:val="20"/>
          <w:lang w:eastAsia="en-GB"/>
        </w:rPr>
        <w:t>)+</w:t>
      </w:r>
      <w:r>
        <w:rPr>
          <w:rFonts w:eastAsia="Times New Roman"/>
          <w:sz w:val="20"/>
          <w:szCs w:val="20"/>
          <w:lang w:eastAsia="en-GB"/>
        </w:rPr>
        <w:t>8.525</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00</w:t>
      </w:r>
      <w:r w:rsidRPr="008F1D47">
        <w:rPr>
          <w:sz w:val="20"/>
          <w:szCs w:val="20"/>
        </w:rPr>
        <w:t xml:space="preserve">; CT = </w:t>
      </w:r>
      <w:r w:rsidRPr="00051D09">
        <w:rPr>
          <w:rFonts w:eastAsia="Times New Roman"/>
          <w:sz w:val="20"/>
          <w:szCs w:val="20"/>
          <w:lang w:eastAsia="en-GB"/>
        </w:rPr>
        <w:t>(0.</w:t>
      </w:r>
      <w:r>
        <w:rPr>
          <w:rFonts w:eastAsia="Times New Roman"/>
          <w:sz w:val="20"/>
          <w:szCs w:val="20"/>
          <w:lang w:eastAsia="en-GB"/>
        </w:rPr>
        <w:t>428</w:t>
      </w:r>
      <w:r w:rsidRPr="00051D09">
        <w:rPr>
          <w:rFonts w:eastAsia="Times New Roman"/>
          <w:sz w:val="20"/>
          <w:szCs w:val="20"/>
          <w:lang w:eastAsia="en-GB"/>
        </w:rPr>
        <w:t>(</w:t>
      </w:r>
      <w:r>
        <w:rPr>
          <w:rFonts w:eastAsia="Times New Roman"/>
          <w:sz w:val="20"/>
          <w:szCs w:val="20"/>
          <w:lang w:eastAsia="en-GB"/>
        </w:rPr>
        <w:t>T</w:t>
      </w:r>
      <w:r w:rsidRPr="00051D09">
        <w:rPr>
          <w:rFonts w:eastAsia="Times New Roman"/>
          <w:sz w:val="20"/>
          <w:szCs w:val="20"/>
          <w:lang w:eastAsia="en-GB"/>
        </w:rPr>
        <w:t>)+</w:t>
      </w:r>
      <w:r>
        <w:rPr>
          <w:rFonts w:eastAsia="Times New Roman"/>
          <w:sz w:val="20"/>
          <w:szCs w:val="20"/>
          <w:lang w:eastAsia="en-GB"/>
        </w:rPr>
        <w:t>8.514</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 xml:space="preserve">12; CFB = </w:t>
      </w:r>
      <w:r w:rsidRPr="00051D09">
        <w:rPr>
          <w:rFonts w:eastAsia="Times New Roman"/>
          <w:sz w:val="20"/>
          <w:szCs w:val="20"/>
          <w:lang w:eastAsia="en-GB"/>
        </w:rPr>
        <w:t>(0.</w:t>
      </w:r>
      <w:r>
        <w:rPr>
          <w:rFonts w:eastAsia="Times New Roman"/>
          <w:sz w:val="20"/>
          <w:szCs w:val="20"/>
          <w:lang w:eastAsia="en-GB"/>
        </w:rPr>
        <w:t>451</w:t>
      </w:r>
      <w:r w:rsidRPr="00051D09">
        <w:rPr>
          <w:rFonts w:eastAsia="Times New Roman"/>
          <w:sz w:val="20"/>
          <w:szCs w:val="20"/>
          <w:lang w:eastAsia="en-GB"/>
        </w:rPr>
        <w:t>(</w:t>
      </w:r>
      <w:r>
        <w:rPr>
          <w:rFonts w:eastAsia="Times New Roman"/>
          <w:sz w:val="20"/>
          <w:szCs w:val="20"/>
          <w:lang w:eastAsia="en-GB"/>
        </w:rPr>
        <w:t>FB</w:t>
      </w:r>
      <w:r w:rsidRPr="00051D09">
        <w:rPr>
          <w:rFonts w:eastAsia="Times New Roman"/>
          <w:sz w:val="20"/>
          <w:szCs w:val="20"/>
          <w:lang w:eastAsia="en-GB"/>
        </w:rPr>
        <w:t>)+</w:t>
      </w:r>
      <w:r>
        <w:rPr>
          <w:rFonts w:eastAsia="Times New Roman"/>
          <w:sz w:val="20"/>
          <w:szCs w:val="20"/>
          <w:lang w:eastAsia="en-GB"/>
        </w:rPr>
        <w:t>8.603</w:t>
      </w:r>
      <w:r w:rsidRPr="00051D09">
        <w:rPr>
          <w:rFonts w:eastAsia="Times New Roman"/>
          <w:sz w:val="20"/>
          <w:szCs w:val="20"/>
          <w:lang w:eastAsia="en-GB"/>
        </w:rPr>
        <w:t>)</w:t>
      </w:r>
      <w:r>
        <w:rPr>
          <w:rFonts w:eastAsia="Times New Roman"/>
          <w:sz w:val="20"/>
          <w:szCs w:val="20"/>
          <w:lang w:eastAsia="en-GB"/>
        </w:rPr>
        <w:t xml:space="preserve"> </w:t>
      </w:r>
      <w:r w:rsidRPr="00051D09">
        <w:rPr>
          <w:rFonts w:eastAsia="Times New Roman"/>
          <w:sz w:val="20"/>
          <w:szCs w:val="20"/>
          <w:lang w:eastAsia="en-GB"/>
        </w:rPr>
        <w:t>±2.</w:t>
      </w:r>
      <w:r>
        <w:rPr>
          <w:rFonts w:eastAsia="Times New Roman"/>
          <w:sz w:val="20"/>
          <w:szCs w:val="20"/>
          <w:lang w:eastAsia="en-GB"/>
        </w:rPr>
        <w:t>22</w:t>
      </w:r>
      <w:r w:rsidRPr="008F1D47">
        <w:rPr>
          <w:sz w:val="20"/>
          <w:szCs w:val="20"/>
        </w:rPr>
        <w:t xml:space="preserve">. </w:t>
      </w:r>
      <w:r w:rsidRPr="008F1D47">
        <w:rPr>
          <w:rFonts w:eastAsia="Times New Roman"/>
          <w:sz w:val="20"/>
          <w:szCs w:val="20"/>
          <w:lang w:eastAsia="en-GB"/>
        </w:rPr>
        <w:t>A</w:t>
      </w:r>
      <w:r>
        <w:rPr>
          <w:rFonts w:eastAsia="Times New Roman"/>
          <w:sz w:val="20"/>
          <w:szCs w:val="20"/>
          <w:lang w:eastAsia="en-GB"/>
        </w:rPr>
        <w:t xml:space="preserve">bbreviations as above, </w:t>
      </w:r>
      <w:r w:rsidRPr="008F1D47">
        <w:rPr>
          <w:rFonts w:eastAsia="Times New Roman"/>
          <w:sz w:val="20"/>
          <w:szCs w:val="20"/>
          <w:lang w:eastAsia="en-GB"/>
        </w:rPr>
        <w:t>long bone measurements in mm and standard error in weeks.</w:t>
      </w:r>
      <w:r>
        <w:rPr>
          <w:rFonts w:eastAsia="Times New Roman"/>
          <w:sz w:val="20"/>
          <w:szCs w:val="20"/>
          <w:lang w:eastAsia="en-GB"/>
        </w:rPr>
        <w:t xml:space="preserve"> Each method name is taken from the long bone used with addition of the first author initial. </w:t>
      </w:r>
    </w:p>
  </w:footnote>
  <w:footnote w:id="9">
    <w:p w14:paraId="0E3D492C" w14:textId="77777777" w:rsidR="00C736C4" w:rsidRPr="008F1D47" w:rsidRDefault="00C736C4" w:rsidP="00C736C4">
      <w:pPr>
        <w:rPr>
          <w:rFonts w:eastAsia="Times New Roman"/>
          <w:sz w:val="20"/>
          <w:szCs w:val="20"/>
          <w:lang w:eastAsia="en-GB"/>
        </w:rPr>
      </w:pPr>
      <w:r>
        <w:rPr>
          <w:rStyle w:val="FootnoteReference"/>
        </w:rPr>
        <w:footnoteRef/>
      </w:r>
      <w:r>
        <w:t xml:space="preserve"> </w:t>
      </w:r>
      <w:r w:rsidRPr="008F1D47">
        <w:rPr>
          <w:sz w:val="20"/>
          <w:szCs w:val="20"/>
        </w:rPr>
        <w:t>Weighted means from the prior probabilities of age model Gowland and Chamberlain (2002) = (0.4208*(F))+9.0467)</w:t>
      </w:r>
      <w:r w:rsidRPr="008F1D47">
        <w:rPr>
          <w:rFonts w:eastAsia="Times New Roman"/>
          <w:sz w:val="20"/>
          <w:szCs w:val="20"/>
          <w:lang w:eastAsia="en-GB"/>
        </w:rPr>
        <w:t xml:space="preserve">. ± values vary depending on the length of the bone, the smallest being ±0 at 15mm and the largest being +5.16/-4.84 at 65mm. </w:t>
      </w:r>
      <w:r w:rsidRPr="008F1D47">
        <w:rPr>
          <w:rFonts w:eastAsia="Times New Roman"/>
          <w:sz w:val="22"/>
          <w:szCs w:val="22"/>
          <w:lang w:eastAsia="en-GB"/>
        </w:rPr>
        <w:t>A</w:t>
      </w:r>
      <w:r>
        <w:rPr>
          <w:rFonts w:eastAsia="Times New Roman"/>
          <w:sz w:val="20"/>
          <w:szCs w:val="20"/>
          <w:lang w:eastAsia="en-GB"/>
        </w:rPr>
        <w:t xml:space="preserve">bbreviations as above, long bone measurements in mm and standard error in weeks. </w:t>
      </w:r>
    </w:p>
  </w:footnote>
  <w:footnote w:id="10">
    <w:p w14:paraId="602CC299" w14:textId="77777777" w:rsidR="00C736C4" w:rsidRDefault="00C736C4" w:rsidP="00C736C4">
      <w:pPr>
        <w:pStyle w:val="FootnoteText"/>
      </w:pPr>
      <w:r>
        <w:rPr>
          <w:rStyle w:val="FootnoteReference"/>
        </w:rPr>
        <w:footnoteRef/>
      </w:r>
      <w:r>
        <w:t xml:space="preserve"> Gowland:ShT; CF:CFB,CT; CFB:CT; CH:CR,CU; CR:CU; Sc1.05:Sc1.08,Sc1.12,Sc1.10; Sc1.08:Sc1.12, Sc1.10;   </w:t>
      </w:r>
      <w:r w:rsidRPr="007F5D50">
        <w:t xml:space="preserve">Sc1.01:Sc1.02, Sc1.06, ShF, ShH, ShR, ShU; Sc1.02:Sc1.06, ShF, ShH, ShR, ShU; </w:t>
      </w:r>
      <w:r>
        <w:t xml:space="preserve">Sc1.10:Sc1.12, ShR, ShH; Sc1.06: </w:t>
      </w:r>
      <w:r w:rsidRPr="007F5D50">
        <w:t>ShF, ShH, ShR</w:t>
      </w:r>
      <w:r>
        <w:t xml:space="preserve">; </w:t>
      </w:r>
      <w:r w:rsidRPr="007F5D50">
        <w:t>ShF: ShH, ShR, ShRU; ShH:ShR.</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BC57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A0A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4C66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A477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7EBC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72D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10E9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E291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2293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DCA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62668B"/>
    <w:multiLevelType w:val="hybridMultilevel"/>
    <w:tmpl w:val="45FC2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695420"/>
    <w:multiLevelType w:val="hybridMultilevel"/>
    <w:tmpl w:val="21B09E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A3249A"/>
    <w:multiLevelType w:val="multilevel"/>
    <w:tmpl w:val="2D4E7DEE"/>
    <w:styleLink w:val="CurrentList4"/>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1D3D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25465F"/>
    <w:multiLevelType w:val="multilevel"/>
    <w:tmpl w:val="7CC62C0C"/>
    <w:styleLink w:val="CurrentList3"/>
    <w:lvl w:ilvl="0">
      <w:start w:val="1"/>
      <w:numFmt w:val="none"/>
      <w:lvlText w:val="6"/>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1EB280D"/>
    <w:multiLevelType w:val="hybridMultilevel"/>
    <w:tmpl w:val="69C2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56B9F"/>
    <w:multiLevelType w:val="multilevel"/>
    <w:tmpl w:val="04090025"/>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8C07F7A"/>
    <w:multiLevelType w:val="hybridMultilevel"/>
    <w:tmpl w:val="9366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EA2228"/>
    <w:multiLevelType w:val="multilevel"/>
    <w:tmpl w:val="268E72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D02342"/>
    <w:multiLevelType w:val="hybridMultilevel"/>
    <w:tmpl w:val="93B621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047C80"/>
    <w:multiLevelType w:val="hybridMultilevel"/>
    <w:tmpl w:val="21B09E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DB4219"/>
    <w:multiLevelType w:val="hybridMultilevel"/>
    <w:tmpl w:val="F1D03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011D74"/>
    <w:multiLevelType w:val="hybridMultilevel"/>
    <w:tmpl w:val="2646B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E049F"/>
    <w:multiLevelType w:val="hybridMultilevel"/>
    <w:tmpl w:val="ED1E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B1755"/>
    <w:multiLevelType w:val="hybridMultilevel"/>
    <w:tmpl w:val="8FA66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ED1860"/>
    <w:multiLevelType w:val="multilevel"/>
    <w:tmpl w:val="04090025"/>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BD76AF7"/>
    <w:multiLevelType w:val="hybridMultilevel"/>
    <w:tmpl w:val="A0E26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603254"/>
    <w:multiLevelType w:val="multilevel"/>
    <w:tmpl w:val="04090025"/>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61"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939024185">
    <w:abstractNumId w:val="24"/>
  </w:num>
  <w:num w:numId="2" w16cid:durableId="142355966">
    <w:abstractNumId w:val="28"/>
  </w:num>
  <w:num w:numId="3" w16cid:durableId="12645384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6587870">
    <w:abstractNumId w:val="20"/>
  </w:num>
  <w:num w:numId="5" w16cid:durableId="864444825">
    <w:abstractNumId w:val="18"/>
  </w:num>
  <w:num w:numId="6" w16cid:durableId="1719165898">
    <w:abstractNumId w:val="23"/>
  </w:num>
  <w:num w:numId="7" w16cid:durableId="1194878867">
    <w:abstractNumId w:val="12"/>
  </w:num>
  <w:num w:numId="8" w16cid:durableId="190411887">
    <w:abstractNumId w:val="14"/>
  </w:num>
  <w:num w:numId="9" w16cid:durableId="1586631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4242360">
    <w:abstractNumId w:val="0"/>
  </w:num>
  <w:num w:numId="11" w16cid:durableId="462046120">
    <w:abstractNumId w:val="1"/>
  </w:num>
  <w:num w:numId="12" w16cid:durableId="1979676735">
    <w:abstractNumId w:val="2"/>
  </w:num>
  <w:num w:numId="13" w16cid:durableId="1903712051">
    <w:abstractNumId w:val="3"/>
  </w:num>
  <w:num w:numId="14" w16cid:durableId="191188087">
    <w:abstractNumId w:val="8"/>
  </w:num>
  <w:num w:numId="15" w16cid:durableId="588348860">
    <w:abstractNumId w:val="4"/>
  </w:num>
  <w:num w:numId="16" w16cid:durableId="130175988">
    <w:abstractNumId w:val="5"/>
  </w:num>
  <w:num w:numId="17" w16cid:durableId="588123394">
    <w:abstractNumId w:val="6"/>
  </w:num>
  <w:num w:numId="18" w16cid:durableId="793405758">
    <w:abstractNumId w:val="7"/>
  </w:num>
  <w:num w:numId="19" w16cid:durableId="2054765916">
    <w:abstractNumId w:val="9"/>
  </w:num>
  <w:num w:numId="20" w16cid:durableId="228462606">
    <w:abstractNumId w:val="19"/>
  </w:num>
  <w:num w:numId="21" w16cid:durableId="907615202">
    <w:abstractNumId w:val="27"/>
  </w:num>
  <w:num w:numId="22" w16cid:durableId="1834491506">
    <w:abstractNumId w:val="21"/>
  </w:num>
  <w:num w:numId="23" w16cid:durableId="2132354843">
    <w:abstractNumId w:val="17"/>
  </w:num>
  <w:num w:numId="24" w16cid:durableId="121389328">
    <w:abstractNumId w:val="26"/>
  </w:num>
  <w:num w:numId="25" w16cid:durableId="1334603826">
    <w:abstractNumId w:val="15"/>
  </w:num>
  <w:num w:numId="26" w16cid:durableId="1334068530">
    <w:abstractNumId w:val="13"/>
  </w:num>
  <w:num w:numId="27" w16cid:durableId="2018920809">
    <w:abstractNumId w:val="16"/>
  </w:num>
  <w:num w:numId="28" w16cid:durableId="1626425803">
    <w:abstractNumId w:val="10"/>
  </w:num>
  <w:num w:numId="29" w16cid:durableId="1377395306">
    <w:abstractNumId w:val="25"/>
  </w:num>
  <w:num w:numId="30" w16cid:durableId="1257324476">
    <w:abstractNumId w:val="22"/>
  </w:num>
  <w:num w:numId="31" w16cid:durableId="150347029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90A"/>
    <w:rsid w:val="00000347"/>
    <w:rsid w:val="00000551"/>
    <w:rsid w:val="0000143C"/>
    <w:rsid w:val="000014A4"/>
    <w:rsid w:val="00001ABF"/>
    <w:rsid w:val="00001C8E"/>
    <w:rsid w:val="000021B4"/>
    <w:rsid w:val="00002A63"/>
    <w:rsid w:val="000031FD"/>
    <w:rsid w:val="0000373A"/>
    <w:rsid w:val="00004B05"/>
    <w:rsid w:val="00004F5C"/>
    <w:rsid w:val="000056BB"/>
    <w:rsid w:val="0000618D"/>
    <w:rsid w:val="00006597"/>
    <w:rsid w:val="0000665F"/>
    <w:rsid w:val="0000680C"/>
    <w:rsid w:val="00006854"/>
    <w:rsid w:val="00007BAD"/>
    <w:rsid w:val="00007C3C"/>
    <w:rsid w:val="0001000D"/>
    <w:rsid w:val="0001007A"/>
    <w:rsid w:val="000109CE"/>
    <w:rsid w:val="00010A0F"/>
    <w:rsid w:val="00010E30"/>
    <w:rsid w:val="00010FC6"/>
    <w:rsid w:val="00011756"/>
    <w:rsid w:val="000123E8"/>
    <w:rsid w:val="000130F3"/>
    <w:rsid w:val="0001343B"/>
    <w:rsid w:val="0001398B"/>
    <w:rsid w:val="00013ED5"/>
    <w:rsid w:val="00014155"/>
    <w:rsid w:val="00014446"/>
    <w:rsid w:val="00014472"/>
    <w:rsid w:val="00014769"/>
    <w:rsid w:val="00014A28"/>
    <w:rsid w:val="00015420"/>
    <w:rsid w:val="00015851"/>
    <w:rsid w:val="00015870"/>
    <w:rsid w:val="000159F1"/>
    <w:rsid w:val="00015C77"/>
    <w:rsid w:val="00015C8E"/>
    <w:rsid w:val="00015E5C"/>
    <w:rsid w:val="00015E5D"/>
    <w:rsid w:val="000169ED"/>
    <w:rsid w:val="00016BB9"/>
    <w:rsid w:val="000171D4"/>
    <w:rsid w:val="00017348"/>
    <w:rsid w:val="000178F1"/>
    <w:rsid w:val="00017A01"/>
    <w:rsid w:val="000203BE"/>
    <w:rsid w:val="00020CC8"/>
    <w:rsid w:val="0002188F"/>
    <w:rsid w:val="00021CA7"/>
    <w:rsid w:val="00021FBA"/>
    <w:rsid w:val="00021FCD"/>
    <w:rsid w:val="00022009"/>
    <w:rsid w:val="000222D9"/>
    <w:rsid w:val="00022845"/>
    <w:rsid w:val="00022A23"/>
    <w:rsid w:val="000233B3"/>
    <w:rsid w:val="000234AD"/>
    <w:rsid w:val="000234DB"/>
    <w:rsid w:val="00023BC0"/>
    <w:rsid w:val="000245F3"/>
    <w:rsid w:val="00024FAB"/>
    <w:rsid w:val="00025BB3"/>
    <w:rsid w:val="00025BC8"/>
    <w:rsid w:val="00025E0C"/>
    <w:rsid w:val="000260E6"/>
    <w:rsid w:val="000260F8"/>
    <w:rsid w:val="000264B2"/>
    <w:rsid w:val="00026F7F"/>
    <w:rsid w:val="00026F8E"/>
    <w:rsid w:val="00027938"/>
    <w:rsid w:val="00027E3B"/>
    <w:rsid w:val="0003029A"/>
    <w:rsid w:val="00030BF7"/>
    <w:rsid w:val="00030DAD"/>
    <w:rsid w:val="00032019"/>
    <w:rsid w:val="00032045"/>
    <w:rsid w:val="000323E6"/>
    <w:rsid w:val="000332DF"/>
    <w:rsid w:val="000335AE"/>
    <w:rsid w:val="000338DF"/>
    <w:rsid w:val="000340FE"/>
    <w:rsid w:val="000342BE"/>
    <w:rsid w:val="000350BB"/>
    <w:rsid w:val="00035A30"/>
    <w:rsid w:val="00035D8B"/>
    <w:rsid w:val="00036131"/>
    <w:rsid w:val="00036BB9"/>
    <w:rsid w:val="00036CBC"/>
    <w:rsid w:val="00036D9F"/>
    <w:rsid w:val="00037100"/>
    <w:rsid w:val="00037665"/>
    <w:rsid w:val="00037D11"/>
    <w:rsid w:val="00040357"/>
    <w:rsid w:val="000412C5"/>
    <w:rsid w:val="000412FD"/>
    <w:rsid w:val="0004147D"/>
    <w:rsid w:val="00041507"/>
    <w:rsid w:val="00041A39"/>
    <w:rsid w:val="00042702"/>
    <w:rsid w:val="00042ADA"/>
    <w:rsid w:val="00042BE7"/>
    <w:rsid w:val="00043924"/>
    <w:rsid w:val="00044051"/>
    <w:rsid w:val="00044F0E"/>
    <w:rsid w:val="000455BB"/>
    <w:rsid w:val="00045915"/>
    <w:rsid w:val="00045EEB"/>
    <w:rsid w:val="00046E05"/>
    <w:rsid w:val="0004784F"/>
    <w:rsid w:val="000478CE"/>
    <w:rsid w:val="00047B12"/>
    <w:rsid w:val="00047FD9"/>
    <w:rsid w:val="0005012E"/>
    <w:rsid w:val="00050AF9"/>
    <w:rsid w:val="00050B67"/>
    <w:rsid w:val="00050B6D"/>
    <w:rsid w:val="00051059"/>
    <w:rsid w:val="000510C4"/>
    <w:rsid w:val="000515AE"/>
    <w:rsid w:val="00051D09"/>
    <w:rsid w:val="00051DA7"/>
    <w:rsid w:val="00051DFD"/>
    <w:rsid w:val="00052393"/>
    <w:rsid w:val="0005259A"/>
    <w:rsid w:val="00053076"/>
    <w:rsid w:val="00053377"/>
    <w:rsid w:val="000534C2"/>
    <w:rsid w:val="00053632"/>
    <w:rsid w:val="000538A9"/>
    <w:rsid w:val="00053943"/>
    <w:rsid w:val="0005398E"/>
    <w:rsid w:val="000544F9"/>
    <w:rsid w:val="0005493A"/>
    <w:rsid w:val="00054C09"/>
    <w:rsid w:val="00054D38"/>
    <w:rsid w:val="0005514D"/>
    <w:rsid w:val="0005526E"/>
    <w:rsid w:val="000557EC"/>
    <w:rsid w:val="00055AF3"/>
    <w:rsid w:val="00055B27"/>
    <w:rsid w:val="0005620E"/>
    <w:rsid w:val="000565B0"/>
    <w:rsid w:val="00056AEF"/>
    <w:rsid w:val="0005710E"/>
    <w:rsid w:val="0005741E"/>
    <w:rsid w:val="00057C3C"/>
    <w:rsid w:val="000603DC"/>
    <w:rsid w:val="00060596"/>
    <w:rsid w:val="00060A30"/>
    <w:rsid w:val="00060B9C"/>
    <w:rsid w:val="00061922"/>
    <w:rsid w:val="00062E78"/>
    <w:rsid w:val="00062FEB"/>
    <w:rsid w:val="000631F0"/>
    <w:rsid w:val="00064B23"/>
    <w:rsid w:val="00065549"/>
    <w:rsid w:val="000664EB"/>
    <w:rsid w:val="000668A8"/>
    <w:rsid w:val="00066937"/>
    <w:rsid w:val="0006775D"/>
    <w:rsid w:val="00067A06"/>
    <w:rsid w:val="00067C76"/>
    <w:rsid w:val="00067E0F"/>
    <w:rsid w:val="0007097C"/>
    <w:rsid w:val="00070A6C"/>
    <w:rsid w:val="00070AC7"/>
    <w:rsid w:val="00070F94"/>
    <w:rsid w:val="0007147B"/>
    <w:rsid w:val="00071542"/>
    <w:rsid w:val="0007185A"/>
    <w:rsid w:val="000728D0"/>
    <w:rsid w:val="00072946"/>
    <w:rsid w:val="00072B90"/>
    <w:rsid w:val="00072C35"/>
    <w:rsid w:val="00073514"/>
    <w:rsid w:val="00073997"/>
    <w:rsid w:val="00074210"/>
    <w:rsid w:val="000742F3"/>
    <w:rsid w:val="00074348"/>
    <w:rsid w:val="00074E27"/>
    <w:rsid w:val="000751AB"/>
    <w:rsid w:val="00075615"/>
    <w:rsid w:val="00075C40"/>
    <w:rsid w:val="00075DBF"/>
    <w:rsid w:val="000762C7"/>
    <w:rsid w:val="000763BF"/>
    <w:rsid w:val="000765A4"/>
    <w:rsid w:val="0007686B"/>
    <w:rsid w:val="000769EB"/>
    <w:rsid w:val="00076C8F"/>
    <w:rsid w:val="00077623"/>
    <w:rsid w:val="00077687"/>
    <w:rsid w:val="00077A2A"/>
    <w:rsid w:val="00077A55"/>
    <w:rsid w:val="00077CA7"/>
    <w:rsid w:val="000801C2"/>
    <w:rsid w:val="000818A0"/>
    <w:rsid w:val="00082582"/>
    <w:rsid w:val="000832C8"/>
    <w:rsid w:val="000835E5"/>
    <w:rsid w:val="00083663"/>
    <w:rsid w:val="000838C1"/>
    <w:rsid w:val="00083A06"/>
    <w:rsid w:val="00083DA0"/>
    <w:rsid w:val="00083F5F"/>
    <w:rsid w:val="00083FCC"/>
    <w:rsid w:val="000843FF"/>
    <w:rsid w:val="00084B25"/>
    <w:rsid w:val="00084C51"/>
    <w:rsid w:val="00085B67"/>
    <w:rsid w:val="00086453"/>
    <w:rsid w:val="00086663"/>
    <w:rsid w:val="0008686E"/>
    <w:rsid w:val="00086DFD"/>
    <w:rsid w:val="00090248"/>
    <w:rsid w:val="0009030A"/>
    <w:rsid w:val="0009074E"/>
    <w:rsid w:val="0009089F"/>
    <w:rsid w:val="00090DB1"/>
    <w:rsid w:val="00091020"/>
    <w:rsid w:val="0009136E"/>
    <w:rsid w:val="0009138A"/>
    <w:rsid w:val="00091B30"/>
    <w:rsid w:val="00091BEE"/>
    <w:rsid w:val="00091C6F"/>
    <w:rsid w:val="00092A78"/>
    <w:rsid w:val="00093155"/>
    <w:rsid w:val="00093A0F"/>
    <w:rsid w:val="000940BE"/>
    <w:rsid w:val="0009428E"/>
    <w:rsid w:val="000951DC"/>
    <w:rsid w:val="000953B7"/>
    <w:rsid w:val="00095710"/>
    <w:rsid w:val="00095AFD"/>
    <w:rsid w:val="0009637A"/>
    <w:rsid w:val="000963FE"/>
    <w:rsid w:val="00096F06"/>
    <w:rsid w:val="000A06B2"/>
    <w:rsid w:val="000A0AD1"/>
    <w:rsid w:val="000A0C05"/>
    <w:rsid w:val="000A1D20"/>
    <w:rsid w:val="000A1D8C"/>
    <w:rsid w:val="000A1F3F"/>
    <w:rsid w:val="000A2488"/>
    <w:rsid w:val="000A2907"/>
    <w:rsid w:val="000A3D4A"/>
    <w:rsid w:val="000A3EFE"/>
    <w:rsid w:val="000A4236"/>
    <w:rsid w:val="000A473A"/>
    <w:rsid w:val="000A4849"/>
    <w:rsid w:val="000A4CB7"/>
    <w:rsid w:val="000A519A"/>
    <w:rsid w:val="000A57F4"/>
    <w:rsid w:val="000A5C1B"/>
    <w:rsid w:val="000A65D7"/>
    <w:rsid w:val="000A6685"/>
    <w:rsid w:val="000A67FB"/>
    <w:rsid w:val="000A6E4D"/>
    <w:rsid w:val="000A6EC1"/>
    <w:rsid w:val="000A7E41"/>
    <w:rsid w:val="000A7F47"/>
    <w:rsid w:val="000A7F67"/>
    <w:rsid w:val="000B001A"/>
    <w:rsid w:val="000B0572"/>
    <w:rsid w:val="000B07B0"/>
    <w:rsid w:val="000B097E"/>
    <w:rsid w:val="000B09BB"/>
    <w:rsid w:val="000B09FA"/>
    <w:rsid w:val="000B0EC4"/>
    <w:rsid w:val="000B15A9"/>
    <w:rsid w:val="000B1710"/>
    <w:rsid w:val="000B1962"/>
    <w:rsid w:val="000B19F0"/>
    <w:rsid w:val="000B1D4E"/>
    <w:rsid w:val="000B27C0"/>
    <w:rsid w:val="000B2B0A"/>
    <w:rsid w:val="000B2EA8"/>
    <w:rsid w:val="000B2EDD"/>
    <w:rsid w:val="000B301F"/>
    <w:rsid w:val="000B32A4"/>
    <w:rsid w:val="000B4287"/>
    <w:rsid w:val="000B4C4E"/>
    <w:rsid w:val="000B50A1"/>
    <w:rsid w:val="000B51F0"/>
    <w:rsid w:val="000B5C3E"/>
    <w:rsid w:val="000B5E19"/>
    <w:rsid w:val="000B6CF1"/>
    <w:rsid w:val="000B7FB8"/>
    <w:rsid w:val="000C079F"/>
    <w:rsid w:val="000C07A1"/>
    <w:rsid w:val="000C2836"/>
    <w:rsid w:val="000C2C1C"/>
    <w:rsid w:val="000C3442"/>
    <w:rsid w:val="000C3F82"/>
    <w:rsid w:val="000C4749"/>
    <w:rsid w:val="000C47A3"/>
    <w:rsid w:val="000C4C86"/>
    <w:rsid w:val="000C4D74"/>
    <w:rsid w:val="000C4EB5"/>
    <w:rsid w:val="000C52B6"/>
    <w:rsid w:val="000C547D"/>
    <w:rsid w:val="000C55F5"/>
    <w:rsid w:val="000C5835"/>
    <w:rsid w:val="000C5F4E"/>
    <w:rsid w:val="000C6E86"/>
    <w:rsid w:val="000C73A2"/>
    <w:rsid w:val="000C777A"/>
    <w:rsid w:val="000D02E6"/>
    <w:rsid w:val="000D04BA"/>
    <w:rsid w:val="000D0597"/>
    <w:rsid w:val="000D08D4"/>
    <w:rsid w:val="000D08E7"/>
    <w:rsid w:val="000D0A3C"/>
    <w:rsid w:val="000D0C68"/>
    <w:rsid w:val="000D0D41"/>
    <w:rsid w:val="000D11EE"/>
    <w:rsid w:val="000D1589"/>
    <w:rsid w:val="000D1AD3"/>
    <w:rsid w:val="000D1DEF"/>
    <w:rsid w:val="000D2052"/>
    <w:rsid w:val="000D25CD"/>
    <w:rsid w:val="000D2FE2"/>
    <w:rsid w:val="000D3133"/>
    <w:rsid w:val="000D3417"/>
    <w:rsid w:val="000D3B7C"/>
    <w:rsid w:val="000D3EEB"/>
    <w:rsid w:val="000D44C7"/>
    <w:rsid w:val="000D4589"/>
    <w:rsid w:val="000D5270"/>
    <w:rsid w:val="000D53DB"/>
    <w:rsid w:val="000D5874"/>
    <w:rsid w:val="000D60EE"/>
    <w:rsid w:val="000E06F7"/>
    <w:rsid w:val="000E0998"/>
    <w:rsid w:val="000E0C6F"/>
    <w:rsid w:val="000E0F71"/>
    <w:rsid w:val="000E0FAE"/>
    <w:rsid w:val="000E13DD"/>
    <w:rsid w:val="000E235D"/>
    <w:rsid w:val="000E2485"/>
    <w:rsid w:val="000E298B"/>
    <w:rsid w:val="000E32C6"/>
    <w:rsid w:val="000E32F0"/>
    <w:rsid w:val="000E38A7"/>
    <w:rsid w:val="000E39D0"/>
    <w:rsid w:val="000E3AAE"/>
    <w:rsid w:val="000E428E"/>
    <w:rsid w:val="000E4B3C"/>
    <w:rsid w:val="000E513F"/>
    <w:rsid w:val="000E58CE"/>
    <w:rsid w:val="000E601B"/>
    <w:rsid w:val="000E6347"/>
    <w:rsid w:val="000E64F2"/>
    <w:rsid w:val="000E6937"/>
    <w:rsid w:val="000E6BE3"/>
    <w:rsid w:val="000E7119"/>
    <w:rsid w:val="000E7539"/>
    <w:rsid w:val="000E7595"/>
    <w:rsid w:val="000E7E36"/>
    <w:rsid w:val="000F109C"/>
    <w:rsid w:val="000F1770"/>
    <w:rsid w:val="000F1901"/>
    <w:rsid w:val="000F1C4C"/>
    <w:rsid w:val="000F1CFA"/>
    <w:rsid w:val="000F1D07"/>
    <w:rsid w:val="000F1D71"/>
    <w:rsid w:val="000F2180"/>
    <w:rsid w:val="000F2525"/>
    <w:rsid w:val="000F32D2"/>
    <w:rsid w:val="000F332B"/>
    <w:rsid w:val="000F38AD"/>
    <w:rsid w:val="000F481F"/>
    <w:rsid w:val="000F482D"/>
    <w:rsid w:val="000F486C"/>
    <w:rsid w:val="000F4C3D"/>
    <w:rsid w:val="000F522B"/>
    <w:rsid w:val="000F7000"/>
    <w:rsid w:val="000F73A6"/>
    <w:rsid w:val="000F76E7"/>
    <w:rsid w:val="000F77FF"/>
    <w:rsid w:val="000F78F7"/>
    <w:rsid w:val="000F7C53"/>
    <w:rsid w:val="000F7E04"/>
    <w:rsid w:val="001013CD"/>
    <w:rsid w:val="001014C2"/>
    <w:rsid w:val="001017DD"/>
    <w:rsid w:val="00102509"/>
    <w:rsid w:val="0010295A"/>
    <w:rsid w:val="00104009"/>
    <w:rsid w:val="00104485"/>
    <w:rsid w:val="001045F8"/>
    <w:rsid w:val="00104D4D"/>
    <w:rsid w:val="001052AD"/>
    <w:rsid w:val="001052DB"/>
    <w:rsid w:val="00105D23"/>
    <w:rsid w:val="00106ABB"/>
    <w:rsid w:val="00107EF2"/>
    <w:rsid w:val="00110451"/>
    <w:rsid w:val="00110617"/>
    <w:rsid w:val="00110FF2"/>
    <w:rsid w:val="001118AF"/>
    <w:rsid w:val="0011205A"/>
    <w:rsid w:val="001121BD"/>
    <w:rsid w:val="00112479"/>
    <w:rsid w:val="001127FF"/>
    <w:rsid w:val="00112825"/>
    <w:rsid w:val="00112ACA"/>
    <w:rsid w:val="00112ADF"/>
    <w:rsid w:val="00112BF7"/>
    <w:rsid w:val="001130D9"/>
    <w:rsid w:val="00113293"/>
    <w:rsid w:val="00113479"/>
    <w:rsid w:val="0011348E"/>
    <w:rsid w:val="001134FE"/>
    <w:rsid w:val="00113AD6"/>
    <w:rsid w:val="0011421C"/>
    <w:rsid w:val="001145BB"/>
    <w:rsid w:val="001145CA"/>
    <w:rsid w:val="00114706"/>
    <w:rsid w:val="001147C1"/>
    <w:rsid w:val="00114980"/>
    <w:rsid w:val="00114F93"/>
    <w:rsid w:val="00115078"/>
    <w:rsid w:val="0011527D"/>
    <w:rsid w:val="0011551D"/>
    <w:rsid w:val="0011570F"/>
    <w:rsid w:val="00115716"/>
    <w:rsid w:val="0011572B"/>
    <w:rsid w:val="001159C8"/>
    <w:rsid w:val="001159EB"/>
    <w:rsid w:val="00115E8D"/>
    <w:rsid w:val="0011658F"/>
    <w:rsid w:val="00116F98"/>
    <w:rsid w:val="00117021"/>
    <w:rsid w:val="0011727B"/>
    <w:rsid w:val="00117645"/>
    <w:rsid w:val="00117660"/>
    <w:rsid w:val="001179DC"/>
    <w:rsid w:val="00117FB1"/>
    <w:rsid w:val="0012060C"/>
    <w:rsid w:val="00120B84"/>
    <w:rsid w:val="00120E21"/>
    <w:rsid w:val="001211EB"/>
    <w:rsid w:val="0012188F"/>
    <w:rsid w:val="0012200F"/>
    <w:rsid w:val="0012322C"/>
    <w:rsid w:val="00124657"/>
    <w:rsid w:val="0012513B"/>
    <w:rsid w:val="00125816"/>
    <w:rsid w:val="00125BF3"/>
    <w:rsid w:val="00125E04"/>
    <w:rsid w:val="00125FDD"/>
    <w:rsid w:val="00126288"/>
    <w:rsid w:val="00126362"/>
    <w:rsid w:val="00126E6A"/>
    <w:rsid w:val="00126ED6"/>
    <w:rsid w:val="00127066"/>
    <w:rsid w:val="00127718"/>
    <w:rsid w:val="00127B71"/>
    <w:rsid w:val="00127CC9"/>
    <w:rsid w:val="001303CE"/>
    <w:rsid w:val="001306FA"/>
    <w:rsid w:val="00131389"/>
    <w:rsid w:val="0013143B"/>
    <w:rsid w:val="001320BA"/>
    <w:rsid w:val="0013218E"/>
    <w:rsid w:val="00132F54"/>
    <w:rsid w:val="00132F56"/>
    <w:rsid w:val="00132FBF"/>
    <w:rsid w:val="0013367A"/>
    <w:rsid w:val="001338BD"/>
    <w:rsid w:val="00134477"/>
    <w:rsid w:val="00134B7B"/>
    <w:rsid w:val="001354B6"/>
    <w:rsid w:val="001366B3"/>
    <w:rsid w:val="00136A93"/>
    <w:rsid w:val="00136BF5"/>
    <w:rsid w:val="001375FD"/>
    <w:rsid w:val="00137704"/>
    <w:rsid w:val="001405C4"/>
    <w:rsid w:val="0014064B"/>
    <w:rsid w:val="00141385"/>
    <w:rsid w:val="00141BAA"/>
    <w:rsid w:val="00142078"/>
    <w:rsid w:val="001422FF"/>
    <w:rsid w:val="00142433"/>
    <w:rsid w:val="00143134"/>
    <w:rsid w:val="00143536"/>
    <w:rsid w:val="001438B7"/>
    <w:rsid w:val="001438C1"/>
    <w:rsid w:val="00143B5B"/>
    <w:rsid w:val="00144113"/>
    <w:rsid w:val="00144202"/>
    <w:rsid w:val="001444CC"/>
    <w:rsid w:val="00144926"/>
    <w:rsid w:val="00144D7C"/>
    <w:rsid w:val="001458D7"/>
    <w:rsid w:val="0014646A"/>
    <w:rsid w:val="001469F8"/>
    <w:rsid w:val="0014742A"/>
    <w:rsid w:val="00150107"/>
    <w:rsid w:val="001501F4"/>
    <w:rsid w:val="001507A5"/>
    <w:rsid w:val="00150936"/>
    <w:rsid w:val="00150D77"/>
    <w:rsid w:val="0015123B"/>
    <w:rsid w:val="00151303"/>
    <w:rsid w:val="001515C7"/>
    <w:rsid w:val="0015278F"/>
    <w:rsid w:val="00152CBF"/>
    <w:rsid w:val="00153F82"/>
    <w:rsid w:val="0015431E"/>
    <w:rsid w:val="00155460"/>
    <w:rsid w:val="001555F3"/>
    <w:rsid w:val="001557C6"/>
    <w:rsid w:val="00155CB6"/>
    <w:rsid w:val="00156019"/>
    <w:rsid w:val="001565F0"/>
    <w:rsid w:val="00156BA3"/>
    <w:rsid w:val="00156CD5"/>
    <w:rsid w:val="00156D47"/>
    <w:rsid w:val="001573CE"/>
    <w:rsid w:val="001575F1"/>
    <w:rsid w:val="001577A7"/>
    <w:rsid w:val="00157A1D"/>
    <w:rsid w:val="00157F39"/>
    <w:rsid w:val="00160122"/>
    <w:rsid w:val="00160256"/>
    <w:rsid w:val="001606D9"/>
    <w:rsid w:val="00160797"/>
    <w:rsid w:val="0016083F"/>
    <w:rsid w:val="00160ADB"/>
    <w:rsid w:val="0016135C"/>
    <w:rsid w:val="001617E3"/>
    <w:rsid w:val="00161E8B"/>
    <w:rsid w:val="00162374"/>
    <w:rsid w:val="0016284C"/>
    <w:rsid w:val="00162AD8"/>
    <w:rsid w:val="00162D57"/>
    <w:rsid w:val="00163030"/>
    <w:rsid w:val="00163060"/>
    <w:rsid w:val="00163647"/>
    <w:rsid w:val="001639CD"/>
    <w:rsid w:val="00163AAC"/>
    <w:rsid w:val="00163B4F"/>
    <w:rsid w:val="00163BC2"/>
    <w:rsid w:val="00163C27"/>
    <w:rsid w:val="00163DB0"/>
    <w:rsid w:val="00164B9E"/>
    <w:rsid w:val="00164C41"/>
    <w:rsid w:val="001650E6"/>
    <w:rsid w:val="00165AD9"/>
    <w:rsid w:val="00165BAD"/>
    <w:rsid w:val="00165C3F"/>
    <w:rsid w:val="00166016"/>
    <w:rsid w:val="00166062"/>
    <w:rsid w:val="001664D8"/>
    <w:rsid w:val="001665A2"/>
    <w:rsid w:val="001668CA"/>
    <w:rsid w:val="00166EB5"/>
    <w:rsid w:val="001674EC"/>
    <w:rsid w:val="00167D03"/>
    <w:rsid w:val="00167FCB"/>
    <w:rsid w:val="0017003E"/>
    <w:rsid w:val="00170043"/>
    <w:rsid w:val="001704A7"/>
    <w:rsid w:val="00170C0E"/>
    <w:rsid w:val="0017119D"/>
    <w:rsid w:val="001713EE"/>
    <w:rsid w:val="001715F3"/>
    <w:rsid w:val="00171676"/>
    <w:rsid w:val="00171734"/>
    <w:rsid w:val="00171854"/>
    <w:rsid w:val="00171A35"/>
    <w:rsid w:val="00171B7A"/>
    <w:rsid w:val="00171E32"/>
    <w:rsid w:val="00172010"/>
    <w:rsid w:val="00172476"/>
    <w:rsid w:val="00172F54"/>
    <w:rsid w:val="00173464"/>
    <w:rsid w:val="00173508"/>
    <w:rsid w:val="00173512"/>
    <w:rsid w:val="00174685"/>
    <w:rsid w:val="001747BD"/>
    <w:rsid w:val="001749C2"/>
    <w:rsid w:val="00175533"/>
    <w:rsid w:val="0017577C"/>
    <w:rsid w:val="00175CF8"/>
    <w:rsid w:val="001760C3"/>
    <w:rsid w:val="001767D7"/>
    <w:rsid w:val="0017723C"/>
    <w:rsid w:val="00177406"/>
    <w:rsid w:val="00177B1A"/>
    <w:rsid w:val="00177C82"/>
    <w:rsid w:val="001805F6"/>
    <w:rsid w:val="00180973"/>
    <w:rsid w:val="00180AB8"/>
    <w:rsid w:val="001815E6"/>
    <w:rsid w:val="00181B49"/>
    <w:rsid w:val="00182186"/>
    <w:rsid w:val="001822BA"/>
    <w:rsid w:val="0018251A"/>
    <w:rsid w:val="001825A7"/>
    <w:rsid w:val="00182797"/>
    <w:rsid w:val="001828AE"/>
    <w:rsid w:val="0018318C"/>
    <w:rsid w:val="001832D3"/>
    <w:rsid w:val="0018399F"/>
    <w:rsid w:val="00183A59"/>
    <w:rsid w:val="00183C1A"/>
    <w:rsid w:val="00184914"/>
    <w:rsid w:val="00184A34"/>
    <w:rsid w:val="00184CB2"/>
    <w:rsid w:val="00185906"/>
    <w:rsid w:val="00185A1D"/>
    <w:rsid w:val="0018620C"/>
    <w:rsid w:val="001867D8"/>
    <w:rsid w:val="00186A8A"/>
    <w:rsid w:val="0018718C"/>
    <w:rsid w:val="001871CC"/>
    <w:rsid w:val="0018736A"/>
    <w:rsid w:val="00187520"/>
    <w:rsid w:val="00187D74"/>
    <w:rsid w:val="001903D9"/>
    <w:rsid w:val="00191549"/>
    <w:rsid w:val="00191792"/>
    <w:rsid w:val="0019207D"/>
    <w:rsid w:val="00192128"/>
    <w:rsid w:val="00192691"/>
    <w:rsid w:val="00192907"/>
    <w:rsid w:val="00192EF8"/>
    <w:rsid w:val="001937A0"/>
    <w:rsid w:val="00194170"/>
    <w:rsid w:val="00194479"/>
    <w:rsid w:val="00194613"/>
    <w:rsid w:val="00194B9D"/>
    <w:rsid w:val="00195195"/>
    <w:rsid w:val="0019551C"/>
    <w:rsid w:val="001957B8"/>
    <w:rsid w:val="00195883"/>
    <w:rsid w:val="001959DA"/>
    <w:rsid w:val="00195AB9"/>
    <w:rsid w:val="00195FAD"/>
    <w:rsid w:val="00196030"/>
    <w:rsid w:val="00196A1E"/>
    <w:rsid w:val="00196A51"/>
    <w:rsid w:val="001971C0"/>
    <w:rsid w:val="001972C2"/>
    <w:rsid w:val="00197403"/>
    <w:rsid w:val="00197DA5"/>
    <w:rsid w:val="001A0667"/>
    <w:rsid w:val="001A0769"/>
    <w:rsid w:val="001A0777"/>
    <w:rsid w:val="001A0978"/>
    <w:rsid w:val="001A0B53"/>
    <w:rsid w:val="001A0E87"/>
    <w:rsid w:val="001A0EAC"/>
    <w:rsid w:val="001A13D7"/>
    <w:rsid w:val="001A1523"/>
    <w:rsid w:val="001A1525"/>
    <w:rsid w:val="001A1575"/>
    <w:rsid w:val="001A212D"/>
    <w:rsid w:val="001A22AB"/>
    <w:rsid w:val="001A231A"/>
    <w:rsid w:val="001A24D8"/>
    <w:rsid w:val="001A34B4"/>
    <w:rsid w:val="001A3812"/>
    <w:rsid w:val="001A393B"/>
    <w:rsid w:val="001A3BD3"/>
    <w:rsid w:val="001A3E4B"/>
    <w:rsid w:val="001A3FB7"/>
    <w:rsid w:val="001A4052"/>
    <w:rsid w:val="001A44C2"/>
    <w:rsid w:val="001A49BD"/>
    <w:rsid w:val="001A52D5"/>
    <w:rsid w:val="001A5523"/>
    <w:rsid w:val="001A55A7"/>
    <w:rsid w:val="001A55B4"/>
    <w:rsid w:val="001A5991"/>
    <w:rsid w:val="001A5C96"/>
    <w:rsid w:val="001A6149"/>
    <w:rsid w:val="001A6171"/>
    <w:rsid w:val="001A6E7A"/>
    <w:rsid w:val="001A6EED"/>
    <w:rsid w:val="001A71AA"/>
    <w:rsid w:val="001A776E"/>
    <w:rsid w:val="001A788A"/>
    <w:rsid w:val="001A7C86"/>
    <w:rsid w:val="001B0CCF"/>
    <w:rsid w:val="001B10E0"/>
    <w:rsid w:val="001B1234"/>
    <w:rsid w:val="001B144B"/>
    <w:rsid w:val="001B16A6"/>
    <w:rsid w:val="001B187A"/>
    <w:rsid w:val="001B1887"/>
    <w:rsid w:val="001B25FE"/>
    <w:rsid w:val="001B267E"/>
    <w:rsid w:val="001B2A63"/>
    <w:rsid w:val="001B2F4D"/>
    <w:rsid w:val="001B3378"/>
    <w:rsid w:val="001B33E4"/>
    <w:rsid w:val="001B3661"/>
    <w:rsid w:val="001B3D8F"/>
    <w:rsid w:val="001B3DCC"/>
    <w:rsid w:val="001B432C"/>
    <w:rsid w:val="001B4695"/>
    <w:rsid w:val="001B4F21"/>
    <w:rsid w:val="001B5294"/>
    <w:rsid w:val="001B53C2"/>
    <w:rsid w:val="001B585E"/>
    <w:rsid w:val="001B5B9D"/>
    <w:rsid w:val="001B5D05"/>
    <w:rsid w:val="001B5F1F"/>
    <w:rsid w:val="001B633B"/>
    <w:rsid w:val="001B6886"/>
    <w:rsid w:val="001B7456"/>
    <w:rsid w:val="001B78CD"/>
    <w:rsid w:val="001C00C5"/>
    <w:rsid w:val="001C06B6"/>
    <w:rsid w:val="001C1082"/>
    <w:rsid w:val="001C1234"/>
    <w:rsid w:val="001C12E8"/>
    <w:rsid w:val="001C155B"/>
    <w:rsid w:val="001C191E"/>
    <w:rsid w:val="001C1A62"/>
    <w:rsid w:val="001C1B59"/>
    <w:rsid w:val="001C1C5B"/>
    <w:rsid w:val="001C24A6"/>
    <w:rsid w:val="001C293E"/>
    <w:rsid w:val="001C2A4A"/>
    <w:rsid w:val="001C2CE9"/>
    <w:rsid w:val="001C312F"/>
    <w:rsid w:val="001C32F1"/>
    <w:rsid w:val="001C35D0"/>
    <w:rsid w:val="001C405C"/>
    <w:rsid w:val="001C497F"/>
    <w:rsid w:val="001C4D36"/>
    <w:rsid w:val="001C4EB4"/>
    <w:rsid w:val="001C57B8"/>
    <w:rsid w:val="001C58EE"/>
    <w:rsid w:val="001C6418"/>
    <w:rsid w:val="001C663B"/>
    <w:rsid w:val="001C67B9"/>
    <w:rsid w:val="001C68B2"/>
    <w:rsid w:val="001C6BE1"/>
    <w:rsid w:val="001C6DD1"/>
    <w:rsid w:val="001C7BF2"/>
    <w:rsid w:val="001C7D63"/>
    <w:rsid w:val="001C7FD6"/>
    <w:rsid w:val="001D0079"/>
    <w:rsid w:val="001D0240"/>
    <w:rsid w:val="001D024D"/>
    <w:rsid w:val="001D03E7"/>
    <w:rsid w:val="001D07EF"/>
    <w:rsid w:val="001D1080"/>
    <w:rsid w:val="001D1794"/>
    <w:rsid w:val="001D185B"/>
    <w:rsid w:val="001D219D"/>
    <w:rsid w:val="001D26D3"/>
    <w:rsid w:val="001D26D8"/>
    <w:rsid w:val="001D2AE9"/>
    <w:rsid w:val="001D2E42"/>
    <w:rsid w:val="001D4202"/>
    <w:rsid w:val="001D5164"/>
    <w:rsid w:val="001D5360"/>
    <w:rsid w:val="001D5EF3"/>
    <w:rsid w:val="001D64EE"/>
    <w:rsid w:val="001D6791"/>
    <w:rsid w:val="001D703F"/>
    <w:rsid w:val="001D7682"/>
    <w:rsid w:val="001D7C70"/>
    <w:rsid w:val="001E0104"/>
    <w:rsid w:val="001E09A8"/>
    <w:rsid w:val="001E0E5D"/>
    <w:rsid w:val="001E0F86"/>
    <w:rsid w:val="001E14B5"/>
    <w:rsid w:val="001E158B"/>
    <w:rsid w:val="001E1A98"/>
    <w:rsid w:val="001E1DD9"/>
    <w:rsid w:val="001E20F4"/>
    <w:rsid w:val="001E212C"/>
    <w:rsid w:val="001E233F"/>
    <w:rsid w:val="001E3797"/>
    <w:rsid w:val="001E3A19"/>
    <w:rsid w:val="001E4860"/>
    <w:rsid w:val="001E48C7"/>
    <w:rsid w:val="001E5355"/>
    <w:rsid w:val="001E549E"/>
    <w:rsid w:val="001E5CD2"/>
    <w:rsid w:val="001E7459"/>
    <w:rsid w:val="001E7828"/>
    <w:rsid w:val="001E7965"/>
    <w:rsid w:val="001E7AA1"/>
    <w:rsid w:val="001E7E9B"/>
    <w:rsid w:val="001F0827"/>
    <w:rsid w:val="001F1486"/>
    <w:rsid w:val="001F224B"/>
    <w:rsid w:val="001F25C5"/>
    <w:rsid w:val="001F26C5"/>
    <w:rsid w:val="001F2AB2"/>
    <w:rsid w:val="001F368A"/>
    <w:rsid w:val="001F37C5"/>
    <w:rsid w:val="001F520D"/>
    <w:rsid w:val="001F55D8"/>
    <w:rsid w:val="001F57C3"/>
    <w:rsid w:val="001F58E9"/>
    <w:rsid w:val="001F60B1"/>
    <w:rsid w:val="001F6105"/>
    <w:rsid w:val="001F65F4"/>
    <w:rsid w:val="001F79FE"/>
    <w:rsid w:val="001F7AC9"/>
    <w:rsid w:val="001F7C5C"/>
    <w:rsid w:val="001F7D6A"/>
    <w:rsid w:val="00200274"/>
    <w:rsid w:val="002005DF"/>
    <w:rsid w:val="00201940"/>
    <w:rsid w:val="00201A94"/>
    <w:rsid w:val="00201C4C"/>
    <w:rsid w:val="00201F83"/>
    <w:rsid w:val="00202453"/>
    <w:rsid w:val="002024B4"/>
    <w:rsid w:val="002025D7"/>
    <w:rsid w:val="002033A6"/>
    <w:rsid w:val="00203857"/>
    <w:rsid w:val="00203A32"/>
    <w:rsid w:val="00203D57"/>
    <w:rsid w:val="002041DE"/>
    <w:rsid w:val="0020459A"/>
    <w:rsid w:val="00204719"/>
    <w:rsid w:val="00204B07"/>
    <w:rsid w:val="00204D8F"/>
    <w:rsid w:val="00204EC2"/>
    <w:rsid w:val="00204ED3"/>
    <w:rsid w:val="00205B1D"/>
    <w:rsid w:val="00205F86"/>
    <w:rsid w:val="0020695C"/>
    <w:rsid w:val="0020768F"/>
    <w:rsid w:val="00207BA9"/>
    <w:rsid w:val="002101DC"/>
    <w:rsid w:val="00210801"/>
    <w:rsid w:val="00210D06"/>
    <w:rsid w:val="00211399"/>
    <w:rsid w:val="002116D9"/>
    <w:rsid w:val="002118A8"/>
    <w:rsid w:val="00211956"/>
    <w:rsid w:val="00211A85"/>
    <w:rsid w:val="00211C24"/>
    <w:rsid w:val="00212D9F"/>
    <w:rsid w:val="002130B9"/>
    <w:rsid w:val="00213552"/>
    <w:rsid w:val="00213799"/>
    <w:rsid w:val="00213898"/>
    <w:rsid w:val="00213ABF"/>
    <w:rsid w:val="0021520F"/>
    <w:rsid w:val="0021579E"/>
    <w:rsid w:val="002158EE"/>
    <w:rsid w:val="00216829"/>
    <w:rsid w:val="00216B7C"/>
    <w:rsid w:val="00216D55"/>
    <w:rsid w:val="00217040"/>
    <w:rsid w:val="00217335"/>
    <w:rsid w:val="0021759C"/>
    <w:rsid w:val="002177F4"/>
    <w:rsid w:val="00217C6C"/>
    <w:rsid w:val="0022079B"/>
    <w:rsid w:val="00220E4F"/>
    <w:rsid w:val="00221122"/>
    <w:rsid w:val="00221B4B"/>
    <w:rsid w:val="002223FA"/>
    <w:rsid w:val="00222BCA"/>
    <w:rsid w:val="00222C54"/>
    <w:rsid w:val="00223911"/>
    <w:rsid w:val="00223FF7"/>
    <w:rsid w:val="002241EF"/>
    <w:rsid w:val="0022420C"/>
    <w:rsid w:val="0022597C"/>
    <w:rsid w:val="00226E78"/>
    <w:rsid w:val="0023010B"/>
    <w:rsid w:val="00230201"/>
    <w:rsid w:val="00230867"/>
    <w:rsid w:val="002308AE"/>
    <w:rsid w:val="00231952"/>
    <w:rsid w:val="0023195A"/>
    <w:rsid w:val="00231E14"/>
    <w:rsid w:val="0023233C"/>
    <w:rsid w:val="00232646"/>
    <w:rsid w:val="00232C94"/>
    <w:rsid w:val="0023306B"/>
    <w:rsid w:val="002333AC"/>
    <w:rsid w:val="00233D42"/>
    <w:rsid w:val="002340BC"/>
    <w:rsid w:val="00234C23"/>
    <w:rsid w:val="0023568A"/>
    <w:rsid w:val="002356DB"/>
    <w:rsid w:val="0023575D"/>
    <w:rsid w:val="00235A31"/>
    <w:rsid w:val="002364BF"/>
    <w:rsid w:val="00236F47"/>
    <w:rsid w:val="002376C0"/>
    <w:rsid w:val="00237713"/>
    <w:rsid w:val="00237B0B"/>
    <w:rsid w:val="002401AD"/>
    <w:rsid w:val="0024032A"/>
    <w:rsid w:val="0024046A"/>
    <w:rsid w:val="00240C29"/>
    <w:rsid w:val="0024137F"/>
    <w:rsid w:val="0024161A"/>
    <w:rsid w:val="00241E33"/>
    <w:rsid w:val="0024255B"/>
    <w:rsid w:val="002429A6"/>
    <w:rsid w:val="002434DB"/>
    <w:rsid w:val="002434E3"/>
    <w:rsid w:val="002441F2"/>
    <w:rsid w:val="002446AF"/>
    <w:rsid w:val="00244882"/>
    <w:rsid w:val="002448EF"/>
    <w:rsid w:val="00244AAA"/>
    <w:rsid w:val="00245B84"/>
    <w:rsid w:val="00245BCD"/>
    <w:rsid w:val="00245D1A"/>
    <w:rsid w:val="00246C33"/>
    <w:rsid w:val="00246C9E"/>
    <w:rsid w:val="002473F4"/>
    <w:rsid w:val="0025065F"/>
    <w:rsid w:val="00250A3F"/>
    <w:rsid w:val="00250B4E"/>
    <w:rsid w:val="00250E9F"/>
    <w:rsid w:val="00251543"/>
    <w:rsid w:val="0025160B"/>
    <w:rsid w:val="00251D3B"/>
    <w:rsid w:val="00252146"/>
    <w:rsid w:val="0025252E"/>
    <w:rsid w:val="00252F07"/>
    <w:rsid w:val="00252F34"/>
    <w:rsid w:val="0025308C"/>
    <w:rsid w:val="0025309F"/>
    <w:rsid w:val="0025315C"/>
    <w:rsid w:val="002541B8"/>
    <w:rsid w:val="00254747"/>
    <w:rsid w:val="00254C6E"/>
    <w:rsid w:val="00254D08"/>
    <w:rsid w:val="00254F04"/>
    <w:rsid w:val="00255207"/>
    <w:rsid w:val="0025531B"/>
    <w:rsid w:val="00255369"/>
    <w:rsid w:val="00255795"/>
    <w:rsid w:val="00255A99"/>
    <w:rsid w:val="00255B02"/>
    <w:rsid w:val="00256229"/>
    <w:rsid w:val="002568FB"/>
    <w:rsid w:val="00256A8D"/>
    <w:rsid w:val="00256E80"/>
    <w:rsid w:val="00257428"/>
    <w:rsid w:val="0025775F"/>
    <w:rsid w:val="0026073F"/>
    <w:rsid w:val="00260829"/>
    <w:rsid w:val="0026192F"/>
    <w:rsid w:val="00261B70"/>
    <w:rsid w:val="00262304"/>
    <w:rsid w:val="00262BD5"/>
    <w:rsid w:val="0026384E"/>
    <w:rsid w:val="0026386C"/>
    <w:rsid w:val="00263BEA"/>
    <w:rsid w:val="00263D25"/>
    <w:rsid w:val="00264221"/>
    <w:rsid w:val="0026439A"/>
    <w:rsid w:val="0026466A"/>
    <w:rsid w:val="00264965"/>
    <w:rsid w:val="00265878"/>
    <w:rsid w:val="00265E66"/>
    <w:rsid w:val="00265E7D"/>
    <w:rsid w:val="0026632D"/>
    <w:rsid w:val="00266E2D"/>
    <w:rsid w:val="00267071"/>
    <w:rsid w:val="00267CCA"/>
    <w:rsid w:val="00267FC2"/>
    <w:rsid w:val="002704E5"/>
    <w:rsid w:val="0027154D"/>
    <w:rsid w:val="002716EC"/>
    <w:rsid w:val="002723B3"/>
    <w:rsid w:val="00273767"/>
    <w:rsid w:val="00273DF6"/>
    <w:rsid w:val="00274113"/>
    <w:rsid w:val="0027422C"/>
    <w:rsid w:val="00274B9B"/>
    <w:rsid w:val="00274C43"/>
    <w:rsid w:val="00274F68"/>
    <w:rsid w:val="00275006"/>
    <w:rsid w:val="002772F7"/>
    <w:rsid w:val="00277977"/>
    <w:rsid w:val="00277DC4"/>
    <w:rsid w:val="002802DF"/>
    <w:rsid w:val="00280B38"/>
    <w:rsid w:val="00281201"/>
    <w:rsid w:val="0028155D"/>
    <w:rsid w:val="0028159F"/>
    <w:rsid w:val="00281918"/>
    <w:rsid w:val="00281CD8"/>
    <w:rsid w:val="00281DD2"/>
    <w:rsid w:val="0028238A"/>
    <w:rsid w:val="00282E98"/>
    <w:rsid w:val="002830D9"/>
    <w:rsid w:val="0028336F"/>
    <w:rsid w:val="0028397F"/>
    <w:rsid w:val="0028405A"/>
    <w:rsid w:val="00284585"/>
    <w:rsid w:val="002846EA"/>
    <w:rsid w:val="00285041"/>
    <w:rsid w:val="00285094"/>
    <w:rsid w:val="0028573C"/>
    <w:rsid w:val="00286E67"/>
    <w:rsid w:val="00286E76"/>
    <w:rsid w:val="00287E24"/>
    <w:rsid w:val="0029031A"/>
    <w:rsid w:val="00290323"/>
    <w:rsid w:val="00291888"/>
    <w:rsid w:val="00291EA0"/>
    <w:rsid w:val="00291F8B"/>
    <w:rsid w:val="00292347"/>
    <w:rsid w:val="002929E5"/>
    <w:rsid w:val="00292B88"/>
    <w:rsid w:val="00292D99"/>
    <w:rsid w:val="00293007"/>
    <w:rsid w:val="00293118"/>
    <w:rsid w:val="00293198"/>
    <w:rsid w:val="0029331D"/>
    <w:rsid w:val="00293573"/>
    <w:rsid w:val="00293D7D"/>
    <w:rsid w:val="002940C2"/>
    <w:rsid w:val="00294549"/>
    <w:rsid w:val="0029476B"/>
    <w:rsid w:val="00294924"/>
    <w:rsid w:val="00294C4C"/>
    <w:rsid w:val="00294FAF"/>
    <w:rsid w:val="00295F81"/>
    <w:rsid w:val="0029642C"/>
    <w:rsid w:val="00296890"/>
    <w:rsid w:val="00296921"/>
    <w:rsid w:val="002969AD"/>
    <w:rsid w:val="0029749E"/>
    <w:rsid w:val="00297C15"/>
    <w:rsid w:val="00297C9E"/>
    <w:rsid w:val="002A022B"/>
    <w:rsid w:val="002A0B2D"/>
    <w:rsid w:val="002A0C65"/>
    <w:rsid w:val="002A127F"/>
    <w:rsid w:val="002A1508"/>
    <w:rsid w:val="002A1842"/>
    <w:rsid w:val="002A1FC8"/>
    <w:rsid w:val="002A2242"/>
    <w:rsid w:val="002A2247"/>
    <w:rsid w:val="002A2365"/>
    <w:rsid w:val="002A2649"/>
    <w:rsid w:val="002A2AF9"/>
    <w:rsid w:val="002A2B08"/>
    <w:rsid w:val="002A3804"/>
    <w:rsid w:val="002A3EE3"/>
    <w:rsid w:val="002A434C"/>
    <w:rsid w:val="002A4455"/>
    <w:rsid w:val="002A47B2"/>
    <w:rsid w:val="002A4DFC"/>
    <w:rsid w:val="002A4EE0"/>
    <w:rsid w:val="002A5E4D"/>
    <w:rsid w:val="002A644E"/>
    <w:rsid w:val="002A6825"/>
    <w:rsid w:val="002A690E"/>
    <w:rsid w:val="002A7816"/>
    <w:rsid w:val="002B0455"/>
    <w:rsid w:val="002B053D"/>
    <w:rsid w:val="002B093E"/>
    <w:rsid w:val="002B09CA"/>
    <w:rsid w:val="002B0C2C"/>
    <w:rsid w:val="002B163C"/>
    <w:rsid w:val="002B1D7B"/>
    <w:rsid w:val="002B1F5E"/>
    <w:rsid w:val="002B2669"/>
    <w:rsid w:val="002B2845"/>
    <w:rsid w:val="002B29BC"/>
    <w:rsid w:val="002B34C6"/>
    <w:rsid w:val="002B3536"/>
    <w:rsid w:val="002B36A9"/>
    <w:rsid w:val="002B4452"/>
    <w:rsid w:val="002B4556"/>
    <w:rsid w:val="002B46A8"/>
    <w:rsid w:val="002B473C"/>
    <w:rsid w:val="002B5166"/>
    <w:rsid w:val="002B51D9"/>
    <w:rsid w:val="002B59DE"/>
    <w:rsid w:val="002B5B0C"/>
    <w:rsid w:val="002B6000"/>
    <w:rsid w:val="002B6B24"/>
    <w:rsid w:val="002B6C15"/>
    <w:rsid w:val="002B6C2F"/>
    <w:rsid w:val="002C014D"/>
    <w:rsid w:val="002C0CAE"/>
    <w:rsid w:val="002C0ED9"/>
    <w:rsid w:val="002C0F19"/>
    <w:rsid w:val="002C102F"/>
    <w:rsid w:val="002C1F58"/>
    <w:rsid w:val="002C22F5"/>
    <w:rsid w:val="002C2CA1"/>
    <w:rsid w:val="002C2E10"/>
    <w:rsid w:val="002C2F83"/>
    <w:rsid w:val="002C352E"/>
    <w:rsid w:val="002C38D9"/>
    <w:rsid w:val="002C39CD"/>
    <w:rsid w:val="002C3C07"/>
    <w:rsid w:val="002C4324"/>
    <w:rsid w:val="002C4A33"/>
    <w:rsid w:val="002C4A8B"/>
    <w:rsid w:val="002C56D3"/>
    <w:rsid w:val="002C5794"/>
    <w:rsid w:val="002C57CA"/>
    <w:rsid w:val="002C5B8F"/>
    <w:rsid w:val="002C61B0"/>
    <w:rsid w:val="002C6751"/>
    <w:rsid w:val="002C75ED"/>
    <w:rsid w:val="002C76FC"/>
    <w:rsid w:val="002C780A"/>
    <w:rsid w:val="002C7A04"/>
    <w:rsid w:val="002D0691"/>
    <w:rsid w:val="002D0ED2"/>
    <w:rsid w:val="002D137F"/>
    <w:rsid w:val="002D2239"/>
    <w:rsid w:val="002D2683"/>
    <w:rsid w:val="002D2B7A"/>
    <w:rsid w:val="002D3627"/>
    <w:rsid w:val="002D3A42"/>
    <w:rsid w:val="002D4286"/>
    <w:rsid w:val="002D4348"/>
    <w:rsid w:val="002D4403"/>
    <w:rsid w:val="002D4429"/>
    <w:rsid w:val="002D498D"/>
    <w:rsid w:val="002D4A94"/>
    <w:rsid w:val="002D4B9A"/>
    <w:rsid w:val="002D52F1"/>
    <w:rsid w:val="002D5E0E"/>
    <w:rsid w:val="002D5E7B"/>
    <w:rsid w:val="002D7427"/>
    <w:rsid w:val="002D79F0"/>
    <w:rsid w:val="002D7C91"/>
    <w:rsid w:val="002E0135"/>
    <w:rsid w:val="002E02B0"/>
    <w:rsid w:val="002E0464"/>
    <w:rsid w:val="002E0F31"/>
    <w:rsid w:val="002E134F"/>
    <w:rsid w:val="002E1475"/>
    <w:rsid w:val="002E1785"/>
    <w:rsid w:val="002E191F"/>
    <w:rsid w:val="002E19DF"/>
    <w:rsid w:val="002E1A02"/>
    <w:rsid w:val="002E204F"/>
    <w:rsid w:val="002E208A"/>
    <w:rsid w:val="002E2337"/>
    <w:rsid w:val="002E2A60"/>
    <w:rsid w:val="002E2B19"/>
    <w:rsid w:val="002E34F9"/>
    <w:rsid w:val="002E37CD"/>
    <w:rsid w:val="002E3C21"/>
    <w:rsid w:val="002E42EE"/>
    <w:rsid w:val="002E553A"/>
    <w:rsid w:val="002E575B"/>
    <w:rsid w:val="002E5A8D"/>
    <w:rsid w:val="002E69A9"/>
    <w:rsid w:val="002E6E47"/>
    <w:rsid w:val="002E73A0"/>
    <w:rsid w:val="002E79E1"/>
    <w:rsid w:val="002E7D5C"/>
    <w:rsid w:val="002E7E0B"/>
    <w:rsid w:val="002E7E27"/>
    <w:rsid w:val="002F0545"/>
    <w:rsid w:val="002F0566"/>
    <w:rsid w:val="002F0DD1"/>
    <w:rsid w:val="002F1408"/>
    <w:rsid w:val="002F143B"/>
    <w:rsid w:val="002F163C"/>
    <w:rsid w:val="002F169C"/>
    <w:rsid w:val="002F202A"/>
    <w:rsid w:val="002F2413"/>
    <w:rsid w:val="002F27AF"/>
    <w:rsid w:val="002F284C"/>
    <w:rsid w:val="002F2FDA"/>
    <w:rsid w:val="002F374C"/>
    <w:rsid w:val="002F384D"/>
    <w:rsid w:val="002F39EA"/>
    <w:rsid w:val="002F4B0C"/>
    <w:rsid w:val="002F5291"/>
    <w:rsid w:val="002F52DD"/>
    <w:rsid w:val="002F61A7"/>
    <w:rsid w:val="002F7341"/>
    <w:rsid w:val="002F7542"/>
    <w:rsid w:val="002F7CD6"/>
    <w:rsid w:val="002F7F36"/>
    <w:rsid w:val="003015F6"/>
    <w:rsid w:val="00301660"/>
    <w:rsid w:val="00301AC5"/>
    <w:rsid w:val="00302627"/>
    <w:rsid w:val="00302756"/>
    <w:rsid w:val="003027DD"/>
    <w:rsid w:val="00302E3F"/>
    <w:rsid w:val="003031A7"/>
    <w:rsid w:val="003036EB"/>
    <w:rsid w:val="00304056"/>
    <w:rsid w:val="0030451C"/>
    <w:rsid w:val="00304833"/>
    <w:rsid w:val="00304A4B"/>
    <w:rsid w:val="003050B0"/>
    <w:rsid w:val="003057CC"/>
    <w:rsid w:val="00305AB4"/>
    <w:rsid w:val="00305C79"/>
    <w:rsid w:val="00305D9D"/>
    <w:rsid w:val="00305E25"/>
    <w:rsid w:val="003063AF"/>
    <w:rsid w:val="003063B3"/>
    <w:rsid w:val="00306724"/>
    <w:rsid w:val="003067A4"/>
    <w:rsid w:val="0030693B"/>
    <w:rsid w:val="00307753"/>
    <w:rsid w:val="00307B66"/>
    <w:rsid w:val="00310551"/>
    <w:rsid w:val="003107D3"/>
    <w:rsid w:val="0031095A"/>
    <w:rsid w:val="00310B4A"/>
    <w:rsid w:val="00310DC8"/>
    <w:rsid w:val="00311B16"/>
    <w:rsid w:val="00311F3A"/>
    <w:rsid w:val="0031212F"/>
    <w:rsid w:val="00312205"/>
    <w:rsid w:val="00312C56"/>
    <w:rsid w:val="00312FC8"/>
    <w:rsid w:val="0031317B"/>
    <w:rsid w:val="0031332C"/>
    <w:rsid w:val="003137D4"/>
    <w:rsid w:val="003138B1"/>
    <w:rsid w:val="00313A54"/>
    <w:rsid w:val="003143CE"/>
    <w:rsid w:val="003144C1"/>
    <w:rsid w:val="00314790"/>
    <w:rsid w:val="003147F1"/>
    <w:rsid w:val="00314B84"/>
    <w:rsid w:val="00314CA4"/>
    <w:rsid w:val="00315433"/>
    <w:rsid w:val="00315902"/>
    <w:rsid w:val="003161A6"/>
    <w:rsid w:val="0031632F"/>
    <w:rsid w:val="00317205"/>
    <w:rsid w:val="00317625"/>
    <w:rsid w:val="00317761"/>
    <w:rsid w:val="00317943"/>
    <w:rsid w:val="00320291"/>
    <w:rsid w:val="003206F3"/>
    <w:rsid w:val="00320AAE"/>
    <w:rsid w:val="00320B24"/>
    <w:rsid w:val="00321A37"/>
    <w:rsid w:val="0032227F"/>
    <w:rsid w:val="003225AE"/>
    <w:rsid w:val="0032276A"/>
    <w:rsid w:val="003232EE"/>
    <w:rsid w:val="003237DF"/>
    <w:rsid w:val="00323918"/>
    <w:rsid w:val="00323B66"/>
    <w:rsid w:val="00323BF6"/>
    <w:rsid w:val="0032404D"/>
    <w:rsid w:val="00325195"/>
    <w:rsid w:val="0032519F"/>
    <w:rsid w:val="0032535C"/>
    <w:rsid w:val="003253E4"/>
    <w:rsid w:val="003257A8"/>
    <w:rsid w:val="003263C7"/>
    <w:rsid w:val="003268AD"/>
    <w:rsid w:val="00326B78"/>
    <w:rsid w:val="00326E1F"/>
    <w:rsid w:val="00326F97"/>
    <w:rsid w:val="00327136"/>
    <w:rsid w:val="00327285"/>
    <w:rsid w:val="00327516"/>
    <w:rsid w:val="0032764C"/>
    <w:rsid w:val="00327E04"/>
    <w:rsid w:val="0033059A"/>
    <w:rsid w:val="003305B5"/>
    <w:rsid w:val="00330775"/>
    <w:rsid w:val="00330A50"/>
    <w:rsid w:val="00330F06"/>
    <w:rsid w:val="00331266"/>
    <w:rsid w:val="00331307"/>
    <w:rsid w:val="003315F0"/>
    <w:rsid w:val="00331AA5"/>
    <w:rsid w:val="00331F53"/>
    <w:rsid w:val="00332043"/>
    <w:rsid w:val="0033206C"/>
    <w:rsid w:val="003323B8"/>
    <w:rsid w:val="00332738"/>
    <w:rsid w:val="003339CC"/>
    <w:rsid w:val="00333D70"/>
    <w:rsid w:val="00334963"/>
    <w:rsid w:val="00334DE7"/>
    <w:rsid w:val="00334F87"/>
    <w:rsid w:val="0033522F"/>
    <w:rsid w:val="00335860"/>
    <w:rsid w:val="00335EF8"/>
    <w:rsid w:val="00336231"/>
    <w:rsid w:val="00336694"/>
    <w:rsid w:val="00336E26"/>
    <w:rsid w:val="00337002"/>
    <w:rsid w:val="00337003"/>
    <w:rsid w:val="00337248"/>
    <w:rsid w:val="003375B0"/>
    <w:rsid w:val="0033761C"/>
    <w:rsid w:val="00337669"/>
    <w:rsid w:val="0033794F"/>
    <w:rsid w:val="00337D93"/>
    <w:rsid w:val="00337F04"/>
    <w:rsid w:val="0034023A"/>
    <w:rsid w:val="00340366"/>
    <w:rsid w:val="00340760"/>
    <w:rsid w:val="0034125C"/>
    <w:rsid w:val="0034146B"/>
    <w:rsid w:val="0034193E"/>
    <w:rsid w:val="00341B4D"/>
    <w:rsid w:val="00341ED0"/>
    <w:rsid w:val="003424CC"/>
    <w:rsid w:val="003427DB"/>
    <w:rsid w:val="00342D90"/>
    <w:rsid w:val="00342F77"/>
    <w:rsid w:val="003431D9"/>
    <w:rsid w:val="00343499"/>
    <w:rsid w:val="00343663"/>
    <w:rsid w:val="00343892"/>
    <w:rsid w:val="00343E79"/>
    <w:rsid w:val="00343FC0"/>
    <w:rsid w:val="0034430F"/>
    <w:rsid w:val="003444DA"/>
    <w:rsid w:val="00344B0B"/>
    <w:rsid w:val="00344E11"/>
    <w:rsid w:val="00344EA3"/>
    <w:rsid w:val="00344F05"/>
    <w:rsid w:val="00345B83"/>
    <w:rsid w:val="00345E76"/>
    <w:rsid w:val="0034608B"/>
    <w:rsid w:val="00346715"/>
    <w:rsid w:val="003468C3"/>
    <w:rsid w:val="0034718C"/>
    <w:rsid w:val="0034740F"/>
    <w:rsid w:val="003507D9"/>
    <w:rsid w:val="00350D10"/>
    <w:rsid w:val="00351CC7"/>
    <w:rsid w:val="00352121"/>
    <w:rsid w:val="003528A4"/>
    <w:rsid w:val="00352AB7"/>
    <w:rsid w:val="003530F6"/>
    <w:rsid w:val="00353DF5"/>
    <w:rsid w:val="00354A33"/>
    <w:rsid w:val="00354D2A"/>
    <w:rsid w:val="00355968"/>
    <w:rsid w:val="00355C79"/>
    <w:rsid w:val="00355F40"/>
    <w:rsid w:val="003567BB"/>
    <w:rsid w:val="00356BE6"/>
    <w:rsid w:val="003570EE"/>
    <w:rsid w:val="0035737A"/>
    <w:rsid w:val="00357771"/>
    <w:rsid w:val="003577D2"/>
    <w:rsid w:val="003605BD"/>
    <w:rsid w:val="00360708"/>
    <w:rsid w:val="00360B73"/>
    <w:rsid w:val="003615E5"/>
    <w:rsid w:val="00361ADD"/>
    <w:rsid w:val="00361B78"/>
    <w:rsid w:val="00361D1D"/>
    <w:rsid w:val="00361D24"/>
    <w:rsid w:val="0036211C"/>
    <w:rsid w:val="00362635"/>
    <w:rsid w:val="00362793"/>
    <w:rsid w:val="00362A0A"/>
    <w:rsid w:val="00363C8B"/>
    <w:rsid w:val="003643A8"/>
    <w:rsid w:val="00364BBF"/>
    <w:rsid w:val="00364D3F"/>
    <w:rsid w:val="00364DE0"/>
    <w:rsid w:val="00365415"/>
    <w:rsid w:val="00365497"/>
    <w:rsid w:val="003655EA"/>
    <w:rsid w:val="003659A9"/>
    <w:rsid w:val="00365B76"/>
    <w:rsid w:val="003661D6"/>
    <w:rsid w:val="003669A7"/>
    <w:rsid w:val="00367100"/>
    <w:rsid w:val="00367CF4"/>
    <w:rsid w:val="0037109F"/>
    <w:rsid w:val="0037198C"/>
    <w:rsid w:val="00371ED6"/>
    <w:rsid w:val="003725F5"/>
    <w:rsid w:val="0037261B"/>
    <w:rsid w:val="00372E8B"/>
    <w:rsid w:val="00373219"/>
    <w:rsid w:val="00373676"/>
    <w:rsid w:val="00374322"/>
    <w:rsid w:val="00374EDD"/>
    <w:rsid w:val="00374F14"/>
    <w:rsid w:val="003754D7"/>
    <w:rsid w:val="0037597A"/>
    <w:rsid w:val="00375B91"/>
    <w:rsid w:val="00375CF6"/>
    <w:rsid w:val="00376001"/>
    <w:rsid w:val="003761AA"/>
    <w:rsid w:val="00376756"/>
    <w:rsid w:val="00377081"/>
    <w:rsid w:val="00377495"/>
    <w:rsid w:val="00377C2B"/>
    <w:rsid w:val="00377E07"/>
    <w:rsid w:val="00380AC0"/>
    <w:rsid w:val="00380CC2"/>
    <w:rsid w:val="00381AAC"/>
    <w:rsid w:val="00381B88"/>
    <w:rsid w:val="00381DDE"/>
    <w:rsid w:val="003828D9"/>
    <w:rsid w:val="00383921"/>
    <w:rsid w:val="0038430D"/>
    <w:rsid w:val="003843AA"/>
    <w:rsid w:val="00384664"/>
    <w:rsid w:val="003846F0"/>
    <w:rsid w:val="00384874"/>
    <w:rsid w:val="00384AC4"/>
    <w:rsid w:val="00384E5C"/>
    <w:rsid w:val="00384F51"/>
    <w:rsid w:val="003851BD"/>
    <w:rsid w:val="00385423"/>
    <w:rsid w:val="00385B08"/>
    <w:rsid w:val="00386088"/>
    <w:rsid w:val="003863B1"/>
    <w:rsid w:val="003873BD"/>
    <w:rsid w:val="00387469"/>
    <w:rsid w:val="003875E5"/>
    <w:rsid w:val="00387DD9"/>
    <w:rsid w:val="003903D4"/>
    <w:rsid w:val="0039088B"/>
    <w:rsid w:val="00390966"/>
    <w:rsid w:val="00390A21"/>
    <w:rsid w:val="00390B7A"/>
    <w:rsid w:val="00390FEE"/>
    <w:rsid w:val="00391132"/>
    <w:rsid w:val="00391A4B"/>
    <w:rsid w:val="0039273D"/>
    <w:rsid w:val="00392E83"/>
    <w:rsid w:val="00392E8D"/>
    <w:rsid w:val="003935AB"/>
    <w:rsid w:val="003935BC"/>
    <w:rsid w:val="00393904"/>
    <w:rsid w:val="003939E5"/>
    <w:rsid w:val="00393C53"/>
    <w:rsid w:val="003944BD"/>
    <w:rsid w:val="0039458A"/>
    <w:rsid w:val="00394B89"/>
    <w:rsid w:val="00395076"/>
    <w:rsid w:val="00395614"/>
    <w:rsid w:val="0039564E"/>
    <w:rsid w:val="00395BD3"/>
    <w:rsid w:val="00396B0D"/>
    <w:rsid w:val="00396D27"/>
    <w:rsid w:val="00396DA1"/>
    <w:rsid w:val="003973A7"/>
    <w:rsid w:val="00397631"/>
    <w:rsid w:val="00397633"/>
    <w:rsid w:val="003977C0"/>
    <w:rsid w:val="00397CF3"/>
    <w:rsid w:val="00397E7C"/>
    <w:rsid w:val="003A031C"/>
    <w:rsid w:val="003A0354"/>
    <w:rsid w:val="003A0C2D"/>
    <w:rsid w:val="003A0DDD"/>
    <w:rsid w:val="003A1C50"/>
    <w:rsid w:val="003A1E1D"/>
    <w:rsid w:val="003A2385"/>
    <w:rsid w:val="003A264C"/>
    <w:rsid w:val="003A2843"/>
    <w:rsid w:val="003A29E0"/>
    <w:rsid w:val="003A2A1B"/>
    <w:rsid w:val="003A3CEE"/>
    <w:rsid w:val="003A467A"/>
    <w:rsid w:val="003A4798"/>
    <w:rsid w:val="003A47ED"/>
    <w:rsid w:val="003A4DEA"/>
    <w:rsid w:val="003A5022"/>
    <w:rsid w:val="003A58DD"/>
    <w:rsid w:val="003A5E36"/>
    <w:rsid w:val="003A5EE1"/>
    <w:rsid w:val="003A62FE"/>
    <w:rsid w:val="003A6333"/>
    <w:rsid w:val="003A6487"/>
    <w:rsid w:val="003A696D"/>
    <w:rsid w:val="003A7025"/>
    <w:rsid w:val="003A77C1"/>
    <w:rsid w:val="003A7A48"/>
    <w:rsid w:val="003A7C6C"/>
    <w:rsid w:val="003A7D51"/>
    <w:rsid w:val="003A7E24"/>
    <w:rsid w:val="003B0549"/>
    <w:rsid w:val="003B06D3"/>
    <w:rsid w:val="003B0932"/>
    <w:rsid w:val="003B09FB"/>
    <w:rsid w:val="003B1015"/>
    <w:rsid w:val="003B12EF"/>
    <w:rsid w:val="003B1342"/>
    <w:rsid w:val="003B1588"/>
    <w:rsid w:val="003B1A93"/>
    <w:rsid w:val="003B1D46"/>
    <w:rsid w:val="003B28AE"/>
    <w:rsid w:val="003B2DE6"/>
    <w:rsid w:val="003B2E10"/>
    <w:rsid w:val="003B380C"/>
    <w:rsid w:val="003B3CC3"/>
    <w:rsid w:val="003B3D3F"/>
    <w:rsid w:val="003B3FC1"/>
    <w:rsid w:val="003B42C4"/>
    <w:rsid w:val="003B43D0"/>
    <w:rsid w:val="003B4637"/>
    <w:rsid w:val="003B47B0"/>
    <w:rsid w:val="003B4FF4"/>
    <w:rsid w:val="003B51A2"/>
    <w:rsid w:val="003B6979"/>
    <w:rsid w:val="003B724F"/>
    <w:rsid w:val="003B7415"/>
    <w:rsid w:val="003B7698"/>
    <w:rsid w:val="003B77D9"/>
    <w:rsid w:val="003C0198"/>
    <w:rsid w:val="003C1145"/>
    <w:rsid w:val="003C1395"/>
    <w:rsid w:val="003C13F1"/>
    <w:rsid w:val="003C15A7"/>
    <w:rsid w:val="003C2175"/>
    <w:rsid w:val="003C280C"/>
    <w:rsid w:val="003C2E55"/>
    <w:rsid w:val="003C2EFF"/>
    <w:rsid w:val="003C2FB0"/>
    <w:rsid w:val="003C2FDD"/>
    <w:rsid w:val="003C3134"/>
    <w:rsid w:val="003C346C"/>
    <w:rsid w:val="003C379C"/>
    <w:rsid w:val="003C42EE"/>
    <w:rsid w:val="003C4442"/>
    <w:rsid w:val="003C4C60"/>
    <w:rsid w:val="003C50F5"/>
    <w:rsid w:val="003C5282"/>
    <w:rsid w:val="003C5B96"/>
    <w:rsid w:val="003C5CA1"/>
    <w:rsid w:val="003C67F6"/>
    <w:rsid w:val="003C75BA"/>
    <w:rsid w:val="003D05C6"/>
    <w:rsid w:val="003D07AE"/>
    <w:rsid w:val="003D0A19"/>
    <w:rsid w:val="003D0F4C"/>
    <w:rsid w:val="003D10E6"/>
    <w:rsid w:val="003D117B"/>
    <w:rsid w:val="003D135F"/>
    <w:rsid w:val="003D185D"/>
    <w:rsid w:val="003D1C1D"/>
    <w:rsid w:val="003D1E06"/>
    <w:rsid w:val="003D1F08"/>
    <w:rsid w:val="003D1FF9"/>
    <w:rsid w:val="003D2138"/>
    <w:rsid w:val="003D219D"/>
    <w:rsid w:val="003D220A"/>
    <w:rsid w:val="003D23FA"/>
    <w:rsid w:val="003D2785"/>
    <w:rsid w:val="003D3239"/>
    <w:rsid w:val="003D3263"/>
    <w:rsid w:val="003D41D5"/>
    <w:rsid w:val="003D42EF"/>
    <w:rsid w:val="003D4349"/>
    <w:rsid w:val="003D48C1"/>
    <w:rsid w:val="003D4F82"/>
    <w:rsid w:val="003D4F84"/>
    <w:rsid w:val="003D5065"/>
    <w:rsid w:val="003D51C4"/>
    <w:rsid w:val="003D6150"/>
    <w:rsid w:val="003D6238"/>
    <w:rsid w:val="003D64FB"/>
    <w:rsid w:val="003D6514"/>
    <w:rsid w:val="003D668E"/>
    <w:rsid w:val="003D70B7"/>
    <w:rsid w:val="003D71E2"/>
    <w:rsid w:val="003D7FC6"/>
    <w:rsid w:val="003E0051"/>
    <w:rsid w:val="003E07E6"/>
    <w:rsid w:val="003E0942"/>
    <w:rsid w:val="003E0D2F"/>
    <w:rsid w:val="003E0F5B"/>
    <w:rsid w:val="003E111E"/>
    <w:rsid w:val="003E16C1"/>
    <w:rsid w:val="003E171B"/>
    <w:rsid w:val="003E1B71"/>
    <w:rsid w:val="003E252A"/>
    <w:rsid w:val="003E2574"/>
    <w:rsid w:val="003E2F86"/>
    <w:rsid w:val="003E3E65"/>
    <w:rsid w:val="003E4C78"/>
    <w:rsid w:val="003E569B"/>
    <w:rsid w:val="003E5D28"/>
    <w:rsid w:val="003E683D"/>
    <w:rsid w:val="003E6986"/>
    <w:rsid w:val="003E69D1"/>
    <w:rsid w:val="003E6AE7"/>
    <w:rsid w:val="003E7E3F"/>
    <w:rsid w:val="003E7EDC"/>
    <w:rsid w:val="003F0142"/>
    <w:rsid w:val="003F04A6"/>
    <w:rsid w:val="003F0788"/>
    <w:rsid w:val="003F0D2E"/>
    <w:rsid w:val="003F1142"/>
    <w:rsid w:val="003F1B9F"/>
    <w:rsid w:val="003F1E29"/>
    <w:rsid w:val="003F1F72"/>
    <w:rsid w:val="003F212A"/>
    <w:rsid w:val="003F21EF"/>
    <w:rsid w:val="003F252F"/>
    <w:rsid w:val="003F44A1"/>
    <w:rsid w:val="003F45E5"/>
    <w:rsid w:val="003F4668"/>
    <w:rsid w:val="003F52E9"/>
    <w:rsid w:val="003F569E"/>
    <w:rsid w:val="003F5A3A"/>
    <w:rsid w:val="003F5E92"/>
    <w:rsid w:val="003F5F41"/>
    <w:rsid w:val="003F6127"/>
    <w:rsid w:val="003F6666"/>
    <w:rsid w:val="003F6882"/>
    <w:rsid w:val="003F68AB"/>
    <w:rsid w:val="003F792A"/>
    <w:rsid w:val="003F7949"/>
    <w:rsid w:val="003F7B7A"/>
    <w:rsid w:val="0040039B"/>
    <w:rsid w:val="00400768"/>
    <w:rsid w:val="00401187"/>
    <w:rsid w:val="0040119C"/>
    <w:rsid w:val="004016A8"/>
    <w:rsid w:val="0040193B"/>
    <w:rsid w:val="00401EED"/>
    <w:rsid w:val="00402523"/>
    <w:rsid w:val="00402746"/>
    <w:rsid w:val="0040398E"/>
    <w:rsid w:val="004045C9"/>
    <w:rsid w:val="00404939"/>
    <w:rsid w:val="00404B51"/>
    <w:rsid w:val="0040504B"/>
    <w:rsid w:val="00405AF6"/>
    <w:rsid w:val="00405D37"/>
    <w:rsid w:val="004060FB"/>
    <w:rsid w:val="004065FF"/>
    <w:rsid w:val="004067F0"/>
    <w:rsid w:val="004102B1"/>
    <w:rsid w:val="00410652"/>
    <w:rsid w:val="00410AB0"/>
    <w:rsid w:val="00411040"/>
    <w:rsid w:val="004114EA"/>
    <w:rsid w:val="004118A3"/>
    <w:rsid w:val="00411C18"/>
    <w:rsid w:val="0041239B"/>
    <w:rsid w:val="0041245C"/>
    <w:rsid w:val="004129CC"/>
    <w:rsid w:val="00412BC6"/>
    <w:rsid w:val="00413294"/>
    <w:rsid w:val="004134DD"/>
    <w:rsid w:val="004135B9"/>
    <w:rsid w:val="00413D6C"/>
    <w:rsid w:val="00413F45"/>
    <w:rsid w:val="00414A76"/>
    <w:rsid w:val="00414C61"/>
    <w:rsid w:val="00414EAA"/>
    <w:rsid w:val="00415488"/>
    <w:rsid w:val="00415EFF"/>
    <w:rsid w:val="0041605C"/>
    <w:rsid w:val="0041728F"/>
    <w:rsid w:val="004174D1"/>
    <w:rsid w:val="0042006F"/>
    <w:rsid w:val="004200B7"/>
    <w:rsid w:val="00420378"/>
    <w:rsid w:val="004210BD"/>
    <w:rsid w:val="004210F9"/>
    <w:rsid w:val="004212B2"/>
    <w:rsid w:val="004212C8"/>
    <w:rsid w:val="00421358"/>
    <w:rsid w:val="004217B7"/>
    <w:rsid w:val="004218C0"/>
    <w:rsid w:val="00421C33"/>
    <w:rsid w:val="00422186"/>
    <w:rsid w:val="004221F6"/>
    <w:rsid w:val="0042307C"/>
    <w:rsid w:val="004232C0"/>
    <w:rsid w:val="004235EC"/>
    <w:rsid w:val="00423777"/>
    <w:rsid w:val="00424406"/>
    <w:rsid w:val="00424B9A"/>
    <w:rsid w:val="00424E8C"/>
    <w:rsid w:val="00424EFC"/>
    <w:rsid w:val="004250B3"/>
    <w:rsid w:val="00425402"/>
    <w:rsid w:val="00425653"/>
    <w:rsid w:val="004258B1"/>
    <w:rsid w:val="00425BE1"/>
    <w:rsid w:val="0042605A"/>
    <w:rsid w:val="00426198"/>
    <w:rsid w:val="0042635F"/>
    <w:rsid w:val="0042670F"/>
    <w:rsid w:val="0042688E"/>
    <w:rsid w:val="00426C7A"/>
    <w:rsid w:val="004277DD"/>
    <w:rsid w:val="00427BD2"/>
    <w:rsid w:val="00427C82"/>
    <w:rsid w:val="004304CB"/>
    <w:rsid w:val="00430977"/>
    <w:rsid w:val="00430CE3"/>
    <w:rsid w:val="0043138D"/>
    <w:rsid w:val="00431865"/>
    <w:rsid w:val="00432149"/>
    <w:rsid w:val="0043243F"/>
    <w:rsid w:val="00432A72"/>
    <w:rsid w:val="004331A7"/>
    <w:rsid w:val="004333F6"/>
    <w:rsid w:val="004336B8"/>
    <w:rsid w:val="0043396E"/>
    <w:rsid w:val="00433E37"/>
    <w:rsid w:val="00434FCB"/>
    <w:rsid w:val="00435A54"/>
    <w:rsid w:val="00435AF9"/>
    <w:rsid w:val="00435B4C"/>
    <w:rsid w:val="00435D10"/>
    <w:rsid w:val="00436430"/>
    <w:rsid w:val="004367FB"/>
    <w:rsid w:val="00437A61"/>
    <w:rsid w:val="00437E4F"/>
    <w:rsid w:val="00440538"/>
    <w:rsid w:val="00440562"/>
    <w:rsid w:val="00440D0D"/>
    <w:rsid w:val="004410E4"/>
    <w:rsid w:val="00441285"/>
    <w:rsid w:val="00441B2A"/>
    <w:rsid w:val="00441C89"/>
    <w:rsid w:val="004421E1"/>
    <w:rsid w:val="004422B4"/>
    <w:rsid w:val="004428E1"/>
    <w:rsid w:val="00442C36"/>
    <w:rsid w:val="00442CE4"/>
    <w:rsid w:val="00442D3F"/>
    <w:rsid w:val="004430F5"/>
    <w:rsid w:val="00443D11"/>
    <w:rsid w:val="004448E4"/>
    <w:rsid w:val="00445449"/>
    <w:rsid w:val="004454C4"/>
    <w:rsid w:val="0044580F"/>
    <w:rsid w:val="00445BC3"/>
    <w:rsid w:val="00445DDC"/>
    <w:rsid w:val="00446094"/>
    <w:rsid w:val="00446344"/>
    <w:rsid w:val="004465E8"/>
    <w:rsid w:val="004474AE"/>
    <w:rsid w:val="00447AEE"/>
    <w:rsid w:val="00447E96"/>
    <w:rsid w:val="00447ECD"/>
    <w:rsid w:val="00447F7F"/>
    <w:rsid w:val="004501C4"/>
    <w:rsid w:val="00450B35"/>
    <w:rsid w:val="00451C10"/>
    <w:rsid w:val="004523E4"/>
    <w:rsid w:val="0045250C"/>
    <w:rsid w:val="00452A4E"/>
    <w:rsid w:val="00452B65"/>
    <w:rsid w:val="00452D65"/>
    <w:rsid w:val="0045301F"/>
    <w:rsid w:val="004532FF"/>
    <w:rsid w:val="00454220"/>
    <w:rsid w:val="00454674"/>
    <w:rsid w:val="00454EBD"/>
    <w:rsid w:val="00455269"/>
    <w:rsid w:val="00455391"/>
    <w:rsid w:val="00455BAF"/>
    <w:rsid w:val="00455C24"/>
    <w:rsid w:val="004560FA"/>
    <w:rsid w:val="00456221"/>
    <w:rsid w:val="00456404"/>
    <w:rsid w:val="00456DF2"/>
    <w:rsid w:val="00457265"/>
    <w:rsid w:val="00457327"/>
    <w:rsid w:val="00457575"/>
    <w:rsid w:val="0045778F"/>
    <w:rsid w:val="004577E4"/>
    <w:rsid w:val="004579DA"/>
    <w:rsid w:val="004606C9"/>
    <w:rsid w:val="00460D3D"/>
    <w:rsid w:val="004610F0"/>
    <w:rsid w:val="00461368"/>
    <w:rsid w:val="0046146B"/>
    <w:rsid w:val="00461790"/>
    <w:rsid w:val="00461841"/>
    <w:rsid w:val="00461A9B"/>
    <w:rsid w:val="00461E3A"/>
    <w:rsid w:val="00461E4F"/>
    <w:rsid w:val="00461FFF"/>
    <w:rsid w:val="004620D6"/>
    <w:rsid w:val="004623F4"/>
    <w:rsid w:val="00462506"/>
    <w:rsid w:val="00462833"/>
    <w:rsid w:val="00462AF0"/>
    <w:rsid w:val="00462E1B"/>
    <w:rsid w:val="00463183"/>
    <w:rsid w:val="00463D31"/>
    <w:rsid w:val="00463F50"/>
    <w:rsid w:val="00464151"/>
    <w:rsid w:val="004645B9"/>
    <w:rsid w:val="0046474C"/>
    <w:rsid w:val="00464E8A"/>
    <w:rsid w:val="00465108"/>
    <w:rsid w:val="004651D8"/>
    <w:rsid w:val="0046579D"/>
    <w:rsid w:val="00466ED6"/>
    <w:rsid w:val="004675E3"/>
    <w:rsid w:val="00467E33"/>
    <w:rsid w:val="00467E51"/>
    <w:rsid w:val="004703FD"/>
    <w:rsid w:val="00471254"/>
    <w:rsid w:val="004719C3"/>
    <w:rsid w:val="00471A94"/>
    <w:rsid w:val="00471B47"/>
    <w:rsid w:val="00471BEA"/>
    <w:rsid w:val="00471EFB"/>
    <w:rsid w:val="00472099"/>
    <w:rsid w:val="004727E7"/>
    <w:rsid w:val="00472B00"/>
    <w:rsid w:val="00472F68"/>
    <w:rsid w:val="00472FEE"/>
    <w:rsid w:val="00473143"/>
    <w:rsid w:val="00473804"/>
    <w:rsid w:val="00473843"/>
    <w:rsid w:val="0047397E"/>
    <w:rsid w:val="00473DEB"/>
    <w:rsid w:val="00473F10"/>
    <w:rsid w:val="00474810"/>
    <w:rsid w:val="004748AB"/>
    <w:rsid w:val="00474BC4"/>
    <w:rsid w:val="00474E9F"/>
    <w:rsid w:val="0047596B"/>
    <w:rsid w:val="0047623A"/>
    <w:rsid w:val="00476412"/>
    <w:rsid w:val="004769E4"/>
    <w:rsid w:val="00476ABA"/>
    <w:rsid w:val="00476F1D"/>
    <w:rsid w:val="0047717B"/>
    <w:rsid w:val="00477420"/>
    <w:rsid w:val="00480546"/>
    <w:rsid w:val="0048072D"/>
    <w:rsid w:val="00481A73"/>
    <w:rsid w:val="00482193"/>
    <w:rsid w:val="00482A1A"/>
    <w:rsid w:val="00483522"/>
    <w:rsid w:val="00483715"/>
    <w:rsid w:val="00483AA6"/>
    <w:rsid w:val="00484EDD"/>
    <w:rsid w:val="00484F06"/>
    <w:rsid w:val="00484F89"/>
    <w:rsid w:val="00485962"/>
    <w:rsid w:val="00485B71"/>
    <w:rsid w:val="00485EDD"/>
    <w:rsid w:val="00486D89"/>
    <w:rsid w:val="00486EAA"/>
    <w:rsid w:val="00486FB0"/>
    <w:rsid w:val="00487032"/>
    <w:rsid w:val="004901D7"/>
    <w:rsid w:val="004903E6"/>
    <w:rsid w:val="00490733"/>
    <w:rsid w:val="004907AC"/>
    <w:rsid w:val="00490B20"/>
    <w:rsid w:val="00490D39"/>
    <w:rsid w:val="00490DB8"/>
    <w:rsid w:val="00490F32"/>
    <w:rsid w:val="004916AA"/>
    <w:rsid w:val="00491BFB"/>
    <w:rsid w:val="00491F49"/>
    <w:rsid w:val="00492328"/>
    <w:rsid w:val="004925B4"/>
    <w:rsid w:val="00492795"/>
    <w:rsid w:val="00492B10"/>
    <w:rsid w:val="0049316A"/>
    <w:rsid w:val="0049437A"/>
    <w:rsid w:val="00494796"/>
    <w:rsid w:val="00495077"/>
    <w:rsid w:val="00495385"/>
    <w:rsid w:val="00495901"/>
    <w:rsid w:val="00495D1B"/>
    <w:rsid w:val="004967FD"/>
    <w:rsid w:val="00496E71"/>
    <w:rsid w:val="00497418"/>
    <w:rsid w:val="0049773B"/>
    <w:rsid w:val="0049784D"/>
    <w:rsid w:val="004978E9"/>
    <w:rsid w:val="004A0063"/>
    <w:rsid w:val="004A0159"/>
    <w:rsid w:val="004A1185"/>
    <w:rsid w:val="004A1EF0"/>
    <w:rsid w:val="004A245D"/>
    <w:rsid w:val="004A2881"/>
    <w:rsid w:val="004A2A0A"/>
    <w:rsid w:val="004A3944"/>
    <w:rsid w:val="004A3D93"/>
    <w:rsid w:val="004A474D"/>
    <w:rsid w:val="004A4752"/>
    <w:rsid w:val="004A4F28"/>
    <w:rsid w:val="004A4FBD"/>
    <w:rsid w:val="004A51F6"/>
    <w:rsid w:val="004A5315"/>
    <w:rsid w:val="004A5332"/>
    <w:rsid w:val="004A541B"/>
    <w:rsid w:val="004A57D0"/>
    <w:rsid w:val="004A5AC9"/>
    <w:rsid w:val="004A5F15"/>
    <w:rsid w:val="004A6424"/>
    <w:rsid w:val="004A6519"/>
    <w:rsid w:val="004A682D"/>
    <w:rsid w:val="004A691E"/>
    <w:rsid w:val="004A6E7E"/>
    <w:rsid w:val="004A795C"/>
    <w:rsid w:val="004A7C20"/>
    <w:rsid w:val="004A7FCC"/>
    <w:rsid w:val="004B04D0"/>
    <w:rsid w:val="004B05E8"/>
    <w:rsid w:val="004B06A1"/>
    <w:rsid w:val="004B0973"/>
    <w:rsid w:val="004B0FA1"/>
    <w:rsid w:val="004B1407"/>
    <w:rsid w:val="004B1D47"/>
    <w:rsid w:val="004B29C1"/>
    <w:rsid w:val="004B2BBC"/>
    <w:rsid w:val="004B3CC4"/>
    <w:rsid w:val="004B3E11"/>
    <w:rsid w:val="004B3F01"/>
    <w:rsid w:val="004B3F06"/>
    <w:rsid w:val="004B4149"/>
    <w:rsid w:val="004B47CA"/>
    <w:rsid w:val="004B5AC2"/>
    <w:rsid w:val="004B5B59"/>
    <w:rsid w:val="004B64F0"/>
    <w:rsid w:val="004B6843"/>
    <w:rsid w:val="004B718E"/>
    <w:rsid w:val="004B771F"/>
    <w:rsid w:val="004B7E6F"/>
    <w:rsid w:val="004C0773"/>
    <w:rsid w:val="004C0DCC"/>
    <w:rsid w:val="004C0FDC"/>
    <w:rsid w:val="004C1099"/>
    <w:rsid w:val="004C1627"/>
    <w:rsid w:val="004C165C"/>
    <w:rsid w:val="004C1E13"/>
    <w:rsid w:val="004C24B3"/>
    <w:rsid w:val="004C253E"/>
    <w:rsid w:val="004C333E"/>
    <w:rsid w:val="004C3EF9"/>
    <w:rsid w:val="004C4799"/>
    <w:rsid w:val="004C47E1"/>
    <w:rsid w:val="004C4AE5"/>
    <w:rsid w:val="004C4DA8"/>
    <w:rsid w:val="004C4FEA"/>
    <w:rsid w:val="004C5048"/>
    <w:rsid w:val="004C535A"/>
    <w:rsid w:val="004C56D1"/>
    <w:rsid w:val="004C5886"/>
    <w:rsid w:val="004C6941"/>
    <w:rsid w:val="004C6AB4"/>
    <w:rsid w:val="004C7354"/>
    <w:rsid w:val="004D07E7"/>
    <w:rsid w:val="004D19E7"/>
    <w:rsid w:val="004D2078"/>
    <w:rsid w:val="004D24AE"/>
    <w:rsid w:val="004D35CA"/>
    <w:rsid w:val="004D442D"/>
    <w:rsid w:val="004D4A94"/>
    <w:rsid w:val="004D4E74"/>
    <w:rsid w:val="004D5011"/>
    <w:rsid w:val="004D5F43"/>
    <w:rsid w:val="004D6145"/>
    <w:rsid w:val="004D6811"/>
    <w:rsid w:val="004D6B18"/>
    <w:rsid w:val="004E017A"/>
    <w:rsid w:val="004E0481"/>
    <w:rsid w:val="004E066C"/>
    <w:rsid w:val="004E0EBD"/>
    <w:rsid w:val="004E10E0"/>
    <w:rsid w:val="004E1C9A"/>
    <w:rsid w:val="004E1DFB"/>
    <w:rsid w:val="004E2F35"/>
    <w:rsid w:val="004E3261"/>
    <w:rsid w:val="004E3808"/>
    <w:rsid w:val="004E3A6B"/>
    <w:rsid w:val="004E3AEC"/>
    <w:rsid w:val="004E3BB2"/>
    <w:rsid w:val="004E405F"/>
    <w:rsid w:val="004E40AF"/>
    <w:rsid w:val="004E40EE"/>
    <w:rsid w:val="004E4102"/>
    <w:rsid w:val="004E41F5"/>
    <w:rsid w:val="004E4600"/>
    <w:rsid w:val="004E50C1"/>
    <w:rsid w:val="004E579A"/>
    <w:rsid w:val="004E5E2C"/>
    <w:rsid w:val="004E5FD8"/>
    <w:rsid w:val="004E6067"/>
    <w:rsid w:val="004E6442"/>
    <w:rsid w:val="004E6950"/>
    <w:rsid w:val="004E6C55"/>
    <w:rsid w:val="004E713B"/>
    <w:rsid w:val="004E7781"/>
    <w:rsid w:val="004E7A21"/>
    <w:rsid w:val="004E7B3E"/>
    <w:rsid w:val="004F0BB0"/>
    <w:rsid w:val="004F15D5"/>
    <w:rsid w:val="004F17D6"/>
    <w:rsid w:val="004F1BFD"/>
    <w:rsid w:val="004F3649"/>
    <w:rsid w:val="004F3819"/>
    <w:rsid w:val="004F3F1A"/>
    <w:rsid w:val="004F4006"/>
    <w:rsid w:val="004F419E"/>
    <w:rsid w:val="004F48B5"/>
    <w:rsid w:val="004F51EC"/>
    <w:rsid w:val="004F535C"/>
    <w:rsid w:val="004F5D43"/>
    <w:rsid w:val="004F5DAC"/>
    <w:rsid w:val="004F5F4E"/>
    <w:rsid w:val="004F63DA"/>
    <w:rsid w:val="004F6A63"/>
    <w:rsid w:val="004F6CA6"/>
    <w:rsid w:val="004F6DA5"/>
    <w:rsid w:val="004F74A4"/>
    <w:rsid w:val="004F75E6"/>
    <w:rsid w:val="004F7729"/>
    <w:rsid w:val="004F7731"/>
    <w:rsid w:val="004F77DB"/>
    <w:rsid w:val="004F787E"/>
    <w:rsid w:val="004F7BDB"/>
    <w:rsid w:val="004F7C55"/>
    <w:rsid w:val="004F7DDE"/>
    <w:rsid w:val="005003CE"/>
    <w:rsid w:val="00500718"/>
    <w:rsid w:val="005007DD"/>
    <w:rsid w:val="0050098A"/>
    <w:rsid w:val="00500B83"/>
    <w:rsid w:val="005015A8"/>
    <w:rsid w:val="0050168E"/>
    <w:rsid w:val="00501E95"/>
    <w:rsid w:val="00502067"/>
    <w:rsid w:val="005020BD"/>
    <w:rsid w:val="005021BC"/>
    <w:rsid w:val="00503331"/>
    <w:rsid w:val="005039BE"/>
    <w:rsid w:val="00503AC2"/>
    <w:rsid w:val="00503F35"/>
    <w:rsid w:val="0050400A"/>
    <w:rsid w:val="00504019"/>
    <w:rsid w:val="0050405B"/>
    <w:rsid w:val="0050444D"/>
    <w:rsid w:val="00504A71"/>
    <w:rsid w:val="00505172"/>
    <w:rsid w:val="005051A4"/>
    <w:rsid w:val="00505232"/>
    <w:rsid w:val="005059A9"/>
    <w:rsid w:val="00505CB3"/>
    <w:rsid w:val="00506A03"/>
    <w:rsid w:val="00507878"/>
    <w:rsid w:val="00507AA2"/>
    <w:rsid w:val="00507B71"/>
    <w:rsid w:val="00507FD4"/>
    <w:rsid w:val="00510348"/>
    <w:rsid w:val="00510684"/>
    <w:rsid w:val="00510972"/>
    <w:rsid w:val="00510A25"/>
    <w:rsid w:val="00510CF9"/>
    <w:rsid w:val="005111A7"/>
    <w:rsid w:val="00511282"/>
    <w:rsid w:val="0051198E"/>
    <w:rsid w:val="00511DB0"/>
    <w:rsid w:val="00511E61"/>
    <w:rsid w:val="00511E6E"/>
    <w:rsid w:val="00511FA9"/>
    <w:rsid w:val="0051200C"/>
    <w:rsid w:val="0051231A"/>
    <w:rsid w:val="0051268D"/>
    <w:rsid w:val="00512970"/>
    <w:rsid w:val="00513CBA"/>
    <w:rsid w:val="00513E68"/>
    <w:rsid w:val="00514289"/>
    <w:rsid w:val="005142C6"/>
    <w:rsid w:val="00514555"/>
    <w:rsid w:val="00514AE0"/>
    <w:rsid w:val="00514D4D"/>
    <w:rsid w:val="005153AA"/>
    <w:rsid w:val="0051562B"/>
    <w:rsid w:val="0051596A"/>
    <w:rsid w:val="005165B5"/>
    <w:rsid w:val="00516863"/>
    <w:rsid w:val="00516934"/>
    <w:rsid w:val="00516C0A"/>
    <w:rsid w:val="00516C61"/>
    <w:rsid w:val="00516F85"/>
    <w:rsid w:val="0051707F"/>
    <w:rsid w:val="00517627"/>
    <w:rsid w:val="005179AF"/>
    <w:rsid w:val="005179DF"/>
    <w:rsid w:val="00520397"/>
    <w:rsid w:val="00520713"/>
    <w:rsid w:val="00520726"/>
    <w:rsid w:val="00520865"/>
    <w:rsid w:val="00520C2A"/>
    <w:rsid w:val="00520E69"/>
    <w:rsid w:val="00521147"/>
    <w:rsid w:val="005216CA"/>
    <w:rsid w:val="005219C3"/>
    <w:rsid w:val="00521A4B"/>
    <w:rsid w:val="005229A9"/>
    <w:rsid w:val="00522A7D"/>
    <w:rsid w:val="00522BAE"/>
    <w:rsid w:val="00522E30"/>
    <w:rsid w:val="00522EEF"/>
    <w:rsid w:val="00523BBE"/>
    <w:rsid w:val="00523F5A"/>
    <w:rsid w:val="005244E3"/>
    <w:rsid w:val="00524B3D"/>
    <w:rsid w:val="0052521F"/>
    <w:rsid w:val="0052534D"/>
    <w:rsid w:val="00525ABD"/>
    <w:rsid w:val="00525C44"/>
    <w:rsid w:val="00525C89"/>
    <w:rsid w:val="0052665C"/>
    <w:rsid w:val="00527387"/>
    <w:rsid w:val="0052763A"/>
    <w:rsid w:val="00527784"/>
    <w:rsid w:val="00527B87"/>
    <w:rsid w:val="005302D4"/>
    <w:rsid w:val="005303E4"/>
    <w:rsid w:val="005308A1"/>
    <w:rsid w:val="00531640"/>
    <w:rsid w:val="00532617"/>
    <w:rsid w:val="005327BD"/>
    <w:rsid w:val="00532D78"/>
    <w:rsid w:val="00533756"/>
    <w:rsid w:val="00534042"/>
    <w:rsid w:val="00534B9C"/>
    <w:rsid w:val="00535269"/>
    <w:rsid w:val="00535661"/>
    <w:rsid w:val="0053573C"/>
    <w:rsid w:val="00535D92"/>
    <w:rsid w:val="00536557"/>
    <w:rsid w:val="00536B32"/>
    <w:rsid w:val="00536C3E"/>
    <w:rsid w:val="005371C9"/>
    <w:rsid w:val="00537389"/>
    <w:rsid w:val="00537594"/>
    <w:rsid w:val="005377A5"/>
    <w:rsid w:val="00537BCD"/>
    <w:rsid w:val="00537CF3"/>
    <w:rsid w:val="005403F7"/>
    <w:rsid w:val="00540459"/>
    <w:rsid w:val="005405EF"/>
    <w:rsid w:val="00540EB9"/>
    <w:rsid w:val="0054143A"/>
    <w:rsid w:val="0054153D"/>
    <w:rsid w:val="00542C8E"/>
    <w:rsid w:val="00542F06"/>
    <w:rsid w:val="005433D8"/>
    <w:rsid w:val="00543CD8"/>
    <w:rsid w:val="00543DB7"/>
    <w:rsid w:val="00543FD4"/>
    <w:rsid w:val="00544453"/>
    <w:rsid w:val="00544C85"/>
    <w:rsid w:val="00544D57"/>
    <w:rsid w:val="00544F94"/>
    <w:rsid w:val="0054707B"/>
    <w:rsid w:val="0054716D"/>
    <w:rsid w:val="00547217"/>
    <w:rsid w:val="005473C3"/>
    <w:rsid w:val="005476CB"/>
    <w:rsid w:val="005478E7"/>
    <w:rsid w:val="0055085B"/>
    <w:rsid w:val="00550BF0"/>
    <w:rsid w:val="005518A4"/>
    <w:rsid w:val="0055199C"/>
    <w:rsid w:val="00551D04"/>
    <w:rsid w:val="005520EB"/>
    <w:rsid w:val="0055249F"/>
    <w:rsid w:val="005525CE"/>
    <w:rsid w:val="00553ABC"/>
    <w:rsid w:val="00554582"/>
    <w:rsid w:val="0055458F"/>
    <w:rsid w:val="00554C01"/>
    <w:rsid w:val="00554C8A"/>
    <w:rsid w:val="00554D99"/>
    <w:rsid w:val="005553D8"/>
    <w:rsid w:val="00555C22"/>
    <w:rsid w:val="005577C9"/>
    <w:rsid w:val="00557B15"/>
    <w:rsid w:val="00557BDC"/>
    <w:rsid w:val="005604E2"/>
    <w:rsid w:val="00560B65"/>
    <w:rsid w:val="00560E9D"/>
    <w:rsid w:val="005613E4"/>
    <w:rsid w:val="005616CA"/>
    <w:rsid w:val="0056179B"/>
    <w:rsid w:val="00561B8D"/>
    <w:rsid w:val="005621C8"/>
    <w:rsid w:val="005621FD"/>
    <w:rsid w:val="0056230B"/>
    <w:rsid w:val="0056271E"/>
    <w:rsid w:val="00562FA9"/>
    <w:rsid w:val="00563276"/>
    <w:rsid w:val="005636FE"/>
    <w:rsid w:val="00563870"/>
    <w:rsid w:val="0056394B"/>
    <w:rsid w:val="00563C67"/>
    <w:rsid w:val="00563F6A"/>
    <w:rsid w:val="0056442C"/>
    <w:rsid w:val="00564BC1"/>
    <w:rsid w:val="00564DF4"/>
    <w:rsid w:val="00564F3B"/>
    <w:rsid w:val="00565044"/>
    <w:rsid w:val="00565198"/>
    <w:rsid w:val="00565510"/>
    <w:rsid w:val="005665D9"/>
    <w:rsid w:val="00567FC6"/>
    <w:rsid w:val="00570728"/>
    <w:rsid w:val="00571096"/>
    <w:rsid w:val="005710A4"/>
    <w:rsid w:val="005710FE"/>
    <w:rsid w:val="00571255"/>
    <w:rsid w:val="005714E7"/>
    <w:rsid w:val="0057165B"/>
    <w:rsid w:val="00571AC1"/>
    <w:rsid w:val="00571C78"/>
    <w:rsid w:val="00571F9C"/>
    <w:rsid w:val="0057241B"/>
    <w:rsid w:val="00573666"/>
    <w:rsid w:val="00573814"/>
    <w:rsid w:val="0057382C"/>
    <w:rsid w:val="00573873"/>
    <w:rsid w:val="005739BE"/>
    <w:rsid w:val="00573BE1"/>
    <w:rsid w:val="00573D0B"/>
    <w:rsid w:val="005743FC"/>
    <w:rsid w:val="005744BE"/>
    <w:rsid w:val="005745D2"/>
    <w:rsid w:val="00574B03"/>
    <w:rsid w:val="005752A0"/>
    <w:rsid w:val="0057554D"/>
    <w:rsid w:val="00575A02"/>
    <w:rsid w:val="00575E16"/>
    <w:rsid w:val="005763AF"/>
    <w:rsid w:val="00576576"/>
    <w:rsid w:val="00576FEE"/>
    <w:rsid w:val="005770A0"/>
    <w:rsid w:val="00577749"/>
    <w:rsid w:val="00577CD2"/>
    <w:rsid w:val="00577FE8"/>
    <w:rsid w:val="00580033"/>
    <w:rsid w:val="00580627"/>
    <w:rsid w:val="00580994"/>
    <w:rsid w:val="00580F53"/>
    <w:rsid w:val="00580F98"/>
    <w:rsid w:val="0058153A"/>
    <w:rsid w:val="00581AE9"/>
    <w:rsid w:val="005826C6"/>
    <w:rsid w:val="00582D01"/>
    <w:rsid w:val="00582D10"/>
    <w:rsid w:val="00582F2E"/>
    <w:rsid w:val="0058353B"/>
    <w:rsid w:val="005849DB"/>
    <w:rsid w:val="0058500B"/>
    <w:rsid w:val="00585282"/>
    <w:rsid w:val="0058584E"/>
    <w:rsid w:val="005858AC"/>
    <w:rsid w:val="00586569"/>
    <w:rsid w:val="00586C98"/>
    <w:rsid w:val="005873D0"/>
    <w:rsid w:val="00587692"/>
    <w:rsid w:val="0059051B"/>
    <w:rsid w:val="00590574"/>
    <w:rsid w:val="005907B9"/>
    <w:rsid w:val="00593B92"/>
    <w:rsid w:val="00593E8F"/>
    <w:rsid w:val="005946EF"/>
    <w:rsid w:val="00594BC3"/>
    <w:rsid w:val="00594D3E"/>
    <w:rsid w:val="00594D5B"/>
    <w:rsid w:val="00595270"/>
    <w:rsid w:val="005952C5"/>
    <w:rsid w:val="00595309"/>
    <w:rsid w:val="005955A3"/>
    <w:rsid w:val="00596551"/>
    <w:rsid w:val="005966FD"/>
    <w:rsid w:val="0059682E"/>
    <w:rsid w:val="005970A0"/>
    <w:rsid w:val="00597181"/>
    <w:rsid w:val="00597AB8"/>
    <w:rsid w:val="005A02E5"/>
    <w:rsid w:val="005A09C9"/>
    <w:rsid w:val="005A101A"/>
    <w:rsid w:val="005A1049"/>
    <w:rsid w:val="005A1155"/>
    <w:rsid w:val="005A1406"/>
    <w:rsid w:val="005A19A6"/>
    <w:rsid w:val="005A28E8"/>
    <w:rsid w:val="005A29E4"/>
    <w:rsid w:val="005A2DCE"/>
    <w:rsid w:val="005A2E6C"/>
    <w:rsid w:val="005A2EDD"/>
    <w:rsid w:val="005A381A"/>
    <w:rsid w:val="005A3841"/>
    <w:rsid w:val="005A3929"/>
    <w:rsid w:val="005A407A"/>
    <w:rsid w:val="005A41CD"/>
    <w:rsid w:val="005A4482"/>
    <w:rsid w:val="005A46F9"/>
    <w:rsid w:val="005A4BE8"/>
    <w:rsid w:val="005A50DF"/>
    <w:rsid w:val="005A525F"/>
    <w:rsid w:val="005A545E"/>
    <w:rsid w:val="005A5460"/>
    <w:rsid w:val="005A55D3"/>
    <w:rsid w:val="005A55FA"/>
    <w:rsid w:val="005A5787"/>
    <w:rsid w:val="005A5AFE"/>
    <w:rsid w:val="005A715C"/>
    <w:rsid w:val="005A720E"/>
    <w:rsid w:val="005A7675"/>
    <w:rsid w:val="005A7CF6"/>
    <w:rsid w:val="005B000E"/>
    <w:rsid w:val="005B0073"/>
    <w:rsid w:val="005B0251"/>
    <w:rsid w:val="005B04F2"/>
    <w:rsid w:val="005B087C"/>
    <w:rsid w:val="005B0ACA"/>
    <w:rsid w:val="005B10F5"/>
    <w:rsid w:val="005B124D"/>
    <w:rsid w:val="005B1836"/>
    <w:rsid w:val="005B1BF2"/>
    <w:rsid w:val="005B1F7B"/>
    <w:rsid w:val="005B2050"/>
    <w:rsid w:val="005B21FB"/>
    <w:rsid w:val="005B232E"/>
    <w:rsid w:val="005B2439"/>
    <w:rsid w:val="005B2725"/>
    <w:rsid w:val="005B2847"/>
    <w:rsid w:val="005B2B56"/>
    <w:rsid w:val="005B2DE4"/>
    <w:rsid w:val="005B3870"/>
    <w:rsid w:val="005B3CED"/>
    <w:rsid w:val="005B3DF2"/>
    <w:rsid w:val="005B484A"/>
    <w:rsid w:val="005B4B4A"/>
    <w:rsid w:val="005B4C22"/>
    <w:rsid w:val="005B4E63"/>
    <w:rsid w:val="005B4F3B"/>
    <w:rsid w:val="005B4F41"/>
    <w:rsid w:val="005B4FA8"/>
    <w:rsid w:val="005B550F"/>
    <w:rsid w:val="005B5B44"/>
    <w:rsid w:val="005B676A"/>
    <w:rsid w:val="005B6DF2"/>
    <w:rsid w:val="005B6E5E"/>
    <w:rsid w:val="005B7813"/>
    <w:rsid w:val="005B7D66"/>
    <w:rsid w:val="005C04C8"/>
    <w:rsid w:val="005C0EDB"/>
    <w:rsid w:val="005C10BA"/>
    <w:rsid w:val="005C17E6"/>
    <w:rsid w:val="005C200F"/>
    <w:rsid w:val="005C2106"/>
    <w:rsid w:val="005C24C8"/>
    <w:rsid w:val="005C2C6F"/>
    <w:rsid w:val="005C2FBB"/>
    <w:rsid w:val="005C3880"/>
    <w:rsid w:val="005C38CE"/>
    <w:rsid w:val="005C396E"/>
    <w:rsid w:val="005C3EA7"/>
    <w:rsid w:val="005C3EE8"/>
    <w:rsid w:val="005C40AD"/>
    <w:rsid w:val="005C4195"/>
    <w:rsid w:val="005C41AE"/>
    <w:rsid w:val="005C4454"/>
    <w:rsid w:val="005C457C"/>
    <w:rsid w:val="005C49A9"/>
    <w:rsid w:val="005C60D7"/>
    <w:rsid w:val="005C6C26"/>
    <w:rsid w:val="005C7A49"/>
    <w:rsid w:val="005D06C2"/>
    <w:rsid w:val="005D0E75"/>
    <w:rsid w:val="005D0E89"/>
    <w:rsid w:val="005D1006"/>
    <w:rsid w:val="005D12EF"/>
    <w:rsid w:val="005D18E6"/>
    <w:rsid w:val="005D1DA5"/>
    <w:rsid w:val="005D1DF5"/>
    <w:rsid w:val="005D22C6"/>
    <w:rsid w:val="005D25DE"/>
    <w:rsid w:val="005D2AAB"/>
    <w:rsid w:val="005D3075"/>
    <w:rsid w:val="005D3580"/>
    <w:rsid w:val="005D3906"/>
    <w:rsid w:val="005D3944"/>
    <w:rsid w:val="005D3C22"/>
    <w:rsid w:val="005D4037"/>
    <w:rsid w:val="005D456B"/>
    <w:rsid w:val="005D46F7"/>
    <w:rsid w:val="005D484F"/>
    <w:rsid w:val="005D48F0"/>
    <w:rsid w:val="005D4A99"/>
    <w:rsid w:val="005D5097"/>
    <w:rsid w:val="005D561D"/>
    <w:rsid w:val="005D57A6"/>
    <w:rsid w:val="005D5864"/>
    <w:rsid w:val="005D5B05"/>
    <w:rsid w:val="005D5D06"/>
    <w:rsid w:val="005D5FB9"/>
    <w:rsid w:val="005D6036"/>
    <w:rsid w:val="005D6B43"/>
    <w:rsid w:val="005D7065"/>
    <w:rsid w:val="005D76AB"/>
    <w:rsid w:val="005D7AFF"/>
    <w:rsid w:val="005D7C4E"/>
    <w:rsid w:val="005E0073"/>
    <w:rsid w:val="005E0655"/>
    <w:rsid w:val="005E06F4"/>
    <w:rsid w:val="005E0709"/>
    <w:rsid w:val="005E08A5"/>
    <w:rsid w:val="005E0940"/>
    <w:rsid w:val="005E17F5"/>
    <w:rsid w:val="005E25FA"/>
    <w:rsid w:val="005E2A93"/>
    <w:rsid w:val="005E2AD2"/>
    <w:rsid w:val="005E2B1D"/>
    <w:rsid w:val="005E3D06"/>
    <w:rsid w:val="005E3EF3"/>
    <w:rsid w:val="005E3FB9"/>
    <w:rsid w:val="005E4148"/>
    <w:rsid w:val="005E419D"/>
    <w:rsid w:val="005E445C"/>
    <w:rsid w:val="005E44D8"/>
    <w:rsid w:val="005E4A82"/>
    <w:rsid w:val="005E4CD1"/>
    <w:rsid w:val="005E528E"/>
    <w:rsid w:val="005E5419"/>
    <w:rsid w:val="005E581B"/>
    <w:rsid w:val="005E5EFE"/>
    <w:rsid w:val="005E6A2B"/>
    <w:rsid w:val="005E6D2B"/>
    <w:rsid w:val="005E7AC2"/>
    <w:rsid w:val="005E7EA0"/>
    <w:rsid w:val="005F08AE"/>
    <w:rsid w:val="005F098A"/>
    <w:rsid w:val="005F0D2C"/>
    <w:rsid w:val="005F1976"/>
    <w:rsid w:val="005F1F13"/>
    <w:rsid w:val="005F222C"/>
    <w:rsid w:val="005F24E8"/>
    <w:rsid w:val="005F2B4E"/>
    <w:rsid w:val="005F30F3"/>
    <w:rsid w:val="005F365A"/>
    <w:rsid w:val="005F40D7"/>
    <w:rsid w:val="005F44B5"/>
    <w:rsid w:val="005F5103"/>
    <w:rsid w:val="005F524E"/>
    <w:rsid w:val="005F57CD"/>
    <w:rsid w:val="005F5A4B"/>
    <w:rsid w:val="005F5D19"/>
    <w:rsid w:val="005F5D88"/>
    <w:rsid w:val="005F6218"/>
    <w:rsid w:val="005F6358"/>
    <w:rsid w:val="005F6E01"/>
    <w:rsid w:val="005F6E02"/>
    <w:rsid w:val="005F6E69"/>
    <w:rsid w:val="005F70C7"/>
    <w:rsid w:val="00600240"/>
    <w:rsid w:val="006008B5"/>
    <w:rsid w:val="00600A3A"/>
    <w:rsid w:val="00601AD1"/>
    <w:rsid w:val="0060236C"/>
    <w:rsid w:val="006027FA"/>
    <w:rsid w:val="00603C9E"/>
    <w:rsid w:val="00604C44"/>
    <w:rsid w:val="00605607"/>
    <w:rsid w:val="00605A77"/>
    <w:rsid w:val="00605A7D"/>
    <w:rsid w:val="00605A83"/>
    <w:rsid w:val="00605D2C"/>
    <w:rsid w:val="00605D61"/>
    <w:rsid w:val="006061D4"/>
    <w:rsid w:val="00606A8B"/>
    <w:rsid w:val="00606AA7"/>
    <w:rsid w:val="00606C4D"/>
    <w:rsid w:val="00607DCD"/>
    <w:rsid w:val="0061024A"/>
    <w:rsid w:val="00610441"/>
    <w:rsid w:val="00610DCF"/>
    <w:rsid w:val="00610E69"/>
    <w:rsid w:val="006112A9"/>
    <w:rsid w:val="0061188C"/>
    <w:rsid w:val="00611D85"/>
    <w:rsid w:val="006121CD"/>
    <w:rsid w:val="00612490"/>
    <w:rsid w:val="006124DE"/>
    <w:rsid w:val="0061261E"/>
    <w:rsid w:val="006127E0"/>
    <w:rsid w:val="006130C0"/>
    <w:rsid w:val="0061333F"/>
    <w:rsid w:val="0061349D"/>
    <w:rsid w:val="0061417A"/>
    <w:rsid w:val="00614310"/>
    <w:rsid w:val="0061464A"/>
    <w:rsid w:val="00614DE8"/>
    <w:rsid w:val="006152AA"/>
    <w:rsid w:val="0061598E"/>
    <w:rsid w:val="00615F24"/>
    <w:rsid w:val="006160C5"/>
    <w:rsid w:val="00616143"/>
    <w:rsid w:val="006166C4"/>
    <w:rsid w:val="00617275"/>
    <w:rsid w:val="0061736F"/>
    <w:rsid w:val="00617D02"/>
    <w:rsid w:val="00620002"/>
    <w:rsid w:val="00620061"/>
    <w:rsid w:val="006206BE"/>
    <w:rsid w:val="006207DF"/>
    <w:rsid w:val="00620926"/>
    <w:rsid w:val="00620A10"/>
    <w:rsid w:val="00620AF0"/>
    <w:rsid w:val="00620BBA"/>
    <w:rsid w:val="006211A1"/>
    <w:rsid w:val="006211F7"/>
    <w:rsid w:val="0062143B"/>
    <w:rsid w:val="00621763"/>
    <w:rsid w:val="00621A9A"/>
    <w:rsid w:val="006227E7"/>
    <w:rsid w:val="00623482"/>
    <w:rsid w:val="0062394F"/>
    <w:rsid w:val="00623E1D"/>
    <w:rsid w:val="006243D0"/>
    <w:rsid w:val="006244B1"/>
    <w:rsid w:val="00624B56"/>
    <w:rsid w:val="00624CAB"/>
    <w:rsid w:val="006251B6"/>
    <w:rsid w:val="006252CB"/>
    <w:rsid w:val="006253A6"/>
    <w:rsid w:val="006255DA"/>
    <w:rsid w:val="00625FF0"/>
    <w:rsid w:val="006268FB"/>
    <w:rsid w:val="00626AA0"/>
    <w:rsid w:val="00626D60"/>
    <w:rsid w:val="006270AE"/>
    <w:rsid w:val="006275BC"/>
    <w:rsid w:val="00627737"/>
    <w:rsid w:val="00627D68"/>
    <w:rsid w:val="00627FE2"/>
    <w:rsid w:val="006304D5"/>
    <w:rsid w:val="00630FFF"/>
    <w:rsid w:val="006310C7"/>
    <w:rsid w:val="006311E5"/>
    <w:rsid w:val="00631856"/>
    <w:rsid w:val="0063211F"/>
    <w:rsid w:val="006321FA"/>
    <w:rsid w:val="0063260F"/>
    <w:rsid w:val="0063262A"/>
    <w:rsid w:val="00632CAE"/>
    <w:rsid w:val="00632D18"/>
    <w:rsid w:val="006334FE"/>
    <w:rsid w:val="00633BF6"/>
    <w:rsid w:val="00633F16"/>
    <w:rsid w:val="0063403F"/>
    <w:rsid w:val="00634726"/>
    <w:rsid w:val="00635B98"/>
    <w:rsid w:val="00635D5A"/>
    <w:rsid w:val="006367EC"/>
    <w:rsid w:val="0063790C"/>
    <w:rsid w:val="00637D47"/>
    <w:rsid w:val="00637EB0"/>
    <w:rsid w:val="00637F71"/>
    <w:rsid w:val="0064008F"/>
    <w:rsid w:val="00640413"/>
    <w:rsid w:val="0064064E"/>
    <w:rsid w:val="006408D7"/>
    <w:rsid w:val="00640F2D"/>
    <w:rsid w:val="00641485"/>
    <w:rsid w:val="00641DAE"/>
    <w:rsid w:val="00641E26"/>
    <w:rsid w:val="00641E9F"/>
    <w:rsid w:val="00641FC1"/>
    <w:rsid w:val="00642063"/>
    <w:rsid w:val="00642660"/>
    <w:rsid w:val="00643F6A"/>
    <w:rsid w:val="00644346"/>
    <w:rsid w:val="006443CE"/>
    <w:rsid w:val="00644CDF"/>
    <w:rsid w:val="00644D63"/>
    <w:rsid w:val="00645603"/>
    <w:rsid w:val="00645676"/>
    <w:rsid w:val="0064644F"/>
    <w:rsid w:val="006468E1"/>
    <w:rsid w:val="00646922"/>
    <w:rsid w:val="00647920"/>
    <w:rsid w:val="00647DAE"/>
    <w:rsid w:val="00647F98"/>
    <w:rsid w:val="00650C5F"/>
    <w:rsid w:val="00650E86"/>
    <w:rsid w:val="00651329"/>
    <w:rsid w:val="00651924"/>
    <w:rsid w:val="006527E7"/>
    <w:rsid w:val="00652AE7"/>
    <w:rsid w:val="00653111"/>
    <w:rsid w:val="00653425"/>
    <w:rsid w:val="00653468"/>
    <w:rsid w:val="006534F4"/>
    <w:rsid w:val="00653840"/>
    <w:rsid w:val="00653FA8"/>
    <w:rsid w:val="00654477"/>
    <w:rsid w:val="0065497F"/>
    <w:rsid w:val="00654E4D"/>
    <w:rsid w:val="00654E7E"/>
    <w:rsid w:val="00654F18"/>
    <w:rsid w:val="006553EE"/>
    <w:rsid w:val="00655C82"/>
    <w:rsid w:val="00656730"/>
    <w:rsid w:val="0065681C"/>
    <w:rsid w:val="00656BE8"/>
    <w:rsid w:val="006571FD"/>
    <w:rsid w:val="00657F1E"/>
    <w:rsid w:val="006603E0"/>
    <w:rsid w:val="00660F41"/>
    <w:rsid w:val="006611A9"/>
    <w:rsid w:val="0066195A"/>
    <w:rsid w:val="00662212"/>
    <w:rsid w:val="0066272A"/>
    <w:rsid w:val="00662D43"/>
    <w:rsid w:val="0066355A"/>
    <w:rsid w:val="00663AD6"/>
    <w:rsid w:val="00663CD1"/>
    <w:rsid w:val="006642D6"/>
    <w:rsid w:val="0066449F"/>
    <w:rsid w:val="006646E6"/>
    <w:rsid w:val="006649D9"/>
    <w:rsid w:val="00664D7C"/>
    <w:rsid w:val="006652F8"/>
    <w:rsid w:val="00665C19"/>
    <w:rsid w:val="00666390"/>
    <w:rsid w:val="00666892"/>
    <w:rsid w:val="006668BF"/>
    <w:rsid w:val="00667377"/>
    <w:rsid w:val="00667605"/>
    <w:rsid w:val="00667906"/>
    <w:rsid w:val="006679C2"/>
    <w:rsid w:val="00667B5B"/>
    <w:rsid w:val="00670393"/>
    <w:rsid w:val="0067040A"/>
    <w:rsid w:val="006705A1"/>
    <w:rsid w:val="00670764"/>
    <w:rsid w:val="00671066"/>
    <w:rsid w:val="006715CD"/>
    <w:rsid w:val="00671C94"/>
    <w:rsid w:val="00671F9F"/>
    <w:rsid w:val="0067205B"/>
    <w:rsid w:val="006725B4"/>
    <w:rsid w:val="00672681"/>
    <w:rsid w:val="0067276B"/>
    <w:rsid w:val="0067314F"/>
    <w:rsid w:val="0067363E"/>
    <w:rsid w:val="006739ED"/>
    <w:rsid w:val="00674637"/>
    <w:rsid w:val="00674C98"/>
    <w:rsid w:val="00674FBC"/>
    <w:rsid w:val="006752A5"/>
    <w:rsid w:val="00675362"/>
    <w:rsid w:val="00675812"/>
    <w:rsid w:val="00676200"/>
    <w:rsid w:val="006765C3"/>
    <w:rsid w:val="00676F01"/>
    <w:rsid w:val="00677046"/>
    <w:rsid w:val="00677AD4"/>
    <w:rsid w:val="00677CCE"/>
    <w:rsid w:val="006803ED"/>
    <w:rsid w:val="00680758"/>
    <w:rsid w:val="0068110D"/>
    <w:rsid w:val="006812EC"/>
    <w:rsid w:val="00681A01"/>
    <w:rsid w:val="00681E79"/>
    <w:rsid w:val="00682332"/>
    <w:rsid w:val="0068292E"/>
    <w:rsid w:val="00682C12"/>
    <w:rsid w:val="00682FE9"/>
    <w:rsid w:val="006832BC"/>
    <w:rsid w:val="0068376A"/>
    <w:rsid w:val="00683939"/>
    <w:rsid w:val="00683D20"/>
    <w:rsid w:val="00683F93"/>
    <w:rsid w:val="00684288"/>
    <w:rsid w:val="0068499A"/>
    <w:rsid w:val="00684D36"/>
    <w:rsid w:val="00684D99"/>
    <w:rsid w:val="0068520A"/>
    <w:rsid w:val="006857BB"/>
    <w:rsid w:val="00686198"/>
    <w:rsid w:val="00686267"/>
    <w:rsid w:val="006862BA"/>
    <w:rsid w:val="00686387"/>
    <w:rsid w:val="0068640D"/>
    <w:rsid w:val="00686428"/>
    <w:rsid w:val="0068661E"/>
    <w:rsid w:val="006866B2"/>
    <w:rsid w:val="00686BE5"/>
    <w:rsid w:val="00686E50"/>
    <w:rsid w:val="00686E5F"/>
    <w:rsid w:val="006876AC"/>
    <w:rsid w:val="00690833"/>
    <w:rsid w:val="00690895"/>
    <w:rsid w:val="00690C47"/>
    <w:rsid w:val="00690D46"/>
    <w:rsid w:val="00691032"/>
    <w:rsid w:val="006916B0"/>
    <w:rsid w:val="00691B79"/>
    <w:rsid w:val="00691C31"/>
    <w:rsid w:val="00692185"/>
    <w:rsid w:val="00692235"/>
    <w:rsid w:val="00692716"/>
    <w:rsid w:val="00693E67"/>
    <w:rsid w:val="00694112"/>
    <w:rsid w:val="006944A5"/>
    <w:rsid w:val="006947D2"/>
    <w:rsid w:val="0069494D"/>
    <w:rsid w:val="006951BD"/>
    <w:rsid w:val="006958EB"/>
    <w:rsid w:val="00696037"/>
    <w:rsid w:val="0069606A"/>
    <w:rsid w:val="0069618E"/>
    <w:rsid w:val="006964B1"/>
    <w:rsid w:val="0069688F"/>
    <w:rsid w:val="00696F2A"/>
    <w:rsid w:val="00697587"/>
    <w:rsid w:val="00697D1C"/>
    <w:rsid w:val="00697F57"/>
    <w:rsid w:val="006A0558"/>
    <w:rsid w:val="006A05FA"/>
    <w:rsid w:val="006A08EB"/>
    <w:rsid w:val="006A09B2"/>
    <w:rsid w:val="006A0AE8"/>
    <w:rsid w:val="006A157F"/>
    <w:rsid w:val="006A17F1"/>
    <w:rsid w:val="006A1AB7"/>
    <w:rsid w:val="006A22B8"/>
    <w:rsid w:val="006A230F"/>
    <w:rsid w:val="006A32D0"/>
    <w:rsid w:val="006A3578"/>
    <w:rsid w:val="006A3EF1"/>
    <w:rsid w:val="006A4071"/>
    <w:rsid w:val="006A4319"/>
    <w:rsid w:val="006A43B6"/>
    <w:rsid w:val="006A4D48"/>
    <w:rsid w:val="006A51D3"/>
    <w:rsid w:val="006A5A63"/>
    <w:rsid w:val="006A6F02"/>
    <w:rsid w:val="006A7359"/>
    <w:rsid w:val="006A73CB"/>
    <w:rsid w:val="006A74BC"/>
    <w:rsid w:val="006A7904"/>
    <w:rsid w:val="006A7BFC"/>
    <w:rsid w:val="006B02EC"/>
    <w:rsid w:val="006B0B03"/>
    <w:rsid w:val="006B0E1A"/>
    <w:rsid w:val="006B0F1A"/>
    <w:rsid w:val="006B113F"/>
    <w:rsid w:val="006B1A27"/>
    <w:rsid w:val="006B1C4E"/>
    <w:rsid w:val="006B248C"/>
    <w:rsid w:val="006B26C9"/>
    <w:rsid w:val="006B2B2E"/>
    <w:rsid w:val="006B2D90"/>
    <w:rsid w:val="006B34E6"/>
    <w:rsid w:val="006B38CD"/>
    <w:rsid w:val="006B398E"/>
    <w:rsid w:val="006B39C2"/>
    <w:rsid w:val="006B3B0E"/>
    <w:rsid w:val="006B3F56"/>
    <w:rsid w:val="006B411B"/>
    <w:rsid w:val="006B4511"/>
    <w:rsid w:val="006B4AC0"/>
    <w:rsid w:val="006B4C75"/>
    <w:rsid w:val="006B50D0"/>
    <w:rsid w:val="006B51D8"/>
    <w:rsid w:val="006B52B2"/>
    <w:rsid w:val="006B59CF"/>
    <w:rsid w:val="006B5AA3"/>
    <w:rsid w:val="006B6E21"/>
    <w:rsid w:val="006B71FE"/>
    <w:rsid w:val="006B7257"/>
    <w:rsid w:val="006B73B4"/>
    <w:rsid w:val="006B7B65"/>
    <w:rsid w:val="006C0ADE"/>
    <w:rsid w:val="006C1B61"/>
    <w:rsid w:val="006C1CEE"/>
    <w:rsid w:val="006C202D"/>
    <w:rsid w:val="006C2BBE"/>
    <w:rsid w:val="006C2CE1"/>
    <w:rsid w:val="006C2E4A"/>
    <w:rsid w:val="006C34BF"/>
    <w:rsid w:val="006C35A4"/>
    <w:rsid w:val="006C36A8"/>
    <w:rsid w:val="006C4277"/>
    <w:rsid w:val="006C4EE5"/>
    <w:rsid w:val="006C5BE0"/>
    <w:rsid w:val="006C61F9"/>
    <w:rsid w:val="006C6DC5"/>
    <w:rsid w:val="006C72F7"/>
    <w:rsid w:val="006C759F"/>
    <w:rsid w:val="006C7869"/>
    <w:rsid w:val="006C78E7"/>
    <w:rsid w:val="006C7B2B"/>
    <w:rsid w:val="006D05A3"/>
    <w:rsid w:val="006D0BAA"/>
    <w:rsid w:val="006D1C32"/>
    <w:rsid w:val="006D1D03"/>
    <w:rsid w:val="006D24BA"/>
    <w:rsid w:val="006D25FA"/>
    <w:rsid w:val="006D29F3"/>
    <w:rsid w:val="006D3A87"/>
    <w:rsid w:val="006D4866"/>
    <w:rsid w:val="006D494F"/>
    <w:rsid w:val="006D5D98"/>
    <w:rsid w:val="006D6924"/>
    <w:rsid w:val="006D6FC2"/>
    <w:rsid w:val="006D716A"/>
    <w:rsid w:val="006D733C"/>
    <w:rsid w:val="006D76F2"/>
    <w:rsid w:val="006D7800"/>
    <w:rsid w:val="006E01B1"/>
    <w:rsid w:val="006E1B4B"/>
    <w:rsid w:val="006E210C"/>
    <w:rsid w:val="006E2AD9"/>
    <w:rsid w:val="006E3309"/>
    <w:rsid w:val="006E3409"/>
    <w:rsid w:val="006E3794"/>
    <w:rsid w:val="006E382A"/>
    <w:rsid w:val="006E40D9"/>
    <w:rsid w:val="006E427E"/>
    <w:rsid w:val="006E4B2C"/>
    <w:rsid w:val="006E51EC"/>
    <w:rsid w:val="006E52E9"/>
    <w:rsid w:val="006E59D6"/>
    <w:rsid w:val="006E5A86"/>
    <w:rsid w:val="006E5FF7"/>
    <w:rsid w:val="006E6276"/>
    <w:rsid w:val="006E6682"/>
    <w:rsid w:val="006E678E"/>
    <w:rsid w:val="006E6BFD"/>
    <w:rsid w:val="006E6DDE"/>
    <w:rsid w:val="006E736E"/>
    <w:rsid w:val="006E7515"/>
    <w:rsid w:val="006E7649"/>
    <w:rsid w:val="006E7991"/>
    <w:rsid w:val="006E7A3C"/>
    <w:rsid w:val="006E7EDE"/>
    <w:rsid w:val="006F0135"/>
    <w:rsid w:val="006F12DD"/>
    <w:rsid w:val="006F257A"/>
    <w:rsid w:val="006F291E"/>
    <w:rsid w:val="006F2FFD"/>
    <w:rsid w:val="006F3861"/>
    <w:rsid w:val="006F3A26"/>
    <w:rsid w:val="006F3C2D"/>
    <w:rsid w:val="006F3C7D"/>
    <w:rsid w:val="006F4D44"/>
    <w:rsid w:val="006F5083"/>
    <w:rsid w:val="006F50B4"/>
    <w:rsid w:val="006F5185"/>
    <w:rsid w:val="006F52D1"/>
    <w:rsid w:val="006F68C1"/>
    <w:rsid w:val="006F6B96"/>
    <w:rsid w:val="006F7193"/>
    <w:rsid w:val="006F7772"/>
    <w:rsid w:val="006F7D6D"/>
    <w:rsid w:val="006F7EDD"/>
    <w:rsid w:val="00700574"/>
    <w:rsid w:val="00700D2A"/>
    <w:rsid w:val="0070312D"/>
    <w:rsid w:val="007031A3"/>
    <w:rsid w:val="00703BE2"/>
    <w:rsid w:val="007042A2"/>
    <w:rsid w:val="00704425"/>
    <w:rsid w:val="007045E4"/>
    <w:rsid w:val="00705041"/>
    <w:rsid w:val="007056B3"/>
    <w:rsid w:val="00705C2A"/>
    <w:rsid w:val="00705E88"/>
    <w:rsid w:val="007060A7"/>
    <w:rsid w:val="007067A9"/>
    <w:rsid w:val="00706F3D"/>
    <w:rsid w:val="00707E1D"/>
    <w:rsid w:val="00710166"/>
    <w:rsid w:val="00710C05"/>
    <w:rsid w:val="00710C11"/>
    <w:rsid w:val="00711981"/>
    <w:rsid w:val="00712DB6"/>
    <w:rsid w:val="00713214"/>
    <w:rsid w:val="00713259"/>
    <w:rsid w:val="00713505"/>
    <w:rsid w:val="007135AF"/>
    <w:rsid w:val="00713BEB"/>
    <w:rsid w:val="0071429B"/>
    <w:rsid w:val="00714572"/>
    <w:rsid w:val="00714675"/>
    <w:rsid w:val="00714A3E"/>
    <w:rsid w:val="00714A46"/>
    <w:rsid w:val="00716361"/>
    <w:rsid w:val="00716FC5"/>
    <w:rsid w:val="007172B8"/>
    <w:rsid w:val="00717D1B"/>
    <w:rsid w:val="00717F40"/>
    <w:rsid w:val="007207F3"/>
    <w:rsid w:val="00720A55"/>
    <w:rsid w:val="00720A8A"/>
    <w:rsid w:val="00720B04"/>
    <w:rsid w:val="0072106F"/>
    <w:rsid w:val="00721CCD"/>
    <w:rsid w:val="0072284E"/>
    <w:rsid w:val="00722E00"/>
    <w:rsid w:val="007232E6"/>
    <w:rsid w:val="0072344D"/>
    <w:rsid w:val="00723459"/>
    <w:rsid w:val="007236E9"/>
    <w:rsid w:val="00723769"/>
    <w:rsid w:val="00723AE4"/>
    <w:rsid w:val="00723E1B"/>
    <w:rsid w:val="0072406F"/>
    <w:rsid w:val="00724876"/>
    <w:rsid w:val="00724F27"/>
    <w:rsid w:val="007250FD"/>
    <w:rsid w:val="00725376"/>
    <w:rsid w:val="0072539A"/>
    <w:rsid w:val="00725BBD"/>
    <w:rsid w:val="00725D30"/>
    <w:rsid w:val="00726331"/>
    <w:rsid w:val="00726451"/>
    <w:rsid w:val="0072770A"/>
    <w:rsid w:val="00727B5B"/>
    <w:rsid w:val="0073009C"/>
    <w:rsid w:val="00730453"/>
    <w:rsid w:val="007305F4"/>
    <w:rsid w:val="0073066D"/>
    <w:rsid w:val="007318E7"/>
    <w:rsid w:val="00733038"/>
    <w:rsid w:val="007333BE"/>
    <w:rsid w:val="007334D5"/>
    <w:rsid w:val="00733632"/>
    <w:rsid w:val="00734192"/>
    <w:rsid w:val="00734581"/>
    <w:rsid w:val="007349B2"/>
    <w:rsid w:val="00735FE1"/>
    <w:rsid w:val="007363DA"/>
    <w:rsid w:val="007364B3"/>
    <w:rsid w:val="00736937"/>
    <w:rsid w:val="007376D3"/>
    <w:rsid w:val="00737ADD"/>
    <w:rsid w:val="00737BD9"/>
    <w:rsid w:val="00737FA8"/>
    <w:rsid w:val="007404AE"/>
    <w:rsid w:val="00740659"/>
    <w:rsid w:val="007407A2"/>
    <w:rsid w:val="00740A60"/>
    <w:rsid w:val="00740FF3"/>
    <w:rsid w:val="00742CE6"/>
    <w:rsid w:val="007432E5"/>
    <w:rsid w:val="00743648"/>
    <w:rsid w:val="00743835"/>
    <w:rsid w:val="00743A7B"/>
    <w:rsid w:val="00743CC8"/>
    <w:rsid w:val="00743DC7"/>
    <w:rsid w:val="00744A9F"/>
    <w:rsid w:val="0074541D"/>
    <w:rsid w:val="007454E1"/>
    <w:rsid w:val="00745F91"/>
    <w:rsid w:val="007464B1"/>
    <w:rsid w:val="0074678A"/>
    <w:rsid w:val="007469B0"/>
    <w:rsid w:val="007470A6"/>
    <w:rsid w:val="007474BA"/>
    <w:rsid w:val="0074798B"/>
    <w:rsid w:val="00747FAA"/>
    <w:rsid w:val="00750397"/>
    <w:rsid w:val="007509B3"/>
    <w:rsid w:val="00751215"/>
    <w:rsid w:val="00752893"/>
    <w:rsid w:val="00752D93"/>
    <w:rsid w:val="00752F8A"/>
    <w:rsid w:val="007531E5"/>
    <w:rsid w:val="0075332C"/>
    <w:rsid w:val="0075334C"/>
    <w:rsid w:val="00753693"/>
    <w:rsid w:val="00753C03"/>
    <w:rsid w:val="00753D8A"/>
    <w:rsid w:val="00753E44"/>
    <w:rsid w:val="00753E98"/>
    <w:rsid w:val="007541A2"/>
    <w:rsid w:val="007547F2"/>
    <w:rsid w:val="00754A71"/>
    <w:rsid w:val="007554F2"/>
    <w:rsid w:val="00755FE0"/>
    <w:rsid w:val="00756E33"/>
    <w:rsid w:val="00756F47"/>
    <w:rsid w:val="007572FF"/>
    <w:rsid w:val="00757686"/>
    <w:rsid w:val="00757FF2"/>
    <w:rsid w:val="007605CF"/>
    <w:rsid w:val="00760634"/>
    <w:rsid w:val="00761464"/>
    <w:rsid w:val="00761843"/>
    <w:rsid w:val="007618F2"/>
    <w:rsid w:val="0076195E"/>
    <w:rsid w:val="00762976"/>
    <w:rsid w:val="00762BF0"/>
    <w:rsid w:val="00763238"/>
    <w:rsid w:val="00763609"/>
    <w:rsid w:val="00764193"/>
    <w:rsid w:val="007642BB"/>
    <w:rsid w:val="00764323"/>
    <w:rsid w:val="00764AE7"/>
    <w:rsid w:val="00764C68"/>
    <w:rsid w:val="00764F30"/>
    <w:rsid w:val="007657A0"/>
    <w:rsid w:val="00765960"/>
    <w:rsid w:val="00766163"/>
    <w:rsid w:val="007662B0"/>
    <w:rsid w:val="0076641D"/>
    <w:rsid w:val="00766A6C"/>
    <w:rsid w:val="00767024"/>
    <w:rsid w:val="007671E5"/>
    <w:rsid w:val="007679B6"/>
    <w:rsid w:val="007700A3"/>
    <w:rsid w:val="007704E6"/>
    <w:rsid w:val="00770B69"/>
    <w:rsid w:val="0077151B"/>
    <w:rsid w:val="00771654"/>
    <w:rsid w:val="0077224F"/>
    <w:rsid w:val="0077252E"/>
    <w:rsid w:val="00772CFA"/>
    <w:rsid w:val="00773479"/>
    <w:rsid w:val="0077362D"/>
    <w:rsid w:val="0077371A"/>
    <w:rsid w:val="00773B60"/>
    <w:rsid w:val="007743EE"/>
    <w:rsid w:val="007747DB"/>
    <w:rsid w:val="00774E4A"/>
    <w:rsid w:val="00775527"/>
    <w:rsid w:val="00776228"/>
    <w:rsid w:val="00776D5A"/>
    <w:rsid w:val="007777D5"/>
    <w:rsid w:val="00780B78"/>
    <w:rsid w:val="00780C54"/>
    <w:rsid w:val="00780CA6"/>
    <w:rsid w:val="00780D6C"/>
    <w:rsid w:val="0078112B"/>
    <w:rsid w:val="007816D9"/>
    <w:rsid w:val="00781A79"/>
    <w:rsid w:val="007832CB"/>
    <w:rsid w:val="00783AEB"/>
    <w:rsid w:val="00783E80"/>
    <w:rsid w:val="00784117"/>
    <w:rsid w:val="00784213"/>
    <w:rsid w:val="00784CF2"/>
    <w:rsid w:val="007854DB"/>
    <w:rsid w:val="00785923"/>
    <w:rsid w:val="00786008"/>
    <w:rsid w:val="007868DE"/>
    <w:rsid w:val="007869CF"/>
    <w:rsid w:val="00786BB8"/>
    <w:rsid w:val="00786CBF"/>
    <w:rsid w:val="007872F1"/>
    <w:rsid w:val="007900AB"/>
    <w:rsid w:val="0079031E"/>
    <w:rsid w:val="007903A6"/>
    <w:rsid w:val="00791ABE"/>
    <w:rsid w:val="00791DD5"/>
    <w:rsid w:val="007923C2"/>
    <w:rsid w:val="00792A29"/>
    <w:rsid w:val="00792A38"/>
    <w:rsid w:val="007934B4"/>
    <w:rsid w:val="007937A7"/>
    <w:rsid w:val="00793A78"/>
    <w:rsid w:val="00793ACB"/>
    <w:rsid w:val="00793BAC"/>
    <w:rsid w:val="00793CA5"/>
    <w:rsid w:val="00793D4A"/>
    <w:rsid w:val="00793DD3"/>
    <w:rsid w:val="0079452A"/>
    <w:rsid w:val="007958B8"/>
    <w:rsid w:val="00795FA5"/>
    <w:rsid w:val="007964FB"/>
    <w:rsid w:val="0079677D"/>
    <w:rsid w:val="007967F4"/>
    <w:rsid w:val="00796A86"/>
    <w:rsid w:val="00797AF1"/>
    <w:rsid w:val="007A040D"/>
    <w:rsid w:val="007A0A4D"/>
    <w:rsid w:val="007A119B"/>
    <w:rsid w:val="007A1207"/>
    <w:rsid w:val="007A149A"/>
    <w:rsid w:val="007A1691"/>
    <w:rsid w:val="007A187F"/>
    <w:rsid w:val="007A19FB"/>
    <w:rsid w:val="007A1B8A"/>
    <w:rsid w:val="007A2377"/>
    <w:rsid w:val="007A24DF"/>
    <w:rsid w:val="007A2D29"/>
    <w:rsid w:val="007A2E10"/>
    <w:rsid w:val="007A2F1B"/>
    <w:rsid w:val="007A3BD2"/>
    <w:rsid w:val="007A4A7E"/>
    <w:rsid w:val="007A589D"/>
    <w:rsid w:val="007A58A7"/>
    <w:rsid w:val="007A5A4E"/>
    <w:rsid w:val="007A5C2A"/>
    <w:rsid w:val="007A5F81"/>
    <w:rsid w:val="007A600A"/>
    <w:rsid w:val="007A6182"/>
    <w:rsid w:val="007A61A7"/>
    <w:rsid w:val="007A620D"/>
    <w:rsid w:val="007A63DB"/>
    <w:rsid w:val="007A6408"/>
    <w:rsid w:val="007A64CC"/>
    <w:rsid w:val="007A6F13"/>
    <w:rsid w:val="007A719F"/>
    <w:rsid w:val="007A74F2"/>
    <w:rsid w:val="007A75E6"/>
    <w:rsid w:val="007A7E35"/>
    <w:rsid w:val="007B09BA"/>
    <w:rsid w:val="007B0B50"/>
    <w:rsid w:val="007B0B5A"/>
    <w:rsid w:val="007B0E9D"/>
    <w:rsid w:val="007B10F6"/>
    <w:rsid w:val="007B1903"/>
    <w:rsid w:val="007B1D98"/>
    <w:rsid w:val="007B240D"/>
    <w:rsid w:val="007B2587"/>
    <w:rsid w:val="007B28E7"/>
    <w:rsid w:val="007B34D0"/>
    <w:rsid w:val="007B3C69"/>
    <w:rsid w:val="007B3F5B"/>
    <w:rsid w:val="007B42E2"/>
    <w:rsid w:val="007B4AED"/>
    <w:rsid w:val="007B55D1"/>
    <w:rsid w:val="007B5D85"/>
    <w:rsid w:val="007B67C2"/>
    <w:rsid w:val="007B6A3E"/>
    <w:rsid w:val="007B6DAB"/>
    <w:rsid w:val="007B782B"/>
    <w:rsid w:val="007C05F7"/>
    <w:rsid w:val="007C06CF"/>
    <w:rsid w:val="007C1030"/>
    <w:rsid w:val="007C13B3"/>
    <w:rsid w:val="007C18CC"/>
    <w:rsid w:val="007C1E0D"/>
    <w:rsid w:val="007C1EAC"/>
    <w:rsid w:val="007C23B6"/>
    <w:rsid w:val="007C30D2"/>
    <w:rsid w:val="007C3DC7"/>
    <w:rsid w:val="007C3FEA"/>
    <w:rsid w:val="007C4024"/>
    <w:rsid w:val="007C4A7E"/>
    <w:rsid w:val="007C4F46"/>
    <w:rsid w:val="007C5032"/>
    <w:rsid w:val="007C53BE"/>
    <w:rsid w:val="007C5DB1"/>
    <w:rsid w:val="007C63BC"/>
    <w:rsid w:val="007C6580"/>
    <w:rsid w:val="007C6748"/>
    <w:rsid w:val="007C6F2F"/>
    <w:rsid w:val="007C73BF"/>
    <w:rsid w:val="007C75FF"/>
    <w:rsid w:val="007C77EB"/>
    <w:rsid w:val="007C7B96"/>
    <w:rsid w:val="007C7E1D"/>
    <w:rsid w:val="007D02CF"/>
    <w:rsid w:val="007D0586"/>
    <w:rsid w:val="007D05AD"/>
    <w:rsid w:val="007D08E0"/>
    <w:rsid w:val="007D0A56"/>
    <w:rsid w:val="007D0EF7"/>
    <w:rsid w:val="007D1457"/>
    <w:rsid w:val="007D1909"/>
    <w:rsid w:val="007D19AA"/>
    <w:rsid w:val="007D1A3D"/>
    <w:rsid w:val="007D1D93"/>
    <w:rsid w:val="007D206A"/>
    <w:rsid w:val="007D218A"/>
    <w:rsid w:val="007D2288"/>
    <w:rsid w:val="007D24B4"/>
    <w:rsid w:val="007D2592"/>
    <w:rsid w:val="007D2679"/>
    <w:rsid w:val="007D307A"/>
    <w:rsid w:val="007D3136"/>
    <w:rsid w:val="007D32E4"/>
    <w:rsid w:val="007D3A7F"/>
    <w:rsid w:val="007D4023"/>
    <w:rsid w:val="007D4175"/>
    <w:rsid w:val="007D41EA"/>
    <w:rsid w:val="007D43E9"/>
    <w:rsid w:val="007D4541"/>
    <w:rsid w:val="007D4797"/>
    <w:rsid w:val="007D4A27"/>
    <w:rsid w:val="007D4F37"/>
    <w:rsid w:val="007D5548"/>
    <w:rsid w:val="007D5690"/>
    <w:rsid w:val="007D57E3"/>
    <w:rsid w:val="007D586F"/>
    <w:rsid w:val="007D5CD3"/>
    <w:rsid w:val="007D5CE9"/>
    <w:rsid w:val="007D5D40"/>
    <w:rsid w:val="007D6633"/>
    <w:rsid w:val="007D6822"/>
    <w:rsid w:val="007D6841"/>
    <w:rsid w:val="007D6DE3"/>
    <w:rsid w:val="007D72E0"/>
    <w:rsid w:val="007D754D"/>
    <w:rsid w:val="007D7745"/>
    <w:rsid w:val="007D79C5"/>
    <w:rsid w:val="007E05F4"/>
    <w:rsid w:val="007E07BC"/>
    <w:rsid w:val="007E0B45"/>
    <w:rsid w:val="007E0C12"/>
    <w:rsid w:val="007E1645"/>
    <w:rsid w:val="007E183D"/>
    <w:rsid w:val="007E1E88"/>
    <w:rsid w:val="007E1F46"/>
    <w:rsid w:val="007E2C22"/>
    <w:rsid w:val="007E2F00"/>
    <w:rsid w:val="007E2FDC"/>
    <w:rsid w:val="007E3BDF"/>
    <w:rsid w:val="007E41D6"/>
    <w:rsid w:val="007E4628"/>
    <w:rsid w:val="007E4B1B"/>
    <w:rsid w:val="007E5043"/>
    <w:rsid w:val="007E5736"/>
    <w:rsid w:val="007E5D5B"/>
    <w:rsid w:val="007E662B"/>
    <w:rsid w:val="007E6642"/>
    <w:rsid w:val="007E67A1"/>
    <w:rsid w:val="007E6DD5"/>
    <w:rsid w:val="007E7389"/>
    <w:rsid w:val="007E73DA"/>
    <w:rsid w:val="007E7552"/>
    <w:rsid w:val="007E791B"/>
    <w:rsid w:val="007E79AA"/>
    <w:rsid w:val="007E7AAA"/>
    <w:rsid w:val="007E7C4B"/>
    <w:rsid w:val="007F026A"/>
    <w:rsid w:val="007F0291"/>
    <w:rsid w:val="007F0301"/>
    <w:rsid w:val="007F04EE"/>
    <w:rsid w:val="007F05E5"/>
    <w:rsid w:val="007F06FC"/>
    <w:rsid w:val="007F082A"/>
    <w:rsid w:val="007F1627"/>
    <w:rsid w:val="007F18FD"/>
    <w:rsid w:val="007F19E9"/>
    <w:rsid w:val="007F1DFA"/>
    <w:rsid w:val="007F2474"/>
    <w:rsid w:val="007F250A"/>
    <w:rsid w:val="007F2C74"/>
    <w:rsid w:val="007F2D11"/>
    <w:rsid w:val="007F312D"/>
    <w:rsid w:val="007F3A61"/>
    <w:rsid w:val="007F3EA0"/>
    <w:rsid w:val="007F4106"/>
    <w:rsid w:val="007F45B5"/>
    <w:rsid w:val="007F4E9C"/>
    <w:rsid w:val="007F5191"/>
    <w:rsid w:val="007F5B7B"/>
    <w:rsid w:val="007F5D50"/>
    <w:rsid w:val="007F61FF"/>
    <w:rsid w:val="007F65CE"/>
    <w:rsid w:val="007F68F8"/>
    <w:rsid w:val="007F6BEE"/>
    <w:rsid w:val="007F6E69"/>
    <w:rsid w:val="007F6F42"/>
    <w:rsid w:val="007F78E7"/>
    <w:rsid w:val="007F7A31"/>
    <w:rsid w:val="007F7BF4"/>
    <w:rsid w:val="007F7C1C"/>
    <w:rsid w:val="0080093D"/>
    <w:rsid w:val="00801F90"/>
    <w:rsid w:val="00802DEA"/>
    <w:rsid w:val="008032DC"/>
    <w:rsid w:val="00804E91"/>
    <w:rsid w:val="008050E0"/>
    <w:rsid w:val="00805761"/>
    <w:rsid w:val="00806091"/>
    <w:rsid w:val="00806250"/>
    <w:rsid w:val="008063A5"/>
    <w:rsid w:val="00806A4B"/>
    <w:rsid w:val="00806AD9"/>
    <w:rsid w:val="00806E58"/>
    <w:rsid w:val="008074B6"/>
    <w:rsid w:val="00807C93"/>
    <w:rsid w:val="00807ECB"/>
    <w:rsid w:val="008103E2"/>
    <w:rsid w:val="00810A60"/>
    <w:rsid w:val="00810C56"/>
    <w:rsid w:val="0081197A"/>
    <w:rsid w:val="00811FD9"/>
    <w:rsid w:val="00812783"/>
    <w:rsid w:val="00812A3E"/>
    <w:rsid w:val="00813418"/>
    <w:rsid w:val="0081353C"/>
    <w:rsid w:val="0081393B"/>
    <w:rsid w:val="00813FE7"/>
    <w:rsid w:val="00815160"/>
    <w:rsid w:val="008155B6"/>
    <w:rsid w:val="0081569D"/>
    <w:rsid w:val="00815BDA"/>
    <w:rsid w:val="008160FB"/>
    <w:rsid w:val="0081620C"/>
    <w:rsid w:val="00816430"/>
    <w:rsid w:val="008165B6"/>
    <w:rsid w:val="00816B59"/>
    <w:rsid w:val="00816CA8"/>
    <w:rsid w:val="00816D03"/>
    <w:rsid w:val="00816E39"/>
    <w:rsid w:val="00817265"/>
    <w:rsid w:val="0081753F"/>
    <w:rsid w:val="00817CD9"/>
    <w:rsid w:val="00817D0E"/>
    <w:rsid w:val="00821860"/>
    <w:rsid w:val="00821BCB"/>
    <w:rsid w:val="00821C44"/>
    <w:rsid w:val="0082228E"/>
    <w:rsid w:val="008223FE"/>
    <w:rsid w:val="008225F3"/>
    <w:rsid w:val="00822948"/>
    <w:rsid w:val="00822B99"/>
    <w:rsid w:val="008232B6"/>
    <w:rsid w:val="0082395A"/>
    <w:rsid w:val="00824253"/>
    <w:rsid w:val="00824BE4"/>
    <w:rsid w:val="00825CA0"/>
    <w:rsid w:val="00826060"/>
    <w:rsid w:val="00826AB0"/>
    <w:rsid w:val="00826C89"/>
    <w:rsid w:val="008273F2"/>
    <w:rsid w:val="0082796A"/>
    <w:rsid w:val="008311BE"/>
    <w:rsid w:val="008319D3"/>
    <w:rsid w:val="00831A8E"/>
    <w:rsid w:val="00832468"/>
    <w:rsid w:val="00832DAE"/>
    <w:rsid w:val="008331F3"/>
    <w:rsid w:val="0083411D"/>
    <w:rsid w:val="00834434"/>
    <w:rsid w:val="008345B3"/>
    <w:rsid w:val="00834773"/>
    <w:rsid w:val="00834BB3"/>
    <w:rsid w:val="0083560D"/>
    <w:rsid w:val="0083695C"/>
    <w:rsid w:val="00836A4D"/>
    <w:rsid w:val="00836B98"/>
    <w:rsid w:val="00836E13"/>
    <w:rsid w:val="00840073"/>
    <w:rsid w:val="008400C5"/>
    <w:rsid w:val="0084078F"/>
    <w:rsid w:val="00840B5F"/>
    <w:rsid w:val="008414D4"/>
    <w:rsid w:val="008415CB"/>
    <w:rsid w:val="00841968"/>
    <w:rsid w:val="00842887"/>
    <w:rsid w:val="00842D79"/>
    <w:rsid w:val="00843BA5"/>
    <w:rsid w:val="00843DA0"/>
    <w:rsid w:val="00844146"/>
    <w:rsid w:val="00844A24"/>
    <w:rsid w:val="00845664"/>
    <w:rsid w:val="00845849"/>
    <w:rsid w:val="008459A4"/>
    <w:rsid w:val="008465F1"/>
    <w:rsid w:val="008469B7"/>
    <w:rsid w:val="00846FCB"/>
    <w:rsid w:val="0084742D"/>
    <w:rsid w:val="00847BFF"/>
    <w:rsid w:val="00847C5D"/>
    <w:rsid w:val="00847ED8"/>
    <w:rsid w:val="0085011B"/>
    <w:rsid w:val="00850216"/>
    <w:rsid w:val="00850318"/>
    <w:rsid w:val="0085039F"/>
    <w:rsid w:val="0085041F"/>
    <w:rsid w:val="00850964"/>
    <w:rsid w:val="00850BEF"/>
    <w:rsid w:val="00850EDE"/>
    <w:rsid w:val="008511E1"/>
    <w:rsid w:val="00851342"/>
    <w:rsid w:val="008516EE"/>
    <w:rsid w:val="0085233D"/>
    <w:rsid w:val="00853BCE"/>
    <w:rsid w:val="00854538"/>
    <w:rsid w:val="0085477C"/>
    <w:rsid w:val="00854EF7"/>
    <w:rsid w:val="008550CB"/>
    <w:rsid w:val="00855326"/>
    <w:rsid w:val="0085532F"/>
    <w:rsid w:val="008557E5"/>
    <w:rsid w:val="00855FFB"/>
    <w:rsid w:val="008569F9"/>
    <w:rsid w:val="00856BB6"/>
    <w:rsid w:val="00856D0C"/>
    <w:rsid w:val="00857032"/>
    <w:rsid w:val="0085761F"/>
    <w:rsid w:val="0086015C"/>
    <w:rsid w:val="0086048D"/>
    <w:rsid w:val="00860662"/>
    <w:rsid w:val="008606C9"/>
    <w:rsid w:val="0086077B"/>
    <w:rsid w:val="00860790"/>
    <w:rsid w:val="00860D3F"/>
    <w:rsid w:val="00860FA6"/>
    <w:rsid w:val="008611C8"/>
    <w:rsid w:val="0086121E"/>
    <w:rsid w:val="008612BE"/>
    <w:rsid w:val="00861A5A"/>
    <w:rsid w:val="00862043"/>
    <w:rsid w:val="00862301"/>
    <w:rsid w:val="008626A2"/>
    <w:rsid w:val="0086270B"/>
    <w:rsid w:val="00862AD7"/>
    <w:rsid w:val="008633A8"/>
    <w:rsid w:val="00863BD9"/>
    <w:rsid w:val="00864470"/>
    <w:rsid w:val="00864BDD"/>
    <w:rsid w:val="00865C8F"/>
    <w:rsid w:val="00865E12"/>
    <w:rsid w:val="008666C4"/>
    <w:rsid w:val="00866FE1"/>
    <w:rsid w:val="00867676"/>
    <w:rsid w:val="0087069D"/>
    <w:rsid w:val="00870CF5"/>
    <w:rsid w:val="00871076"/>
    <w:rsid w:val="00871767"/>
    <w:rsid w:val="008718D7"/>
    <w:rsid w:val="00871FE4"/>
    <w:rsid w:val="00872048"/>
    <w:rsid w:val="00872298"/>
    <w:rsid w:val="00873296"/>
    <w:rsid w:val="00873B8D"/>
    <w:rsid w:val="00873D2F"/>
    <w:rsid w:val="00873ED5"/>
    <w:rsid w:val="00874164"/>
    <w:rsid w:val="00874550"/>
    <w:rsid w:val="008759E2"/>
    <w:rsid w:val="00875D92"/>
    <w:rsid w:val="00875DD4"/>
    <w:rsid w:val="00876C90"/>
    <w:rsid w:val="00876ED7"/>
    <w:rsid w:val="00877269"/>
    <w:rsid w:val="0087765D"/>
    <w:rsid w:val="00877D00"/>
    <w:rsid w:val="0088020C"/>
    <w:rsid w:val="008806D6"/>
    <w:rsid w:val="008809E1"/>
    <w:rsid w:val="00880AC0"/>
    <w:rsid w:val="008810EC"/>
    <w:rsid w:val="00881BA2"/>
    <w:rsid w:val="00881E95"/>
    <w:rsid w:val="00881FBC"/>
    <w:rsid w:val="008820D1"/>
    <w:rsid w:val="00882A2B"/>
    <w:rsid w:val="00882F04"/>
    <w:rsid w:val="0088303C"/>
    <w:rsid w:val="008830E8"/>
    <w:rsid w:val="008836FB"/>
    <w:rsid w:val="00883DAB"/>
    <w:rsid w:val="0088413C"/>
    <w:rsid w:val="00884160"/>
    <w:rsid w:val="00884181"/>
    <w:rsid w:val="00884286"/>
    <w:rsid w:val="008847AF"/>
    <w:rsid w:val="00884932"/>
    <w:rsid w:val="00884C3B"/>
    <w:rsid w:val="00884D31"/>
    <w:rsid w:val="00884D37"/>
    <w:rsid w:val="0088510B"/>
    <w:rsid w:val="008854A8"/>
    <w:rsid w:val="00885805"/>
    <w:rsid w:val="0088586B"/>
    <w:rsid w:val="0088588D"/>
    <w:rsid w:val="008870C9"/>
    <w:rsid w:val="008873A3"/>
    <w:rsid w:val="008873CD"/>
    <w:rsid w:val="00887621"/>
    <w:rsid w:val="00890C3C"/>
    <w:rsid w:val="00891271"/>
    <w:rsid w:val="00891500"/>
    <w:rsid w:val="00891B73"/>
    <w:rsid w:val="008921DE"/>
    <w:rsid w:val="008923E7"/>
    <w:rsid w:val="00892DB2"/>
    <w:rsid w:val="0089343B"/>
    <w:rsid w:val="008937FC"/>
    <w:rsid w:val="00893928"/>
    <w:rsid w:val="00893BDD"/>
    <w:rsid w:val="008949E9"/>
    <w:rsid w:val="00894FD6"/>
    <w:rsid w:val="00895599"/>
    <w:rsid w:val="0089591D"/>
    <w:rsid w:val="008959EE"/>
    <w:rsid w:val="00896321"/>
    <w:rsid w:val="008965A9"/>
    <w:rsid w:val="00896711"/>
    <w:rsid w:val="00896C89"/>
    <w:rsid w:val="00896CAF"/>
    <w:rsid w:val="0089756B"/>
    <w:rsid w:val="00897735"/>
    <w:rsid w:val="008A0496"/>
    <w:rsid w:val="008A078B"/>
    <w:rsid w:val="008A0B5A"/>
    <w:rsid w:val="008A16A6"/>
    <w:rsid w:val="008A1906"/>
    <w:rsid w:val="008A1A4A"/>
    <w:rsid w:val="008A1B5D"/>
    <w:rsid w:val="008A271D"/>
    <w:rsid w:val="008A2B9A"/>
    <w:rsid w:val="008A2ECC"/>
    <w:rsid w:val="008A38EE"/>
    <w:rsid w:val="008A3AA0"/>
    <w:rsid w:val="008A4919"/>
    <w:rsid w:val="008A4F8D"/>
    <w:rsid w:val="008A50FA"/>
    <w:rsid w:val="008A5428"/>
    <w:rsid w:val="008A5601"/>
    <w:rsid w:val="008A56BB"/>
    <w:rsid w:val="008A5805"/>
    <w:rsid w:val="008A5DB6"/>
    <w:rsid w:val="008A6608"/>
    <w:rsid w:val="008A675A"/>
    <w:rsid w:val="008A7287"/>
    <w:rsid w:val="008A728B"/>
    <w:rsid w:val="008A78E5"/>
    <w:rsid w:val="008A795E"/>
    <w:rsid w:val="008B0183"/>
    <w:rsid w:val="008B09FC"/>
    <w:rsid w:val="008B0BAC"/>
    <w:rsid w:val="008B0D59"/>
    <w:rsid w:val="008B0F3E"/>
    <w:rsid w:val="008B16BF"/>
    <w:rsid w:val="008B3295"/>
    <w:rsid w:val="008B3847"/>
    <w:rsid w:val="008B450B"/>
    <w:rsid w:val="008B4648"/>
    <w:rsid w:val="008B5312"/>
    <w:rsid w:val="008B546A"/>
    <w:rsid w:val="008B578C"/>
    <w:rsid w:val="008B5A20"/>
    <w:rsid w:val="008B5D64"/>
    <w:rsid w:val="008B6210"/>
    <w:rsid w:val="008B62AF"/>
    <w:rsid w:val="008B75DB"/>
    <w:rsid w:val="008B7A5D"/>
    <w:rsid w:val="008B7A85"/>
    <w:rsid w:val="008B7AA7"/>
    <w:rsid w:val="008C0133"/>
    <w:rsid w:val="008C06A9"/>
    <w:rsid w:val="008C082E"/>
    <w:rsid w:val="008C085F"/>
    <w:rsid w:val="008C0BFD"/>
    <w:rsid w:val="008C0E74"/>
    <w:rsid w:val="008C16A5"/>
    <w:rsid w:val="008C16F7"/>
    <w:rsid w:val="008C18CF"/>
    <w:rsid w:val="008C1F9C"/>
    <w:rsid w:val="008C2107"/>
    <w:rsid w:val="008C26BF"/>
    <w:rsid w:val="008C27E3"/>
    <w:rsid w:val="008C2BE8"/>
    <w:rsid w:val="008C2C8D"/>
    <w:rsid w:val="008C2DBF"/>
    <w:rsid w:val="008C2E59"/>
    <w:rsid w:val="008C3357"/>
    <w:rsid w:val="008C3C6F"/>
    <w:rsid w:val="008C4401"/>
    <w:rsid w:val="008C4B5C"/>
    <w:rsid w:val="008C4C87"/>
    <w:rsid w:val="008C4CE3"/>
    <w:rsid w:val="008C50B3"/>
    <w:rsid w:val="008C52E7"/>
    <w:rsid w:val="008C5AF3"/>
    <w:rsid w:val="008C5DE0"/>
    <w:rsid w:val="008C5E35"/>
    <w:rsid w:val="008C68C8"/>
    <w:rsid w:val="008C6DEA"/>
    <w:rsid w:val="008C70F6"/>
    <w:rsid w:val="008D0159"/>
    <w:rsid w:val="008D0D5F"/>
    <w:rsid w:val="008D11A0"/>
    <w:rsid w:val="008D1201"/>
    <w:rsid w:val="008D1495"/>
    <w:rsid w:val="008D29DF"/>
    <w:rsid w:val="008D2A5D"/>
    <w:rsid w:val="008D33EE"/>
    <w:rsid w:val="008D37B0"/>
    <w:rsid w:val="008D4207"/>
    <w:rsid w:val="008D421E"/>
    <w:rsid w:val="008D4795"/>
    <w:rsid w:val="008D55E2"/>
    <w:rsid w:val="008D5A58"/>
    <w:rsid w:val="008D5FD4"/>
    <w:rsid w:val="008D62BA"/>
    <w:rsid w:val="008D6919"/>
    <w:rsid w:val="008D6C5F"/>
    <w:rsid w:val="008D7C91"/>
    <w:rsid w:val="008E01BA"/>
    <w:rsid w:val="008E02CF"/>
    <w:rsid w:val="008E088E"/>
    <w:rsid w:val="008E09F8"/>
    <w:rsid w:val="008E180C"/>
    <w:rsid w:val="008E1AE4"/>
    <w:rsid w:val="008E1DAD"/>
    <w:rsid w:val="008E2C4B"/>
    <w:rsid w:val="008E384A"/>
    <w:rsid w:val="008E3B2F"/>
    <w:rsid w:val="008E400A"/>
    <w:rsid w:val="008E419E"/>
    <w:rsid w:val="008E47DE"/>
    <w:rsid w:val="008E5181"/>
    <w:rsid w:val="008E5EBB"/>
    <w:rsid w:val="008E5ECD"/>
    <w:rsid w:val="008E67C0"/>
    <w:rsid w:val="008E6AC8"/>
    <w:rsid w:val="008E7417"/>
    <w:rsid w:val="008E7A71"/>
    <w:rsid w:val="008F0189"/>
    <w:rsid w:val="008F06A8"/>
    <w:rsid w:val="008F0B76"/>
    <w:rsid w:val="008F0BBA"/>
    <w:rsid w:val="008F1D47"/>
    <w:rsid w:val="008F1EE4"/>
    <w:rsid w:val="008F25AB"/>
    <w:rsid w:val="008F2CD5"/>
    <w:rsid w:val="008F3460"/>
    <w:rsid w:val="008F3874"/>
    <w:rsid w:val="008F3950"/>
    <w:rsid w:val="008F3E1A"/>
    <w:rsid w:val="008F48F8"/>
    <w:rsid w:val="008F4C41"/>
    <w:rsid w:val="008F5352"/>
    <w:rsid w:val="008F580B"/>
    <w:rsid w:val="008F5A25"/>
    <w:rsid w:val="008F5B76"/>
    <w:rsid w:val="008F5FA2"/>
    <w:rsid w:val="008F6122"/>
    <w:rsid w:val="008F6543"/>
    <w:rsid w:val="008F66FD"/>
    <w:rsid w:val="008F6CA3"/>
    <w:rsid w:val="008F7577"/>
    <w:rsid w:val="008F761F"/>
    <w:rsid w:val="009000FF"/>
    <w:rsid w:val="0090016E"/>
    <w:rsid w:val="0090035F"/>
    <w:rsid w:val="009008C3"/>
    <w:rsid w:val="00901164"/>
    <w:rsid w:val="00901469"/>
    <w:rsid w:val="0090149D"/>
    <w:rsid w:val="009019F7"/>
    <w:rsid w:val="00901E72"/>
    <w:rsid w:val="00902436"/>
    <w:rsid w:val="009024F6"/>
    <w:rsid w:val="00902A79"/>
    <w:rsid w:val="00902CFB"/>
    <w:rsid w:val="00903051"/>
    <w:rsid w:val="00903692"/>
    <w:rsid w:val="00903953"/>
    <w:rsid w:val="00904FFE"/>
    <w:rsid w:val="0090531B"/>
    <w:rsid w:val="0090540A"/>
    <w:rsid w:val="009067C3"/>
    <w:rsid w:val="009069A6"/>
    <w:rsid w:val="00906FF8"/>
    <w:rsid w:val="00907AA4"/>
    <w:rsid w:val="00907B00"/>
    <w:rsid w:val="00907D04"/>
    <w:rsid w:val="009107A9"/>
    <w:rsid w:val="00910BAD"/>
    <w:rsid w:val="00911021"/>
    <w:rsid w:val="0091137B"/>
    <w:rsid w:val="009122F4"/>
    <w:rsid w:val="00912379"/>
    <w:rsid w:val="00912759"/>
    <w:rsid w:val="00912982"/>
    <w:rsid w:val="009131AC"/>
    <w:rsid w:val="00913546"/>
    <w:rsid w:val="009146DB"/>
    <w:rsid w:val="00914BB3"/>
    <w:rsid w:val="00914CB0"/>
    <w:rsid w:val="009154A4"/>
    <w:rsid w:val="00915AC2"/>
    <w:rsid w:val="0091684E"/>
    <w:rsid w:val="00916882"/>
    <w:rsid w:val="00916FC6"/>
    <w:rsid w:val="009170F4"/>
    <w:rsid w:val="009173DB"/>
    <w:rsid w:val="0091743E"/>
    <w:rsid w:val="009175AE"/>
    <w:rsid w:val="00917860"/>
    <w:rsid w:val="00917CF2"/>
    <w:rsid w:val="00917CFD"/>
    <w:rsid w:val="0092001C"/>
    <w:rsid w:val="00920218"/>
    <w:rsid w:val="00920664"/>
    <w:rsid w:val="00920CAB"/>
    <w:rsid w:val="0092121A"/>
    <w:rsid w:val="0092148B"/>
    <w:rsid w:val="00921B46"/>
    <w:rsid w:val="0092220E"/>
    <w:rsid w:val="00922386"/>
    <w:rsid w:val="009228FA"/>
    <w:rsid w:val="00922E51"/>
    <w:rsid w:val="00922F9E"/>
    <w:rsid w:val="00923115"/>
    <w:rsid w:val="009235FF"/>
    <w:rsid w:val="00923750"/>
    <w:rsid w:val="00923FA7"/>
    <w:rsid w:val="009244C7"/>
    <w:rsid w:val="009247A1"/>
    <w:rsid w:val="0092490D"/>
    <w:rsid w:val="00924B23"/>
    <w:rsid w:val="00925AE5"/>
    <w:rsid w:val="00925DE9"/>
    <w:rsid w:val="00926585"/>
    <w:rsid w:val="009265D7"/>
    <w:rsid w:val="00926B39"/>
    <w:rsid w:val="00926CEC"/>
    <w:rsid w:val="0092727D"/>
    <w:rsid w:val="009274E2"/>
    <w:rsid w:val="0092771F"/>
    <w:rsid w:val="00927B48"/>
    <w:rsid w:val="00930A01"/>
    <w:rsid w:val="00930E87"/>
    <w:rsid w:val="009315F7"/>
    <w:rsid w:val="009316D4"/>
    <w:rsid w:val="0093195E"/>
    <w:rsid w:val="00932B14"/>
    <w:rsid w:val="00932B78"/>
    <w:rsid w:val="00932DC6"/>
    <w:rsid w:val="00932DE6"/>
    <w:rsid w:val="00932E82"/>
    <w:rsid w:val="00933112"/>
    <w:rsid w:val="009333D9"/>
    <w:rsid w:val="00933F64"/>
    <w:rsid w:val="00933FB9"/>
    <w:rsid w:val="009341CB"/>
    <w:rsid w:val="0093481E"/>
    <w:rsid w:val="00934995"/>
    <w:rsid w:val="00934AA6"/>
    <w:rsid w:val="00934E84"/>
    <w:rsid w:val="0093506C"/>
    <w:rsid w:val="009354C7"/>
    <w:rsid w:val="0093561D"/>
    <w:rsid w:val="00935633"/>
    <w:rsid w:val="009357CE"/>
    <w:rsid w:val="00935989"/>
    <w:rsid w:val="00935BA2"/>
    <w:rsid w:val="00936869"/>
    <w:rsid w:val="00936D66"/>
    <w:rsid w:val="00937E83"/>
    <w:rsid w:val="0094050C"/>
    <w:rsid w:val="009406B9"/>
    <w:rsid w:val="00940DF1"/>
    <w:rsid w:val="009417D3"/>
    <w:rsid w:val="009423DC"/>
    <w:rsid w:val="009427F7"/>
    <w:rsid w:val="00942944"/>
    <w:rsid w:val="009435BC"/>
    <w:rsid w:val="00943813"/>
    <w:rsid w:val="00943AE8"/>
    <w:rsid w:val="00943C96"/>
    <w:rsid w:val="00943E84"/>
    <w:rsid w:val="00943FCC"/>
    <w:rsid w:val="009444B9"/>
    <w:rsid w:val="00944A03"/>
    <w:rsid w:val="00944AA4"/>
    <w:rsid w:val="00944D18"/>
    <w:rsid w:val="00944D55"/>
    <w:rsid w:val="00945022"/>
    <w:rsid w:val="0094526D"/>
    <w:rsid w:val="00945733"/>
    <w:rsid w:val="009457B2"/>
    <w:rsid w:val="009457D8"/>
    <w:rsid w:val="00945A83"/>
    <w:rsid w:val="009460DA"/>
    <w:rsid w:val="009468B2"/>
    <w:rsid w:val="00946C46"/>
    <w:rsid w:val="0094724C"/>
    <w:rsid w:val="00947E7B"/>
    <w:rsid w:val="00950BC8"/>
    <w:rsid w:val="0095152A"/>
    <w:rsid w:val="00951935"/>
    <w:rsid w:val="0095257E"/>
    <w:rsid w:val="00952879"/>
    <w:rsid w:val="009547FB"/>
    <w:rsid w:val="00954E1D"/>
    <w:rsid w:val="0095571A"/>
    <w:rsid w:val="00955D6D"/>
    <w:rsid w:val="00955E21"/>
    <w:rsid w:val="00956015"/>
    <w:rsid w:val="00956A43"/>
    <w:rsid w:val="00956E7A"/>
    <w:rsid w:val="009572C1"/>
    <w:rsid w:val="00960192"/>
    <w:rsid w:val="00960413"/>
    <w:rsid w:val="00960530"/>
    <w:rsid w:val="0096055E"/>
    <w:rsid w:val="00960E36"/>
    <w:rsid w:val="00961535"/>
    <w:rsid w:val="009617E8"/>
    <w:rsid w:val="00961AF4"/>
    <w:rsid w:val="00961C08"/>
    <w:rsid w:val="00961EE2"/>
    <w:rsid w:val="00962049"/>
    <w:rsid w:val="00962A2B"/>
    <w:rsid w:val="00962CC8"/>
    <w:rsid w:val="009632ED"/>
    <w:rsid w:val="00963E36"/>
    <w:rsid w:val="0096435B"/>
    <w:rsid w:val="00964673"/>
    <w:rsid w:val="00964C21"/>
    <w:rsid w:val="00965284"/>
    <w:rsid w:val="00965304"/>
    <w:rsid w:val="0096531A"/>
    <w:rsid w:val="0096562B"/>
    <w:rsid w:val="00965A9A"/>
    <w:rsid w:val="00965CD2"/>
    <w:rsid w:val="00965D5B"/>
    <w:rsid w:val="00966B93"/>
    <w:rsid w:val="00966DA6"/>
    <w:rsid w:val="00966E0C"/>
    <w:rsid w:val="0096701C"/>
    <w:rsid w:val="0096708E"/>
    <w:rsid w:val="009672FF"/>
    <w:rsid w:val="009673AC"/>
    <w:rsid w:val="00967495"/>
    <w:rsid w:val="009674E0"/>
    <w:rsid w:val="009674F8"/>
    <w:rsid w:val="00970B28"/>
    <w:rsid w:val="00970F1C"/>
    <w:rsid w:val="00971143"/>
    <w:rsid w:val="0097137B"/>
    <w:rsid w:val="00971531"/>
    <w:rsid w:val="00972707"/>
    <w:rsid w:val="00972A81"/>
    <w:rsid w:val="00972D20"/>
    <w:rsid w:val="0097307C"/>
    <w:rsid w:val="00973221"/>
    <w:rsid w:val="00973968"/>
    <w:rsid w:val="00973D97"/>
    <w:rsid w:val="0097440D"/>
    <w:rsid w:val="0097498B"/>
    <w:rsid w:val="00974F6E"/>
    <w:rsid w:val="00974F71"/>
    <w:rsid w:val="00975621"/>
    <w:rsid w:val="00975893"/>
    <w:rsid w:val="00975932"/>
    <w:rsid w:val="00975B21"/>
    <w:rsid w:val="00975F1D"/>
    <w:rsid w:val="0097683A"/>
    <w:rsid w:val="00976BE1"/>
    <w:rsid w:val="009776D2"/>
    <w:rsid w:val="00977FEC"/>
    <w:rsid w:val="0098059C"/>
    <w:rsid w:val="009807A8"/>
    <w:rsid w:val="00980D41"/>
    <w:rsid w:val="009822E3"/>
    <w:rsid w:val="009825A1"/>
    <w:rsid w:val="009826B8"/>
    <w:rsid w:val="00982B3D"/>
    <w:rsid w:val="00982C14"/>
    <w:rsid w:val="00982CDE"/>
    <w:rsid w:val="009831F1"/>
    <w:rsid w:val="00983540"/>
    <w:rsid w:val="00983996"/>
    <w:rsid w:val="00983A7A"/>
    <w:rsid w:val="009844A4"/>
    <w:rsid w:val="00984EF8"/>
    <w:rsid w:val="00984F5D"/>
    <w:rsid w:val="009858A7"/>
    <w:rsid w:val="00986143"/>
    <w:rsid w:val="009864CE"/>
    <w:rsid w:val="009865E5"/>
    <w:rsid w:val="00986CD3"/>
    <w:rsid w:val="00986D28"/>
    <w:rsid w:val="009873CC"/>
    <w:rsid w:val="0098745B"/>
    <w:rsid w:val="0098790A"/>
    <w:rsid w:val="00990C81"/>
    <w:rsid w:val="0099179A"/>
    <w:rsid w:val="00991BF7"/>
    <w:rsid w:val="009923DD"/>
    <w:rsid w:val="009924A9"/>
    <w:rsid w:val="00992DCB"/>
    <w:rsid w:val="00993508"/>
    <w:rsid w:val="00993FA2"/>
    <w:rsid w:val="00994760"/>
    <w:rsid w:val="0099481D"/>
    <w:rsid w:val="00994F05"/>
    <w:rsid w:val="00995259"/>
    <w:rsid w:val="00995273"/>
    <w:rsid w:val="009968A3"/>
    <w:rsid w:val="00996E4D"/>
    <w:rsid w:val="009979E5"/>
    <w:rsid w:val="00997AE7"/>
    <w:rsid w:val="00997DA6"/>
    <w:rsid w:val="00997E30"/>
    <w:rsid w:val="009A13B6"/>
    <w:rsid w:val="009A149B"/>
    <w:rsid w:val="009A1A4E"/>
    <w:rsid w:val="009A1ED9"/>
    <w:rsid w:val="009A250E"/>
    <w:rsid w:val="009A2B42"/>
    <w:rsid w:val="009A2C39"/>
    <w:rsid w:val="009A2C6F"/>
    <w:rsid w:val="009A3F0C"/>
    <w:rsid w:val="009A400B"/>
    <w:rsid w:val="009A4349"/>
    <w:rsid w:val="009A435B"/>
    <w:rsid w:val="009A43B2"/>
    <w:rsid w:val="009A4828"/>
    <w:rsid w:val="009A50DF"/>
    <w:rsid w:val="009A5BE3"/>
    <w:rsid w:val="009A5C91"/>
    <w:rsid w:val="009A5F1D"/>
    <w:rsid w:val="009A63BC"/>
    <w:rsid w:val="009A685E"/>
    <w:rsid w:val="009A6C06"/>
    <w:rsid w:val="009A6E9A"/>
    <w:rsid w:val="009A76D9"/>
    <w:rsid w:val="009A7824"/>
    <w:rsid w:val="009A7AE5"/>
    <w:rsid w:val="009B0687"/>
    <w:rsid w:val="009B13BA"/>
    <w:rsid w:val="009B221F"/>
    <w:rsid w:val="009B2709"/>
    <w:rsid w:val="009B2B64"/>
    <w:rsid w:val="009B2E46"/>
    <w:rsid w:val="009B3178"/>
    <w:rsid w:val="009B35B8"/>
    <w:rsid w:val="009B3954"/>
    <w:rsid w:val="009B3B4E"/>
    <w:rsid w:val="009B3D9A"/>
    <w:rsid w:val="009B43AE"/>
    <w:rsid w:val="009B4D83"/>
    <w:rsid w:val="009B5A2E"/>
    <w:rsid w:val="009B6330"/>
    <w:rsid w:val="009B67C9"/>
    <w:rsid w:val="009B70FD"/>
    <w:rsid w:val="009B7936"/>
    <w:rsid w:val="009C00A5"/>
    <w:rsid w:val="009C059F"/>
    <w:rsid w:val="009C14EA"/>
    <w:rsid w:val="009C1E46"/>
    <w:rsid w:val="009C2479"/>
    <w:rsid w:val="009C253D"/>
    <w:rsid w:val="009C2C41"/>
    <w:rsid w:val="009C33BF"/>
    <w:rsid w:val="009C36F1"/>
    <w:rsid w:val="009C3BDE"/>
    <w:rsid w:val="009C40FC"/>
    <w:rsid w:val="009C42C8"/>
    <w:rsid w:val="009C49A7"/>
    <w:rsid w:val="009C4E09"/>
    <w:rsid w:val="009C5289"/>
    <w:rsid w:val="009C5542"/>
    <w:rsid w:val="009C5BF5"/>
    <w:rsid w:val="009C6373"/>
    <w:rsid w:val="009C6AF3"/>
    <w:rsid w:val="009C6FE4"/>
    <w:rsid w:val="009C712F"/>
    <w:rsid w:val="009C7676"/>
    <w:rsid w:val="009C79AB"/>
    <w:rsid w:val="009C7AE1"/>
    <w:rsid w:val="009C7EE9"/>
    <w:rsid w:val="009C7F22"/>
    <w:rsid w:val="009D0B36"/>
    <w:rsid w:val="009D12C1"/>
    <w:rsid w:val="009D149D"/>
    <w:rsid w:val="009D175B"/>
    <w:rsid w:val="009D28F3"/>
    <w:rsid w:val="009D2D8F"/>
    <w:rsid w:val="009D2E35"/>
    <w:rsid w:val="009D3143"/>
    <w:rsid w:val="009D398A"/>
    <w:rsid w:val="009D460D"/>
    <w:rsid w:val="009D4691"/>
    <w:rsid w:val="009D4A70"/>
    <w:rsid w:val="009D50AA"/>
    <w:rsid w:val="009D54DA"/>
    <w:rsid w:val="009D5869"/>
    <w:rsid w:val="009D5C3A"/>
    <w:rsid w:val="009D5DD8"/>
    <w:rsid w:val="009D6704"/>
    <w:rsid w:val="009D67D0"/>
    <w:rsid w:val="009D6B0E"/>
    <w:rsid w:val="009D7317"/>
    <w:rsid w:val="009D7C4A"/>
    <w:rsid w:val="009D7EB1"/>
    <w:rsid w:val="009E0E82"/>
    <w:rsid w:val="009E115A"/>
    <w:rsid w:val="009E11F3"/>
    <w:rsid w:val="009E1A91"/>
    <w:rsid w:val="009E1CC2"/>
    <w:rsid w:val="009E2DA7"/>
    <w:rsid w:val="009E3182"/>
    <w:rsid w:val="009E355A"/>
    <w:rsid w:val="009E358B"/>
    <w:rsid w:val="009E3975"/>
    <w:rsid w:val="009E3C97"/>
    <w:rsid w:val="009E41DD"/>
    <w:rsid w:val="009E44EB"/>
    <w:rsid w:val="009E4849"/>
    <w:rsid w:val="009E4A00"/>
    <w:rsid w:val="009E511C"/>
    <w:rsid w:val="009E5298"/>
    <w:rsid w:val="009E59B6"/>
    <w:rsid w:val="009E5E83"/>
    <w:rsid w:val="009E6314"/>
    <w:rsid w:val="009E63CD"/>
    <w:rsid w:val="009E756A"/>
    <w:rsid w:val="009E7867"/>
    <w:rsid w:val="009F01AE"/>
    <w:rsid w:val="009F0C87"/>
    <w:rsid w:val="009F0FCA"/>
    <w:rsid w:val="009F1210"/>
    <w:rsid w:val="009F13F5"/>
    <w:rsid w:val="009F14D6"/>
    <w:rsid w:val="009F1732"/>
    <w:rsid w:val="009F25C1"/>
    <w:rsid w:val="009F27DB"/>
    <w:rsid w:val="009F2C22"/>
    <w:rsid w:val="009F314E"/>
    <w:rsid w:val="009F34B0"/>
    <w:rsid w:val="009F37D3"/>
    <w:rsid w:val="009F3E88"/>
    <w:rsid w:val="009F4103"/>
    <w:rsid w:val="009F415D"/>
    <w:rsid w:val="009F4919"/>
    <w:rsid w:val="009F5676"/>
    <w:rsid w:val="009F5A77"/>
    <w:rsid w:val="009F5B8B"/>
    <w:rsid w:val="009F64E7"/>
    <w:rsid w:val="009F6602"/>
    <w:rsid w:val="009F6CE6"/>
    <w:rsid w:val="009F6CFD"/>
    <w:rsid w:val="009F6F4F"/>
    <w:rsid w:val="009F7024"/>
    <w:rsid w:val="009F70F5"/>
    <w:rsid w:val="009F738A"/>
    <w:rsid w:val="009F73C9"/>
    <w:rsid w:val="009F7B1A"/>
    <w:rsid w:val="00A00E06"/>
    <w:rsid w:val="00A01062"/>
    <w:rsid w:val="00A01D60"/>
    <w:rsid w:val="00A02017"/>
    <w:rsid w:val="00A0336F"/>
    <w:rsid w:val="00A0439A"/>
    <w:rsid w:val="00A0449C"/>
    <w:rsid w:val="00A045D9"/>
    <w:rsid w:val="00A04ABD"/>
    <w:rsid w:val="00A05E2E"/>
    <w:rsid w:val="00A0642C"/>
    <w:rsid w:val="00A06CBE"/>
    <w:rsid w:val="00A06D86"/>
    <w:rsid w:val="00A0726C"/>
    <w:rsid w:val="00A073B3"/>
    <w:rsid w:val="00A07A6B"/>
    <w:rsid w:val="00A100CE"/>
    <w:rsid w:val="00A10292"/>
    <w:rsid w:val="00A106B9"/>
    <w:rsid w:val="00A10B87"/>
    <w:rsid w:val="00A11AAB"/>
    <w:rsid w:val="00A11E68"/>
    <w:rsid w:val="00A11FE9"/>
    <w:rsid w:val="00A1217E"/>
    <w:rsid w:val="00A12B3A"/>
    <w:rsid w:val="00A132ED"/>
    <w:rsid w:val="00A13F8E"/>
    <w:rsid w:val="00A1404F"/>
    <w:rsid w:val="00A1422A"/>
    <w:rsid w:val="00A14397"/>
    <w:rsid w:val="00A143F9"/>
    <w:rsid w:val="00A1476A"/>
    <w:rsid w:val="00A14CD2"/>
    <w:rsid w:val="00A14D9B"/>
    <w:rsid w:val="00A14E04"/>
    <w:rsid w:val="00A15D6B"/>
    <w:rsid w:val="00A16732"/>
    <w:rsid w:val="00A1699F"/>
    <w:rsid w:val="00A1739A"/>
    <w:rsid w:val="00A1771A"/>
    <w:rsid w:val="00A17A14"/>
    <w:rsid w:val="00A17D6F"/>
    <w:rsid w:val="00A17D87"/>
    <w:rsid w:val="00A17F47"/>
    <w:rsid w:val="00A2019D"/>
    <w:rsid w:val="00A20B50"/>
    <w:rsid w:val="00A20BEC"/>
    <w:rsid w:val="00A20C28"/>
    <w:rsid w:val="00A21106"/>
    <w:rsid w:val="00A21508"/>
    <w:rsid w:val="00A21CFC"/>
    <w:rsid w:val="00A21D8E"/>
    <w:rsid w:val="00A225E1"/>
    <w:rsid w:val="00A22C46"/>
    <w:rsid w:val="00A233F3"/>
    <w:rsid w:val="00A23975"/>
    <w:rsid w:val="00A239ED"/>
    <w:rsid w:val="00A23BCD"/>
    <w:rsid w:val="00A2450F"/>
    <w:rsid w:val="00A24C6D"/>
    <w:rsid w:val="00A24E8B"/>
    <w:rsid w:val="00A257A4"/>
    <w:rsid w:val="00A25BA6"/>
    <w:rsid w:val="00A25E71"/>
    <w:rsid w:val="00A25F45"/>
    <w:rsid w:val="00A262D6"/>
    <w:rsid w:val="00A26308"/>
    <w:rsid w:val="00A2664D"/>
    <w:rsid w:val="00A267E9"/>
    <w:rsid w:val="00A26B3D"/>
    <w:rsid w:val="00A26D7C"/>
    <w:rsid w:val="00A26E20"/>
    <w:rsid w:val="00A27AE3"/>
    <w:rsid w:val="00A27FE2"/>
    <w:rsid w:val="00A30090"/>
    <w:rsid w:val="00A3039A"/>
    <w:rsid w:val="00A30975"/>
    <w:rsid w:val="00A3193D"/>
    <w:rsid w:val="00A31B8D"/>
    <w:rsid w:val="00A31DD0"/>
    <w:rsid w:val="00A3201B"/>
    <w:rsid w:val="00A32115"/>
    <w:rsid w:val="00A3239A"/>
    <w:rsid w:val="00A327CF"/>
    <w:rsid w:val="00A327FE"/>
    <w:rsid w:val="00A32F8A"/>
    <w:rsid w:val="00A3326E"/>
    <w:rsid w:val="00A34899"/>
    <w:rsid w:val="00A34CA4"/>
    <w:rsid w:val="00A34FCC"/>
    <w:rsid w:val="00A3518D"/>
    <w:rsid w:val="00A3734E"/>
    <w:rsid w:val="00A378F0"/>
    <w:rsid w:val="00A3797D"/>
    <w:rsid w:val="00A40317"/>
    <w:rsid w:val="00A405AD"/>
    <w:rsid w:val="00A406E5"/>
    <w:rsid w:val="00A40CA2"/>
    <w:rsid w:val="00A412D2"/>
    <w:rsid w:val="00A41D75"/>
    <w:rsid w:val="00A41DA0"/>
    <w:rsid w:val="00A41FA5"/>
    <w:rsid w:val="00A41FA9"/>
    <w:rsid w:val="00A429A9"/>
    <w:rsid w:val="00A42D34"/>
    <w:rsid w:val="00A42EEE"/>
    <w:rsid w:val="00A43273"/>
    <w:rsid w:val="00A43E3D"/>
    <w:rsid w:val="00A4415C"/>
    <w:rsid w:val="00A441D4"/>
    <w:rsid w:val="00A443EE"/>
    <w:rsid w:val="00A447F8"/>
    <w:rsid w:val="00A448BF"/>
    <w:rsid w:val="00A44BF5"/>
    <w:rsid w:val="00A4500C"/>
    <w:rsid w:val="00A45266"/>
    <w:rsid w:val="00A4546E"/>
    <w:rsid w:val="00A45542"/>
    <w:rsid w:val="00A460B4"/>
    <w:rsid w:val="00A464E4"/>
    <w:rsid w:val="00A46DB5"/>
    <w:rsid w:val="00A47069"/>
    <w:rsid w:val="00A4749A"/>
    <w:rsid w:val="00A47735"/>
    <w:rsid w:val="00A479CC"/>
    <w:rsid w:val="00A47CCB"/>
    <w:rsid w:val="00A5042F"/>
    <w:rsid w:val="00A50583"/>
    <w:rsid w:val="00A5077D"/>
    <w:rsid w:val="00A50B8F"/>
    <w:rsid w:val="00A51525"/>
    <w:rsid w:val="00A51F55"/>
    <w:rsid w:val="00A52951"/>
    <w:rsid w:val="00A52A32"/>
    <w:rsid w:val="00A53171"/>
    <w:rsid w:val="00A53FAC"/>
    <w:rsid w:val="00A53FBD"/>
    <w:rsid w:val="00A54212"/>
    <w:rsid w:val="00A54429"/>
    <w:rsid w:val="00A5484F"/>
    <w:rsid w:val="00A54AAD"/>
    <w:rsid w:val="00A54B87"/>
    <w:rsid w:val="00A554B1"/>
    <w:rsid w:val="00A5581B"/>
    <w:rsid w:val="00A55AB8"/>
    <w:rsid w:val="00A55AE3"/>
    <w:rsid w:val="00A56284"/>
    <w:rsid w:val="00A56FE5"/>
    <w:rsid w:val="00A5759F"/>
    <w:rsid w:val="00A57748"/>
    <w:rsid w:val="00A577A1"/>
    <w:rsid w:val="00A57940"/>
    <w:rsid w:val="00A57DE2"/>
    <w:rsid w:val="00A60861"/>
    <w:rsid w:val="00A60FD4"/>
    <w:rsid w:val="00A62172"/>
    <w:rsid w:val="00A622E7"/>
    <w:rsid w:val="00A629C3"/>
    <w:rsid w:val="00A62A43"/>
    <w:rsid w:val="00A62B2E"/>
    <w:rsid w:val="00A62CCB"/>
    <w:rsid w:val="00A62D37"/>
    <w:rsid w:val="00A631DE"/>
    <w:rsid w:val="00A63210"/>
    <w:rsid w:val="00A6325B"/>
    <w:rsid w:val="00A6362F"/>
    <w:rsid w:val="00A6376F"/>
    <w:rsid w:val="00A63D60"/>
    <w:rsid w:val="00A63E23"/>
    <w:rsid w:val="00A64278"/>
    <w:rsid w:val="00A644E9"/>
    <w:rsid w:val="00A64F27"/>
    <w:rsid w:val="00A6515B"/>
    <w:rsid w:val="00A65BA9"/>
    <w:rsid w:val="00A65DA0"/>
    <w:rsid w:val="00A660A2"/>
    <w:rsid w:val="00A663AD"/>
    <w:rsid w:val="00A663BE"/>
    <w:rsid w:val="00A66843"/>
    <w:rsid w:val="00A668A9"/>
    <w:rsid w:val="00A668ED"/>
    <w:rsid w:val="00A66A2F"/>
    <w:rsid w:val="00A66F33"/>
    <w:rsid w:val="00A6718F"/>
    <w:rsid w:val="00A7036A"/>
    <w:rsid w:val="00A70542"/>
    <w:rsid w:val="00A7066C"/>
    <w:rsid w:val="00A709DC"/>
    <w:rsid w:val="00A711C8"/>
    <w:rsid w:val="00A712F3"/>
    <w:rsid w:val="00A7156B"/>
    <w:rsid w:val="00A71A57"/>
    <w:rsid w:val="00A71F2E"/>
    <w:rsid w:val="00A7247A"/>
    <w:rsid w:val="00A730AB"/>
    <w:rsid w:val="00A73B0E"/>
    <w:rsid w:val="00A73C3C"/>
    <w:rsid w:val="00A73CD6"/>
    <w:rsid w:val="00A73F69"/>
    <w:rsid w:val="00A74A7D"/>
    <w:rsid w:val="00A74B49"/>
    <w:rsid w:val="00A75619"/>
    <w:rsid w:val="00A75A2D"/>
    <w:rsid w:val="00A7678D"/>
    <w:rsid w:val="00A767C4"/>
    <w:rsid w:val="00A767C6"/>
    <w:rsid w:val="00A76DD2"/>
    <w:rsid w:val="00A7726A"/>
    <w:rsid w:val="00A77631"/>
    <w:rsid w:val="00A77662"/>
    <w:rsid w:val="00A777B2"/>
    <w:rsid w:val="00A77F38"/>
    <w:rsid w:val="00A77F5F"/>
    <w:rsid w:val="00A8129D"/>
    <w:rsid w:val="00A8260F"/>
    <w:rsid w:val="00A82844"/>
    <w:rsid w:val="00A828E4"/>
    <w:rsid w:val="00A82C90"/>
    <w:rsid w:val="00A832CB"/>
    <w:rsid w:val="00A833FC"/>
    <w:rsid w:val="00A838B7"/>
    <w:rsid w:val="00A83AFA"/>
    <w:rsid w:val="00A84029"/>
    <w:rsid w:val="00A840DE"/>
    <w:rsid w:val="00A84322"/>
    <w:rsid w:val="00A84547"/>
    <w:rsid w:val="00A84663"/>
    <w:rsid w:val="00A8476C"/>
    <w:rsid w:val="00A85690"/>
    <w:rsid w:val="00A85850"/>
    <w:rsid w:val="00A859CF"/>
    <w:rsid w:val="00A85D98"/>
    <w:rsid w:val="00A85E8B"/>
    <w:rsid w:val="00A86162"/>
    <w:rsid w:val="00A86642"/>
    <w:rsid w:val="00A87591"/>
    <w:rsid w:val="00A875B5"/>
    <w:rsid w:val="00A878C1"/>
    <w:rsid w:val="00A87960"/>
    <w:rsid w:val="00A87C8F"/>
    <w:rsid w:val="00A9034C"/>
    <w:rsid w:val="00A9060E"/>
    <w:rsid w:val="00A90D08"/>
    <w:rsid w:val="00A91066"/>
    <w:rsid w:val="00A9172A"/>
    <w:rsid w:val="00A920F8"/>
    <w:rsid w:val="00A924A3"/>
    <w:rsid w:val="00A924C5"/>
    <w:rsid w:val="00A94B42"/>
    <w:rsid w:val="00A94B8C"/>
    <w:rsid w:val="00A94CAB"/>
    <w:rsid w:val="00A94F96"/>
    <w:rsid w:val="00A95A0A"/>
    <w:rsid w:val="00A95D97"/>
    <w:rsid w:val="00A961A0"/>
    <w:rsid w:val="00A96A36"/>
    <w:rsid w:val="00A96B58"/>
    <w:rsid w:val="00A96C4B"/>
    <w:rsid w:val="00A97A3E"/>
    <w:rsid w:val="00A97A97"/>
    <w:rsid w:val="00A97D77"/>
    <w:rsid w:val="00A97E27"/>
    <w:rsid w:val="00A97F19"/>
    <w:rsid w:val="00A97F45"/>
    <w:rsid w:val="00AA0103"/>
    <w:rsid w:val="00AA073A"/>
    <w:rsid w:val="00AA0D1D"/>
    <w:rsid w:val="00AA0E7E"/>
    <w:rsid w:val="00AA195F"/>
    <w:rsid w:val="00AA1BA9"/>
    <w:rsid w:val="00AA1BB8"/>
    <w:rsid w:val="00AA25E5"/>
    <w:rsid w:val="00AA275D"/>
    <w:rsid w:val="00AA2913"/>
    <w:rsid w:val="00AA2E9A"/>
    <w:rsid w:val="00AA3214"/>
    <w:rsid w:val="00AA3224"/>
    <w:rsid w:val="00AA3444"/>
    <w:rsid w:val="00AA3B04"/>
    <w:rsid w:val="00AA3B73"/>
    <w:rsid w:val="00AA42B8"/>
    <w:rsid w:val="00AA4572"/>
    <w:rsid w:val="00AA4874"/>
    <w:rsid w:val="00AA492A"/>
    <w:rsid w:val="00AA4A43"/>
    <w:rsid w:val="00AA4E0D"/>
    <w:rsid w:val="00AA59E7"/>
    <w:rsid w:val="00AA630E"/>
    <w:rsid w:val="00AA6811"/>
    <w:rsid w:val="00AA6EA7"/>
    <w:rsid w:val="00AA71CC"/>
    <w:rsid w:val="00AA730E"/>
    <w:rsid w:val="00AA7C7B"/>
    <w:rsid w:val="00AB0194"/>
    <w:rsid w:val="00AB02E2"/>
    <w:rsid w:val="00AB04A7"/>
    <w:rsid w:val="00AB0C4A"/>
    <w:rsid w:val="00AB0CFA"/>
    <w:rsid w:val="00AB0F8D"/>
    <w:rsid w:val="00AB0FC5"/>
    <w:rsid w:val="00AB12F9"/>
    <w:rsid w:val="00AB1439"/>
    <w:rsid w:val="00AB14B1"/>
    <w:rsid w:val="00AB1531"/>
    <w:rsid w:val="00AB1C24"/>
    <w:rsid w:val="00AB1E05"/>
    <w:rsid w:val="00AB1FEA"/>
    <w:rsid w:val="00AB2063"/>
    <w:rsid w:val="00AB3AB7"/>
    <w:rsid w:val="00AB43E8"/>
    <w:rsid w:val="00AB461B"/>
    <w:rsid w:val="00AB466D"/>
    <w:rsid w:val="00AB46F3"/>
    <w:rsid w:val="00AB481B"/>
    <w:rsid w:val="00AB4DEB"/>
    <w:rsid w:val="00AB4E52"/>
    <w:rsid w:val="00AB5077"/>
    <w:rsid w:val="00AB5B23"/>
    <w:rsid w:val="00AB5CA0"/>
    <w:rsid w:val="00AB5FAB"/>
    <w:rsid w:val="00AB6101"/>
    <w:rsid w:val="00AB618A"/>
    <w:rsid w:val="00AB6680"/>
    <w:rsid w:val="00AB69FB"/>
    <w:rsid w:val="00AB6FBF"/>
    <w:rsid w:val="00AB6FCF"/>
    <w:rsid w:val="00AB7B9F"/>
    <w:rsid w:val="00AC01FF"/>
    <w:rsid w:val="00AC0938"/>
    <w:rsid w:val="00AC0A45"/>
    <w:rsid w:val="00AC0B77"/>
    <w:rsid w:val="00AC0E12"/>
    <w:rsid w:val="00AC1FF8"/>
    <w:rsid w:val="00AC24A0"/>
    <w:rsid w:val="00AC2A2A"/>
    <w:rsid w:val="00AC2F2E"/>
    <w:rsid w:val="00AC364C"/>
    <w:rsid w:val="00AC424D"/>
    <w:rsid w:val="00AC4A0F"/>
    <w:rsid w:val="00AC57C2"/>
    <w:rsid w:val="00AC58A3"/>
    <w:rsid w:val="00AC5955"/>
    <w:rsid w:val="00AC6341"/>
    <w:rsid w:val="00AC64E7"/>
    <w:rsid w:val="00AC79E8"/>
    <w:rsid w:val="00AD010C"/>
    <w:rsid w:val="00AD0448"/>
    <w:rsid w:val="00AD08D7"/>
    <w:rsid w:val="00AD1574"/>
    <w:rsid w:val="00AD1709"/>
    <w:rsid w:val="00AD2141"/>
    <w:rsid w:val="00AD23AA"/>
    <w:rsid w:val="00AD3376"/>
    <w:rsid w:val="00AD3412"/>
    <w:rsid w:val="00AD3522"/>
    <w:rsid w:val="00AD3A0F"/>
    <w:rsid w:val="00AD3A52"/>
    <w:rsid w:val="00AD5217"/>
    <w:rsid w:val="00AD5833"/>
    <w:rsid w:val="00AD5E98"/>
    <w:rsid w:val="00AD609A"/>
    <w:rsid w:val="00AD61CD"/>
    <w:rsid w:val="00AD659B"/>
    <w:rsid w:val="00AD6BD6"/>
    <w:rsid w:val="00AD6D62"/>
    <w:rsid w:val="00AD6D6B"/>
    <w:rsid w:val="00AD7631"/>
    <w:rsid w:val="00AD7BE7"/>
    <w:rsid w:val="00AE0245"/>
    <w:rsid w:val="00AE12AD"/>
    <w:rsid w:val="00AE14BB"/>
    <w:rsid w:val="00AE178E"/>
    <w:rsid w:val="00AE1C56"/>
    <w:rsid w:val="00AE1D88"/>
    <w:rsid w:val="00AE20FD"/>
    <w:rsid w:val="00AE24C9"/>
    <w:rsid w:val="00AE35CE"/>
    <w:rsid w:val="00AE3C5D"/>
    <w:rsid w:val="00AE3FBC"/>
    <w:rsid w:val="00AE4F50"/>
    <w:rsid w:val="00AE522D"/>
    <w:rsid w:val="00AE55EC"/>
    <w:rsid w:val="00AE5919"/>
    <w:rsid w:val="00AE614F"/>
    <w:rsid w:val="00AE61BE"/>
    <w:rsid w:val="00AE6454"/>
    <w:rsid w:val="00AE6CD0"/>
    <w:rsid w:val="00AE6CDA"/>
    <w:rsid w:val="00AE7189"/>
    <w:rsid w:val="00AE7338"/>
    <w:rsid w:val="00AE740F"/>
    <w:rsid w:val="00AE74E9"/>
    <w:rsid w:val="00AE77E7"/>
    <w:rsid w:val="00AE7B1D"/>
    <w:rsid w:val="00AE7CB3"/>
    <w:rsid w:val="00AE7DD3"/>
    <w:rsid w:val="00AE7FDF"/>
    <w:rsid w:val="00AF0319"/>
    <w:rsid w:val="00AF07FF"/>
    <w:rsid w:val="00AF0ED5"/>
    <w:rsid w:val="00AF0F95"/>
    <w:rsid w:val="00AF13E5"/>
    <w:rsid w:val="00AF15C8"/>
    <w:rsid w:val="00AF2B38"/>
    <w:rsid w:val="00AF2BFE"/>
    <w:rsid w:val="00AF2C67"/>
    <w:rsid w:val="00AF2DA8"/>
    <w:rsid w:val="00AF3294"/>
    <w:rsid w:val="00AF35BC"/>
    <w:rsid w:val="00AF3AE7"/>
    <w:rsid w:val="00AF3B62"/>
    <w:rsid w:val="00AF4723"/>
    <w:rsid w:val="00AF4798"/>
    <w:rsid w:val="00AF4EA2"/>
    <w:rsid w:val="00AF4F19"/>
    <w:rsid w:val="00AF580E"/>
    <w:rsid w:val="00AF5E7D"/>
    <w:rsid w:val="00AF6310"/>
    <w:rsid w:val="00AF6629"/>
    <w:rsid w:val="00AF67B5"/>
    <w:rsid w:val="00AF6AA8"/>
    <w:rsid w:val="00AF6AFA"/>
    <w:rsid w:val="00AF7950"/>
    <w:rsid w:val="00AF7CF7"/>
    <w:rsid w:val="00B00072"/>
    <w:rsid w:val="00B00B16"/>
    <w:rsid w:val="00B00BC3"/>
    <w:rsid w:val="00B00C90"/>
    <w:rsid w:val="00B02021"/>
    <w:rsid w:val="00B02B92"/>
    <w:rsid w:val="00B02CD8"/>
    <w:rsid w:val="00B03284"/>
    <w:rsid w:val="00B036F6"/>
    <w:rsid w:val="00B03B22"/>
    <w:rsid w:val="00B040D3"/>
    <w:rsid w:val="00B05234"/>
    <w:rsid w:val="00B05D42"/>
    <w:rsid w:val="00B05F93"/>
    <w:rsid w:val="00B06286"/>
    <w:rsid w:val="00B063DA"/>
    <w:rsid w:val="00B06EB7"/>
    <w:rsid w:val="00B07549"/>
    <w:rsid w:val="00B0758E"/>
    <w:rsid w:val="00B079E2"/>
    <w:rsid w:val="00B10103"/>
    <w:rsid w:val="00B1022F"/>
    <w:rsid w:val="00B103F4"/>
    <w:rsid w:val="00B11289"/>
    <w:rsid w:val="00B11540"/>
    <w:rsid w:val="00B123C3"/>
    <w:rsid w:val="00B1253E"/>
    <w:rsid w:val="00B1295C"/>
    <w:rsid w:val="00B13130"/>
    <w:rsid w:val="00B1420C"/>
    <w:rsid w:val="00B1423C"/>
    <w:rsid w:val="00B144DB"/>
    <w:rsid w:val="00B14B95"/>
    <w:rsid w:val="00B151F6"/>
    <w:rsid w:val="00B155ED"/>
    <w:rsid w:val="00B15E4F"/>
    <w:rsid w:val="00B1608F"/>
    <w:rsid w:val="00B16124"/>
    <w:rsid w:val="00B1696F"/>
    <w:rsid w:val="00B16A75"/>
    <w:rsid w:val="00B16AFB"/>
    <w:rsid w:val="00B16D8B"/>
    <w:rsid w:val="00B20106"/>
    <w:rsid w:val="00B2017F"/>
    <w:rsid w:val="00B205D1"/>
    <w:rsid w:val="00B20C5C"/>
    <w:rsid w:val="00B218D5"/>
    <w:rsid w:val="00B2194E"/>
    <w:rsid w:val="00B2251B"/>
    <w:rsid w:val="00B22906"/>
    <w:rsid w:val="00B232AF"/>
    <w:rsid w:val="00B233EF"/>
    <w:rsid w:val="00B2374C"/>
    <w:rsid w:val="00B238F3"/>
    <w:rsid w:val="00B23DB9"/>
    <w:rsid w:val="00B23DDB"/>
    <w:rsid w:val="00B24535"/>
    <w:rsid w:val="00B25217"/>
    <w:rsid w:val="00B2589D"/>
    <w:rsid w:val="00B25B3D"/>
    <w:rsid w:val="00B25C25"/>
    <w:rsid w:val="00B267BC"/>
    <w:rsid w:val="00B267C5"/>
    <w:rsid w:val="00B26A41"/>
    <w:rsid w:val="00B26B3F"/>
    <w:rsid w:val="00B274E0"/>
    <w:rsid w:val="00B30605"/>
    <w:rsid w:val="00B30B87"/>
    <w:rsid w:val="00B30DE9"/>
    <w:rsid w:val="00B313B9"/>
    <w:rsid w:val="00B3164C"/>
    <w:rsid w:val="00B31D64"/>
    <w:rsid w:val="00B31DEA"/>
    <w:rsid w:val="00B31FE1"/>
    <w:rsid w:val="00B328BC"/>
    <w:rsid w:val="00B32991"/>
    <w:rsid w:val="00B33F67"/>
    <w:rsid w:val="00B348EB"/>
    <w:rsid w:val="00B34A2E"/>
    <w:rsid w:val="00B35039"/>
    <w:rsid w:val="00B3539D"/>
    <w:rsid w:val="00B35592"/>
    <w:rsid w:val="00B3562B"/>
    <w:rsid w:val="00B35B8E"/>
    <w:rsid w:val="00B35C52"/>
    <w:rsid w:val="00B36708"/>
    <w:rsid w:val="00B36A0A"/>
    <w:rsid w:val="00B36C93"/>
    <w:rsid w:val="00B374B9"/>
    <w:rsid w:val="00B37DF6"/>
    <w:rsid w:val="00B37FD0"/>
    <w:rsid w:val="00B40758"/>
    <w:rsid w:val="00B407A5"/>
    <w:rsid w:val="00B408E3"/>
    <w:rsid w:val="00B40968"/>
    <w:rsid w:val="00B41081"/>
    <w:rsid w:val="00B411FB"/>
    <w:rsid w:val="00B41362"/>
    <w:rsid w:val="00B418A5"/>
    <w:rsid w:val="00B41AB9"/>
    <w:rsid w:val="00B42F52"/>
    <w:rsid w:val="00B435A3"/>
    <w:rsid w:val="00B43C60"/>
    <w:rsid w:val="00B43E04"/>
    <w:rsid w:val="00B440A6"/>
    <w:rsid w:val="00B449E1"/>
    <w:rsid w:val="00B44BB0"/>
    <w:rsid w:val="00B44C9D"/>
    <w:rsid w:val="00B44E03"/>
    <w:rsid w:val="00B455C9"/>
    <w:rsid w:val="00B45682"/>
    <w:rsid w:val="00B456A5"/>
    <w:rsid w:val="00B466DE"/>
    <w:rsid w:val="00B46D3E"/>
    <w:rsid w:val="00B47A21"/>
    <w:rsid w:val="00B508E3"/>
    <w:rsid w:val="00B50D21"/>
    <w:rsid w:val="00B51275"/>
    <w:rsid w:val="00B515FE"/>
    <w:rsid w:val="00B51EF8"/>
    <w:rsid w:val="00B5209C"/>
    <w:rsid w:val="00B52169"/>
    <w:rsid w:val="00B52892"/>
    <w:rsid w:val="00B52A39"/>
    <w:rsid w:val="00B53297"/>
    <w:rsid w:val="00B5367C"/>
    <w:rsid w:val="00B53B8F"/>
    <w:rsid w:val="00B53FC7"/>
    <w:rsid w:val="00B541B5"/>
    <w:rsid w:val="00B54263"/>
    <w:rsid w:val="00B543A6"/>
    <w:rsid w:val="00B54C1A"/>
    <w:rsid w:val="00B54CDA"/>
    <w:rsid w:val="00B55777"/>
    <w:rsid w:val="00B562C7"/>
    <w:rsid w:val="00B56A08"/>
    <w:rsid w:val="00B57054"/>
    <w:rsid w:val="00B5711E"/>
    <w:rsid w:val="00B5758E"/>
    <w:rsid w:val="00B60D4E"/>
    <w:rsid w:val="00B60FB3"/>
    <w:rsid w:val="00B6122E"/>
    <w:rsid w:val="00B6171A"/>
    <w:rsid w:val="00B61CBF"/>
    <w:rsid w:val="00B61D39"/>
    <w:rsid w:val="00B61EF6"/>
    <w:rsid w:val="00B62084"/>
    <w:rsid w:val="00B630AB"/>
    <w:rsid w:val="00B64686"/>
    <w:rsid w:val="00B64C07"/>
    <w:rsid w:val="00B64E0D"/>
    <w:rsid w:val="00B64F27"/>
    <w:rsid w:val="00B65434"/>
    <w:rsid w:val="00B65D61"/>
    <w:rsid w:val="00B65DE2"/>
    <w:rsid w:val="00B65EB5"/>
    <w:rsid w:val="00B6667D"/>
    <w:rsid w:val="00B66736"/>
    <w:rsid w:val="00B66E4F"/>
    <w:rsid w:val="00B677A9"/>
    <w:rsid w:val="00B67DC5"/>
    <w:rsid w:val="00B70FF3"/>
    <w:rsid w:val="00B710D2"/>
    <w:rsid w:val="00B713A1"/>
    <w:rsid w:val="00B713A8"/>
    <w:rsid w:val="00B71467"/>
    <w:rsid w:val="00B714C2"/>
    <w:rsid w:val="00B7196B"/>
    <w:rsid w:val="00B722F1"/>
    <w:rsid w:val="00B72666"/>
    <w:rsid w:val="00B726B9"/>
    <w:rsid w:val="00B73009"/>
    <w:rsid w:val="00B733D1"/>
    <w:rsid w:val="00B73499"/>
    <w:rsid w:val="00B736CE"/>
    <w:rsid w:val="00B73B0A"/>
    <w:rsid w:val="00B73D20"/>
    <w:rsid w:val="00B73D35"/>
    <w:rsid w:val="00B73EE7"/>
    <w:rsid w:val="00B74042"/>
    <w:rsid w:val="00B74068"/>
    <w:rsid w:val="00B74758"/>
    <w:rsid w:val="00B7494B"/>
    <w:rsid w:val="00B74B7F"/>
    <w:rsid w:val="00B750A3"/>
    <w:rsid w:val="00B75572"/>
    <w:rsid w:val="00B7572A"/>
    <w:rsid w:val="00B7600E"/>
    <w:rsid w:val="00B764B4"/>
    <w:rsid w:val="00B76A2B"/>
    <w:rsid w:val="00B774D6"/>
    <w:rsid w:val="00B7786F"/>
    <w:rsid w:val="00B77B7C"/>
    <w:rsid w:val="00B80BDA"/>
    <w:rsid w:val="00B80E9E"/>
    <w:rsid w:val="00B8162B"/>
    <w:rsid w:val="00B81FDE"/>
    <w:rsid w:val="00B82175"/>
    <w:rsid w:val="00B82CA9"/>
    <w:rsid w:val="00B82D45"/>
    <w:rsid w:val="00B82FF5"/>
    <w:rsid w:val="00B83CE5"/>
    <w:rsid w:val="00B83EB9"/>
    <w:rsid w:val="00B84399"/>
    <w:rsid w:val="00B844A2"/>
    <w:rsid w:val="00B8460D"/>
    <w:rsid w:val="00B849A8"/>
    <w:rsid w:val="00B84D79"/>
    <w:rsid w:val="00B84DA7"/>
    <w:rsid w:val="00B84FB9"/>
    <w:rsid w:val="00B851A6"/>
    <w:rsid w:val="00B85F91"/>
    <w:rsid w:val="00B861DE"/>
    <w:rsid w:val="00B86C69"/>
    <w:rsid w:val="00B86E75"/>
    <w:rsid w:val="00B86FE5"/>
    <w:rsid w:val="00B87115"/>
    <w:rsid w:val="00B871D3"/>
    <w:rsid w:val="00B87370"/>
    <w:rsid w:val="00B8755A"/>
    <w:rsid w:val="00B8764B"/>
    <w:rsid w:val="00B87A9F"/>
    <w:rsid w:val="00B87F4D"/>
    <w:rsid w:val="00B900AC"/>
    <w:rsid w:val="00B90D33"/>
    <w:rsid w:val="00B91234"/>
    <w:rsid w:val="00B913D9"/>
    <w:rsid w:val="00B91EB1"/>
    <w:rsid w:val="00B91F4D"/>
    <w:rsid w:val="00B9229C"/>
    <w:rsid w:val="00B929D0"/>
    <w:rsid w:val="00B92D2A"/>
    <w:rsid w:val="00B9373D"/>
    <w:rsid w:val="00B93BC5"/>
    <w:rsid w:val="00B93ED0"/>
    <w:rsid w:val="00B93F30"/>
    <w:rsid w:val="00B9498F"/>
    <w:rsid w:val="00B94A13"/>
    <w:rsid w:val="00B94CFF"/>
    <w:rsid w:val="00B95255"/>
    <w:rsid w:val="00B958E8"/>
    <w:rsid w:val="00B9672E"/>
    <w:rsid w:val="00B96E45"/>
    <w:rsid w:val="00B977C7"/>
    <w:rsid w:val="00B9799A"/>
    <w:rsid w:val="00BA0ACB"/>
    <w:rsid w:val="00BA1286"/>
    <w:rsid w:val="00BA1447"/>
    <w:rsid w:val="00BA1464"/>
    <w:rsid w:val="00BA15BB"/>
    <w:rsid w:val="00BA1748"/>
    <w:rsid w:val="00BA1EA2"/>
    <w:rsid w:val="00BA1F3F"/>
    <w:rsid w:val="00BA2061"/>
    <w:rsid w:val="00BA2289"/>
    <w:rsid w:val="00BA26A6"/>
    <w:rsid w:val="00BA2E33"/>
    <w:rsid w:val="00BA3126"/>
    <w:rsid w:val="00BA36C8"/>
    <w:rsid w:val="00BA3823"/>
    <w:rsid w:val="00BA3D9F"/>
    <w:rsid w:val="00BA3E9A"/>
    <w:rsid w:val="00BA432A"/>
    <w:rsid w:val="00BA449C"/>
    <w:rsid w:val="00BA4CB2"/>
    <w:rsid w:val="00BA4E2F"/>
    <w:rsid w:val="00BA554B"/>
    <w:rsid w:val="00BA5A32"/>
    <w:rsid w:val="00BA6546"/>
    <w:rsid w:val="00BA663C"/>
    <w:rsid w:val="00BA7470"/>
    <w:rsid w:val="00BA74C2"/>
    <w:rsid w:val="00BA7844"/>
    <w:rsid w:val="00BA7ACF"/>
    <w:rsid w:val="00BA7EDC"/>
    <w:rsid w:val="00BB0A1D"/>
    <w:rsid w:val="00BB0AA8"/>
    <w:rsid w:val="00BB1003"/>
    <w:rsid w:val="00BB1836"/>
    <w:rsid w:val="00BB19EC"/>
    <w:rsid w:val="00BB1E05"/>
    <w:rsid w:val="00BB1FEE"/>
    <w:rsid w:val="00BB2A61"/>
    <w:rsid w:val="00BB353B"/>
    <w:rsid w:val="00BB412E"/>
    <w:rsid w:val="00BB4D5C"/>
    <w:rsid w:val="00BB5155"/>
    <w:rsid w:val="00BB550E"/>
    <w:rsid w:val="00BB55BC"/>
    <w:rsid w:val="00BB5D3B"/>
    <w:rsid w:val="00BB5E41"/>
    <w:rsid w:val="00BB5EBF"/>
    <w:rsid w:val="00BB6A3C"/>
    <w:rsid w:val="00BB73A3"/>
    <w:rsid w:val="00BC1EBB"/>
    <w:rsid w:val="00BC1FFF"/>
    <w:rsid w:val="00BC265C"/>
    <w:rsid w:val="00BC2677"/>
    <w:rsid w:val="00BC2894"/>
    <w:rsid w:val="00BC2DFD"/>
    <w:rsid w:val="00BC3088"/>
    <w:rsid w:val="00BC3216"/>
    <w:rsid w:val="00BC35BE"/>
    <w:rsid w:val="00BC36B1"/>
    <w:rsid w:val="00BC3830"/>
    <w:rsid w:val="00BC3B9E"/>
    <w:rsid w:val="00BC4F7B"/>
    <w:rsid w:val="00BC4F80"/>
    <w:rsid w:val="00BC5070"/>
    <w:rsid w:val="00BC55EB"/>
    <w:rsid w:val="00BC68BB"/>
    <w:rsid w:val="00BC71A9"/>
    <w:rsid w:val="00BC7487"/>
    <w:rsid w:val="00BC75FB"/>
    <w:rsid w:val="00BD01B9"/>
    <w:rsid w:val="00BD03C8"/>
    <w:rsid w:val="00BD05CB"/>
    <w:rsid w:val="00BD0942"/>
    <w:rsid w:val="00BD1DA3"/>
    <w:rsid w:val="00BD1DC2"/>
    <w:rsid w:val="00BD2071"/>
    <w:rsid w:val="00BD2428"/>
    <w:rsid w:val="00BD24F5"/>
    <w:rsid w:val="00BD2E3E"/>
    <w:rsid w:val="00BD3B6B"/>
    <w:rsid w:val="00BD3BF8"/>
    <w:rsid w:val="00BD3EEF"/>
    <w:rsid w:val="00BD4761"/>
    <w:rsid w:val="00BD499E"/>
    <w:rsid w:val="00BD4B10"/>
    <w:rsid w:val="00BD4B17"/>
    <w:rsid w:val="00BD500A"/>
    <w:rsid w:val="00BD52F1"/>
    <w:rsid w:val="00BD5FFC"/>
    <w:rsid w:val="00BD6699"/>
    <w:rsid w:val="00BD6BF8"/>
    <w:rsid w:val="00BD72C7"/>
    <w:rsid w:val="00BD78BD"/>
    <w:rsid w:val="00BD7DE8"/>
    <w:rsid w:val="00BD7F18"/>
    <w:rsid w:val="00BE0403"/>
    <w:rsid w:val="00BE0C95"/>
    <w:rsid w:val="00BE14E8"/>
    <w:rsid w:val="00BE1629"/>
    <w:rsid w:val="00BE16D8"/>
    <w:rsid w:val="00BE1D30"/>
    <w:rsid w:val="00BE1EAA"/>
    <w:rsid w:val="00BE2543"/>
    <w:rsid w:val="00BE25BA"/>
    <w:rsid w:val="00BE25BF"/>
    <w:rsid w:val="00BE341C"/>
    <w:rsid w:val="00BE382C"/>
    <w:rsid w:val="00BE3C34"/>
    <w:rsid w:val="00BE42FF"/>
    <w:rsid w:val="00BE46AE"/>
    <w:rsid w:val="00BE473C"/>
    <w:rsid w:val="00BE47A9"/>
    <w:rsid w:val="00BE61CC"/>
    <w:rsid w:val="00BE6409"/>
    <w:rsid w:val="00BE6443"/>
    <w:rsid w:val="00BE6512"/>
    <w:rsid w:val="00BE6ED7"/>
    <w:rsid w:val="00BE7D41"/>
    <w:rsid w:val="00BE7F92"/>
    <w:rsid w:val="00BF0311"/>
    <w:rsid w:val="00BF08D1"/>
    <w:rsid w:val="00BF0FFC"/>
    <w:rsid w:val="00BF1664"/>
    <w:rsid w:val="00BF1B53"/>
    <w:rsid w:val="00BF1FD0"/>
    <w:rsid w:val="00BF241E"/>
    <w:rsid w:val="00BF27A2"/>
    <w:rsid w:val="00BF3171"/>
    <w:rsid w:val="00BF3211"/>
    <w:rsid w:val="00BF3283"/>
    <w:rsid w:val="00BF3D1D"/>
    <w:rsid w:val="00BF4C99"/>
    <w:rsid w:val="00BF517F"/>
    <w:rsid w:val="00BF5712"/>
    <w:rsid w:val="00BF5D96"/>
    <w:rsid w:val="00BF608F"/>
    <w:rsid w:val="00BF739D"/>
    <w:rsid w:val="00BF7885"/>
    <w:rsid w:val="00C00114"/>
    <w:rsid w:val="00C004BD"/>
    <w:rsid w:val="00C00991"/>
    <w:rsid w:val="00C00F05"/>
    <w:rsid w:val="00C01491"/>
    <w:rsid w:val="00C015C7"/>
    <w:rsid w:val="00C01BE1"/>
    <w:rsid w:val="00C01E23"/>
    <w:rsid w:val="00C02462"/>
    <w:rsid w:val="00C02736"/>
    <w:rsid w:val="00C02C0C"/>
    <w:rsid w:val="00C02C14"/>
    <w:rsid w:val="00C03401"/>
    <w:rsid w:val="00C0421B"/>
    <w:rsid w:val="00C04269"/>
    <w:rsid w:val="00C04970"/>
    <w:rsid w:val="00C052C1"/>
    <w:rsid w:val="00C05331"/>
    <w:rsid w:val="00C05520"/>
    <w:rsid w:val="00C05F75"/>
    <w:rsid w:val="00C06030"/>
    <w:rsid w:val="00C06C33"/>
    <w:rsid w:val="00C070A1"/>
    <w:rsid w:val="00C073D6"/>
    <w:rsid w:val="00C07F39"/>
    <w:rsid w:val="00C07FB4"/>
    <w:rsid w:val="00C10726"/>
    <w:rsid w:val="00C108B0"/>
    <w:rsid w:val="00C1179E"/>
    <w:rsid w:val="00C119B0"/>
    <w:rsid w:val="00C11B91"/>
    <w:rsid w:val="00C12FB3"/>
    <w:rsid w:val="00C1358A"/>
    <w:rsid w:val="00C13661"/>
    <w:rsid w:val="00C1388E"/>
    <w:rsid w:val="00C138E6"/>
    <w:rsid w:val="00C1393D"/>
    <w:rsid w:val="00C13D37"/>
    <w:rsid w:val="00C13EA2"/>
    <w:rsid w:val="00C14069"/>
    <w:rsid w:val="00C14159"/>
    <w:rsid w:val="00C14F92"/>
    <w:rsid w:val="00C14FBB"/>
    <w:rsid w:val="00C150D4"/>
    <w:rsid w:val="00C15169"/>
    <w:rsid w:val="00C153C4"/>
    <w:rsid w:val="00C153D8"/>
    <w:rsid w:val="00C1559D"/>
    <w:rsid w:val="00C155EB"/>
    <w:rsid w:val="00C15C08"/>
    <w:rsid w:val="00C164D9"/>
    <w:rsid w:val="00C16D75"/>
    <w:rsid w:val="00C16EA3"/>
    <w:rsid w:val="00C1769C"/>
    <w:rsid w:val="00C1778E"/>
    <w:rsid w:val="00C177FD"/>
    <w:rsid w:val="00C2019B"/>
    <w:rsid w:val="00C2022D"/>
    <w:rsid w:val="00C20D87"/>
    <w:rsid w:val="00C212BE"/>
    <w:rsid w:val="00C21A20"/>
    <w:rsid w:val="00C22A70"/>
    <w:rsid w:val="00C22EBF"/>
    <w:rsid w:val="00C23EBA"/>
    <w:rsid w:val="00C24126"/>
    <w:rsid w:val="00C24162"/>
    <w:rsid w:val="00C244DF"/>
    <w:rsid w:val="00C24566"/>
    <w:rsid w:val="00C24A34"/>
    <w:rsid w:val="00C24EF9"/>
    <w:rsid w:val="00C24F75"/>
    <w:rsid w:val="00C257FA"/>
    <w:rsid w:val="00C25C34"/>
    <w:rsid w:val="00C25F44"/>
    <w:rsid w:val="00C26303"/>
    <w:rsid w:val="00C268CA"/>
    <w:rsid w:val="00C269F6"/>
    <w:rsid w:val="00C26C15"/>
    <w:rsid w:val="00C307A8"/>
    <w:rsid w:val="00C3082A"/>
    <w:rsid w:val="00C30B8C"/>
    <w:rsid w:val="00C30CE4"/>
    <w:rsid w:val="00C31012"/>
    <w:rsid w:val="00C31844"/>
    <w:rsid w:val="00C31EA7"/>
    <w:rsid w:val="00C3200E"/>
    <w:rsid w:val="00C326A4"/>
    <w:rsid w:val="00C32700"/>
    <w:rsid w:val="00C32F18"/>
    <w:rsid w:val="00C3303A"/>
    <w:rsid w:val="00C335BE"/>
    <w:rsid w:val="00C33689"/>
    <w:rsid w:val="00C337A6"/>
    <w:rsid w:val="00C33B4B"/>
    <w:rsid w:val="00C33F40"/>
    <w:rsid w:val="00C3466A"/>
    <w:rsid w:val="00C34D27"/>
    <w:rsid w:val="00C3530A"/>
    <w:rsid w:val="00C354E1"/>
    <w:rsid w:val="00C35766"/>
    <w:rsid w:val="00C35A18"/>
    <w:rsid w:val="00C35CE3"/>
    <w:rsid w:val="00C36458"/>
    <w:rsid w:val="00C3676F"/>
    <w:rsid w:val="00C378B9"/>
    <w:rsid w:val="00C40178"/>
    <w:rsid w:val="00C4070B"/>
    <w:rsid w:val="00C40E6B"/>
    <w:rsid w:val="00C40F0F"/>
    <w:rsid w:val="00C4103C"/>
    <w:rsid w:val="00C41191"/>
    <w:rsid w:val="00C41D32"/>
    <w:rsid w:val="00C41F2B"/>
    <w:rsid w:val="00C4203D"/>
    <w:rsid w:val="00C42198"/>
    <w:rsid w:val="00C427E3"/>
    <w:rsid w:val="00C42A1E"/>
    <w:rsid w:val="00C42BC0"/>
    <w:rsid w:val="00C430A3"/>
    <w:rsid w:val="00C431BE"/>
    <w:rsid w:val="00C43643"/>
    <w:rsid w:val="00C43DE0"/>
    <w:rsid w:val="00C441AD"/>
    <w:rsid w:val="00C44776"/>
    <w:rsid w:val="00C44B6C"/>
    <w:rsid w:val="00C44BD2"/>
    <w:rsid w:val="00C44E0D"/>
    <w:rsid w:val="00C44E5F"/>
    <w:rsid w:val="00C44F55"/>
    <w:rsid w:val="00C4515F"/>
    <w:rsid w:val="00C45561"/>
    <w:rsid w:val="00C45B16"/>
    <w:rsid w:val="00C45C04"/>
    <w:rsid w:val="00C45CE0"/>
    <w:rsid w:val="00C45D3F"/>
    <w:rsid w:val="00C45F45"/>
    <w:rsid w:val="00C461E4"/>
    <w:rsid w:val="00C46F2B"/>
    <w:rsid w:val="00C478B7"/>
    <w:rsid w:val="00C478FD"/>
    <w:rsid w:val="00C47973"/>
    <w:rsid w:val="00C47C91"/>
    <w:rsid w:val="00C500F1"/>
    <w:rsid w:val="00C508D2"/>
    <w:rsid w:val="00C512D7"/>
    <w:rsid w:val="00C51346"/>
    <w:rsid w:val="00C51F73"/>
    <w:rsid w:val="00C51F82"/>
    <w:rsid w:val="00C525E5"/>
    <w:rsid w:val="00C52905"/>
    <w:rsid w:val="00C52A48"/>
    <w:rsid w:val="00C533DF"/>
    <w:rsid w:val="00C53461"/>
    <w:rsid w:val="00C5391B"/>
    <w:rsid w:val="00C53E95"/>
    <w:rsid w:val="00C54FCE"/>
    <w:rsid w:val="00C55081"/>
    <w:rsid w:val="00C55134"/>
    <w:rsid w:val="00C5516A"/>
    <w:rsid w:val="00C55438"/>
    <w:rsid w:val="00C5544B"/>
    <w:rsid w:val="00C562F3"/>
    <w:rsid w:val="00C56C8E"/>
    <w:rsid w:val="00C5700D"/>
    <w:rsid w:val="00C576E9"/>
    <w:rsid w:val="00C6053E"/>
    <w:rsid w:val="00C607A2"/>
    <w:rsid w:val="00C60A06"/>
    <w:rsid w:val="00C612CC"/>
    <w:rsid w:val="00C61C94"/>
    <w:rsid w:val="00C61DEB"/>
    <w:rsid w:val="00C62138"/>
    <w:rsid w:val="00C62781"/>
    <w:rsid w:val="00C64024"/>
    <w:rsid w:val="00C641A3"/>
    <w:rsid w:val="00C64606"/>
    <w:rsid w:val="00C647AC"/>
    <w:rsid w:val="00C6481F"/>
    <w:rsid w:val="00C65B43"/>
    <w:rsid w:val="00C66468"/>
    <w:rsid w:val="00C670F7"/>
    <w:rsid w:val="00C6715F"/>
    <w:rsid w:val="00C67331"/>
    <w:rsid w:val="00C67A45"/>
    <w:rsid w:val="00C67CA2"/>
    <w:rsid w:val="00C67CC3"/>
    <w:rsid w:val="00C70385"/>
    <w:rsid w:val="00C70B44"/>
    <w:rsid w:val="00C71142"/>
    <w:rsid w:val="00C71376"/>
    <w:rsid w:val="00C718CE"/>
    <w:rsid w:val="00C71D5E"/>
    <w:rsid w:val="00C71FF6"/>
    <w:rsid w:val="00C72074"/>
    <w:rsid w:val="00C72102"/>
    <w:rsid w:val="00C7225C"/>
    <w:rsid w:val="00C725B5"/>
    <w:rsid w:val="00C72CB2"/>
    <w:rsid w:val="00C736C4"/>
    <w:rsid w:val="00C73AC4"/>
    <w:rsid w:val="00C73B79"/>
    <w:rsid w:val="00C73D94"/>
    <w:rsid w:val="00C74132"/>
    <w:rsid w:val="00C745DA"/>
    <w:rsid w:val="00C75065"/>
    <w:rsid w:val="00C751E0"/>
    <w:rsid w:val="00C75228"/>
    <w:rsid w:val="00C7578E"/>
    <w:rsid w:val="00C75854"/>
    <w:rsid w:val="00C7586B"/>
    <w:rsid w:val="00C75FCE"/>
    <w:rsid w:val="00C760E6"/>
    <w:rsid w:val="00C760FC"/>
    <w:rsid w:val="00C777E0"/>
    <w:rsid w:val="00C77A6D"/>
    <w:rsid w:val="00C802AA"/>
    <w:rsid w:val="00C804FA"/>
    <w:rsid w:val="00C808C8"/>
    <w:rsid w:val="00C80F73"/>
    <w:rsid w:val="00C811E4"/>
    <w:rsid w:val="00C815DD"/>
    <w:rsid w:val="00C8173D"/>
    <w:rsid w:val="00C821A3"/>
    <w:rsid w:val="00C8250E"/>
    <w:rsid w:val="00C82885"/>
    <w:rsid w:val="00C8299A"/>
    <w:rsid w:val="00C82C1B"/>
    <w:rsid w:val="00C8338D"/>
    <w:rsid w:val="00C8340C"/>
    <w:rsid w:val="00C838B3"/>
    <w:rsid w:val="00C83BF8"/>
    <w:rsid w:val="00C83C3E"/>
    <w:rsid w:val="00C83D65"/>
    <w:rsid w:val="00C83DF4"/>
    <w:rsid w:val="00C84012"/>
    <w:rsid w:val="00C848EF"/>
    <w:rsid w:val="00C853F6"/>
    <w:rsid w:val="00C85AAD"/>
    <w:rsid w:val="00C85C2B"/>
    <w:rsid w:val="00C8648F"/>
    <w:rsid w:val="00C86FE5"/>
    <w:rsid w:val="00C8779D"/>
    <w:rsid w:val="00C87C8E"/>
    <w:rsid w:val="00C91B4B"/>
    <w:rsid w:val="00C9278A"/>
    <w:rsid w:val="00C92A30"/>
    <w:rsid w:val="00C92CCC"/>
    <w:rsid w:val="00C932D5"/>
    <w:rsid w:val="00C9354A"/>
    <w:rsid w:val="00C94752"/>
    <w:rsid w:val="00C948B9"/>
    <w:rsid w:val="00C94F33"/>
    <w:rsid w:val="00C94F8B"/>
    <w:rsid w:val="00C9516F"/>
    <w:rsid w:val="00C9567A"/>
    <w:rsid w:val="00C95B2F"/>
    <w:rsid w:val="00C95CD3"/>
    <w:rsid w:val="00C961D9"/>
    <w:rsid w:val="00C964C8"/>
    <w:rsid w:val="00C9655A"/>
    <w:rsid w:val="00C965B9"/>
    <w:rsid w:val="00C973ED"/>
    <w:rsid w:val="00C97967"/>
    <w:rsid w:val="00CA12C6"/>
    <w:rsid w:val="00CA1ED8"/>
    <w:rsid w:val="00CA2510"/>
    <w:rsid w:val="00CA25C2"/>
    <w:rsid w:val="00CA2A82"/>
    <w:rsid w:val="00CA2BB2"/>
    <w:rsid w:val="00CA3980"/>
    <w:rsid w:val="00CA3FB5"/>
    <w:rsid w:val="00CA40A2"/>
    <w:rsid w:val="00CA4365"/>
    <w:rsid w:val="00CA48CD"/>
    <w:rsid w:val="00CA4B92"/>
    <w:rsid w:val="00CA4BBB"/>
    <w:rsid w:val="00CA5226"/>
    <w:rsid w:val="00CA5228"/>
    <w:rsid w:val="00CA5648"/>
    <w:rsid w:val="00CA6197"/>
    <w:rsid w:val="00CA637B"/>
    <w:rsid w:val="00CA65AE"/>
    <w:rsid w:val="00CA6D21"/>
    <w:rsid w:val="00CA70AC"/>
    <w:rsid w:val="00CA72A7"/>
    <w:rsid w:val="00CA7603"/>
    <w:rsid w:val="00CA76FF"/>
    <w:rsid w:val="00CA7FC0"/>
    <w:rsid w:val="00CB0460"/>
    <w:rsid w:val="00CB0C3A"/>
    <w:rsid w:val="00CB0C78"/>
    <w:rsid w:val="00CB0FAF"/>
    <w:rsid w:val="00CB1210"/>
    <w:rsid w:val="00CB1624"/>
    <w:rsid w:val="00CB16C9"/>
    <w:rsid w:val="00CB1BB5"/>
    <w:rsid w:val="00CB2090"/>
    <w:rsid w:val="00CB213D"/>
    <w:rsid w:val="00CB2914"/>
    <w:rsid w:val="00CB29A5"/>
    <w:rsid w:val="00CB3252"/>
    <w:rsid w:val="00CB331F"/>
    <w:rsid w:val="00CB3391"/>
    <w:rsid w:val="00CB3A60"/>
    <w:rsid w:val="00CB403B"/>
    <w:rsid w:val="00CB486B"/>
    <w:rsid w:val="00CB521E"/>
    <w:rsid w:val="00CB5AB5"/>
    <w:rsid w:val="00CB5B39"/>
    <w:rsid w:val="00CB5BF0"/>
    <w:rsid w:val="00CB63E2"/>
    <w:rsid w:val="00CB6404"/>
    <w:rsid w:val="00CB6998"/>
    <w:rsid w:val="00CB6A36"/>
    <w:rsid w:val="00CB6DE4"/>
    <w:rsid w:val="00CB7065"/>
    <w:rsid w:val="00CB73AB"/>
    <w:rsid w:val="00CB796C"/>
    <w:rsid w:val="00CB7AAD"/>
    <w:rsid w:val="00CB7B35"/>
    <w:rsid w:val="00CC0060"/>
    <w:rsid w:val="00CC0B9F"/>
    <w:rsid w:val="00CC0BC7"/>
    <w:rsid w:val="00CC1461"/>
    <w:rsid w:val="00CC1520"/>
    <w:rsid w:val="00CC19C7"/>
    <w:rsid w:val="00CC19F3"/>
    <w:rsid w:val="00CC1C35"/>
    <w:rsid w:val="00CC1CD3"/>
    <w:rsid w:val="00CC28E0"/>
    <w:rsid w:val="00CC308E"/>
    <w:rsid w:val="00CC40AB"/>
    <w:rsid w:val="00CC4A70"/>
    <w:rsid w:val="00CC4D7B"/>
    <w:rsid w:val="00CC5580"/>
    <w:rsid w:val="00CC55D0"/>
    <w:rsid w:val="00CC5DE4"/>
    <w:rsid w:val="00CC6069"/>
    <w:rsid w:val="00CC67B6"/>
    <w:rsid w:val="00CC6AA2"/>
    <w:rsid w:val="00CC7464"/>
    <w:rsid w:val="00CD0110"/>
    <w:rsid w:val="00CD031B"/>
    <w:rsid w:val="00CD03C5"/>
    <w:rsid w:val="00CD0B59"/>
    <w:rsid w:val="00CD0F72"/>
    <w:rsid w:val="00CD1598"/>
    <w:rsid w:val="00CD1A35"/>
    <w:rsid w:val="00CD21D5"/>
    <w:rsid w:val="00CD2352"/>
    <w:rsid w:val="00CD2AA7"/>
    <w:rsid w:val="00CD2CC9"/>
    <w:rsid w:val="00CD2EF2"/>
    <w:rsid w:val="00CD2F71"/>
    <w:rsid w:val="00CD3431"/>
    <w:rsid w:val="00CD4392"/>
    <w:rsid w:val="00CD43FC"/>
    <w:rsid w:val="00CD4AED"/>
    <w:rsid w:val="00CD4F91"/>
    <w:rsid w:val="00CD5178"/>
    <w:rsid w:val="00CD5688"/>
    <w:rsid w:val="00CD5ACD"/>
    <w:rsid w:val="00CD5F6A"/>
    <w:rsid w:val="00CD642B"/>
    <w:rsid w:val="00CD7AB6"/>
    <w:rsid w:val="00CE0CEE"/>
    <w:rsid w:val="00CE0F51"/>
    <w:rsid w:val="00CE1D73"/>
    <w:rsid w:val="00CE1DAE"/>
    <w:rsid w:val="00CE2193"/>
    <w:rsid w:val="00CE27CE"/>
    <w:rsid w:val="00CE2D46"/>
    <w:rsid w:val="00CE30FC"/>
    <w:rsid w:val="00CE3263"/>
    <w:rsid w:val="00CE33DB"/>
    <w:rsid w:val="00CE3842"/>
    <w:rsid w:val="00CE3D22"/>
    <w:rsid w:val="00CE4048"/>
    <w:rsid w:val="00CE430C"/>
    <w:rsid w:val="00CE4439"/>
    <w:rsid w:val="00CE44BE"/>
    <w:rsid w:val="00CE48CB"/>
    <w:rsid w:val="00CE4944"/>
    <w:rsid w:val="00CE49AF"/>
    <w:rsid w:val="00CE4B8E"/>
    <w:rsid w:val="00CE59A5"/>
    <w:rsid w:val="00CE5C59"/>
    <w:rsid w:val="00CE6139"/>
    <w:rsid w:val="00CE635B"/>
    <w:rsid w:val="00CE69F4"/>
    <w:rsid w:val="00CE6A30"/>
    <w:rsid w:val="00CE6A73"/>
    <w:rsid w:val="00CE6C06"/>
    <w:rsid w:val="00CE6C91"/>
    <w:rsid w:val="00CE7CB1"/>
    <w:rsid w:val="00CE7EEF"/>
    <w:rsid w:val="00CF038B"/>
    <w:rsid w:val="00CF0654"/>
    <w:rsid w:val="00CF0827"/>
    <w:rsid w:val="00CF0D2A"/>
    <w:rsid w:val="00CF1819"/>
    <w:rsid w:val="00CF1F1C"/>
    <w:rsid w:val="00CF20B0"/>
    <w:rsid w:val="00CF2225"/>
    <w:rsid w:val="00CF2B9A"/>
    <w:rsid w:val="00CF34A9"/>
    <w:rsid w:val="00CF3569"/>
    <w:rsid w:val="00CF3959"/>
    <w:rsid w:val="00CF3BF0"/>
    <w:rsid w:val="00CF4764"/>
    <w:rsid w:val="00CF4946"/>
    <w:rsid w:val="00CF4B28"/>
    <w:rsid w:val="00CF5091"/>
    <w:rsid w:val="00CF5BEA"/>
    <w:rsid w:val="00CF614F"/>
    <w:rsid w:val="00CF6443"/>
    <w:rsid w:val="00CF6916"/>
    <w:rsid w:val="00CF7A40"/>
    <w:rsid w:val="00CF7D86"/>
    <w:rsid w:val="00D01766"/>
    <w:rsid w:val="00D01D43"/>
    <w:rsid w:val="00D02118"/>
    <w:rsid w:val="00D022D5"/>
    <w:rsid w:val="00D0260A"/>
    <w:rsid w:val="00D027EA"/>
    <w:rsid w:val="00D02AA7"/>
    <w:rsid w:val="00D03399"/>
    <w:rsid w:val="00D03B22"/>
    <w:rsid w:val="00D0407D"/>
    <w:rsid w:val="00D04BBF"/>
    <w:rsid w:val="00D0544A"/>
    <w:rsid w:val="00D055FA"/>
    <w:rsid w:val="00D05C42"/>
    <w:rsid w:val="00D05F9C"/>
    <w:rsid w:val="00D06798"/>
    <w:rsid w:val="00D06CFB"/>
    <w:rsid w:val="00D07212"/>
    <w:rsid w:val="00D07734"/>
    <w:rsid w:val="00D07C23"/>
    <w:rsid w:val="00D10A5E"/>
    <w:rsid w:val="00D11328"/>
    <w:rsid w:val="00D11598"/>
    <w:rsid w:val="00D1179B"/>
    <w:rsid w:val="00D11B27"/>
    <w:rsid w:val="00D11E67"/>
    <w:rsid w:val="00D1224C"/>
    <w:rsid w:val="00D13116"/>
    <w:rsid w:val="00D13532"/>
    <w:rsid w:val="00D1463C"/>
    <w:rsid w:val="00D146C1"/>
    <w:rsid w:val="00D14885"/>
    <w:rsid w:val="00D148E7"/>
    <w:rsid w:val="00D157FD"/>
    <w:rsid w:val="00D15C59"/>
    <w:rsid w:val="00D16326"/>
    <w:rsid w:val="00D1667E"/>
    <w:rsid w:val="00D1675A"/>
    <w:rsid w:val="00D168B8"/>
    <w:rsid w:val="00D16FB5"/>
    <w:rsid w:val="00D173E7"/>
    <w:rsid w:val="00D177D3"/>
    <w:rsid w:val="00D17869"/>
    <w:rsid w:val="00D17C84"/>
    <w:rsid w:val="00D17D47"/>
    <w:rsid w:val="00D21325"/>
    <w:rsid w:val="00D21356"/>
    <w:rsid w:val="00D215B2"/>
    <w:rsid w:val="00D2160C"/>
    <w:rsid w:val="00D21657"/>
    <w:rsid w:val="00D21773"/>
    <w:rsid w:val="00D21942"/>
    <w:rsid w:val="00D229FE"/>
    <w:rsid w:val="00D23188"/>
    <w:rsid w:val="00D23521"/>
    <w:rsid w:val="00D23822"/>
    <w:rsid w:val="00D24468"/>
    <w:rsid w:val="00D246C8"/>
    <w:rsid w:val="00D24BF5"/>
    <w:rsid w:val="00D2540C"/>
    <w:rsid w:val="00D257F1"/>
    <w:rsid w:val="00D25A59"/>
    <w:rsid w:val="00D266EB"/>
    <w:rsid w:val="00D2686E"/>
    <w:rsid w:val="00D26944"/>
    <w:rsid w:val="00D26D8D"/>
    <w:rsid w:val="00D26E5E"/>
    <w:rsid w:val="00D27364"/>
    <w:rsid w:val="00D2744B"/>
    <w:rsid w:val="00D2779A"/>
    <w:rsid w:val="00D30B49"/>
    <w:rsid w:val="00D31213"/>
    <w:rsid w:val="00D31277"/>
    <w:rsid w:val="00D31422"/>
    <w:rsid w:val="00D315E6"/>
    <w:rsid w:val="00D31856"/>
    <w:rsid w:val="00D32002"/>
    <w:rsid w:val="00D32197"/>
    <w:rsid w:val="00D323FA"/>
    <w:rsid w:val="00D32A90"/>
    <w:rsid w:val="00D32C02"/>
    <w:rsid w:val="00D32DD6"/>
    <w:rsid w:val="00D3386D"/>
    <w:rsid w:val="00D33F19"/>
    <w:rsid w:val="00D33FA2"/>
    <w:rsid w:val="00D34092"/>
    <w:rsid w:val="00D34132"/>
    <w:rsid w:val="00D34912"/>
    <w:rsid w:val="00D352CC"/>
    <w:rsid w:val="00D3598E"/>
    <w:rsid w:val="00D35BE4"/>
    <w:rsid w:val="00D36A89"/>
    <w:rsid w:val="00D3715D"/>
    <w:rsid w:val="00D37424"/>
    <w:rsid w:val="00D379EA"/>
    <w:rsid w:val="00D37C56"/>
    <w:rsid w:val="00D37F2B"/>
    <w:rsid w:val="00D37FC7"/>
    <w:rsid w:val="00D407A3"/>
    <w:rsid w:val="00D40CF2"/>
    <w:rsid w:val="00D41094"/>
    <w:rsid w:val="00D419A2"/>
    <w:rsid w:val="00D41D58"/>
    <w:rsid w:val="00D41FBD"/>
    <w:rsid w:val="00D4226C"/>
    <w:rsid w:val="00D4375C"/>
    <w:rsid w:val="00D4429D"/>
    <w:rsid w:val="00D4442F"/>
    <w:rsid w:val="00D44C04"/>
    <w:rsid w:val="00D44F84"/>
    <w:rsid w:val="00D451FF"/>
    <w:rsid w:val="00D45A82"/>
    <w:rsid w:val="00D45E72"/>
    <w:rsid w:val="00D465E1"/>
    <w:rsid w:val="00D469B0"/>
    <w:rsid w:val="00D46F8C"/>
    <w:rsid w:val="00D471AD"/>
    <w:rsid w:val="00D47961"/>
    <w:rsid w:val="00D50547"/>
    <w:rsid w:val="00D50C0B"/>
    <w:rsid w:val="00D51951"/>
    <w:rsid w:val="00D5245C"/>
    <w:rsid w:val="00D524C3"/>
    <w:rsid w:val="00D526B0"/>
    <w:rsid w:val="00D527CE"/>
    <w:rsid w:val="00D52856"/>
    <w:rsid w:val="00D52A5F"/>
    <w:rsid w:val="00D52B8C"/>
    <w:rsid w:val="00D53467"/>
    <w:rsid w:val="00D534CF"/>
    <w:rsid w:val="00D53616"/>
    <w:rsid w:val="00D53C6E"/>
    <w:rsid w:val="00D54070"/>
    <w:rsid w:val="00D54994"/>
    <w:rsid w:val="00D549AA"/>
    <w:rsid w:val="00D55024"/>
    <w:rsid w:val="00D553BF"/>
    <w:rsid w:val="00D5547D"/>
    <w:rsid w:val="00D56B58"/>
    <w:rsid w:val="00D57020"/>
    <w:rsid w:val="00D5774D"/>
    <w:rsid w:val="00D5789A"/>
    <w:rsid w:val="00D57BB3"/>
    <w:rsid w:val="00D57C06"/>
    <w:rsid w:val="00D57F14"/>
    <w:rsid w:val="00D60617"/>
    <w:rsid w:val="00D60CF4"/>
    <w:rsid w:val="00D60D9A"/>
    <w:rsid w:val="00D625CC"/>
    <w:rsid w:val="00D62791"/>
    <w:rsid w:val="00D62B43"/>
    <w:rsid w:val="00D634F1"/>
    <w:rsid w:val="00D63968"/>
    <w:rsid w:val="00D63DFB"/>
    <w:rsid w:val="00D64135"/>
    <w:rsid w:val="00D65167"/>
    <w:rsid w:val="00D652E5"/>
    <w:rsid w:val="00D65E0E"/>
    <w:rsid w:val="00D65EC7"/>
    <w:rsid w:val="00D66286"/>
    <w:rsid w:val="00D663D7"/>
    <w:rsid w:val="00D66D97"/>
    <w:rsid w:val="00D66EE5"/>
    <w:rsid w:val="00D673CC"/>
    <w:rsid w:val="00D67781"/>
    <w:rsid w:val="00D67D5C"/>
    <w:rsid w:val="00D67E63"/>
    <w:rsid w:val="00D67FD5"/>
    <w:rsid w:val="00D702B6"/>
    <w:rsid w:val="00D702EA"/>
    <w:rsid w:val="00D707F0"/>
    <w:rsid w:val="00D71145"/>
    <w:rsid w:val="00D713ED"/>
    <w:rsid w:val="00D717FB"/>
    <w:rsid w:val="00D719CF"/>
    <w:rsid w:val="00D72352"/>
    <w:rsid w:val="00D72684"/>
    <w:rsid w:val="00D7307D"/>
    <w:rsid w:val="00D731F9"/>
    <w:rsid w:val="00D736DC"/>
    <w:rsid w:val="00D7397B"/>
    <w:rsid w:val="00D74359"/>
    <w:rsid w:val="00D74AFE"/>
    <w:rsid w:val="00D7505F"/>
    <w:rsid w:val="00D75154"/>
    <w:rsid w:val="00D7574D"/>
    <w:rsid w:val="00D75937"/>
    <w:rsid w:val="00D75E3A"/>
    <w:rsid w:val="00D75EBB"/>
    <w:rsid w:val="00D76498"/>
    <w:rsid w:val="00D76CC3"/>
    <w:rsid w:val="00D76FCF"/>
    <w:rsid w:val="00D770B9"/>
    <w:rsid w:val="00D77360"/>
    <w:rsid w:val="00D77E8F"/>
    <w:rsid w:val="00D8046B"/>
    <w:rsid w:val="00D80A9C"/>
    <w:rsid w:val="00D80ED6"/>
    <w:rsid w:val="00D81440"/>
    <w:rsid w:val="00D814A0"/>
    <w:rsid w:val="00D81AFF"/>
    <w:rsid w:val="00D81C1B"/>
    <w:rsid w:val="00D822E9"/>
    <w:rsid w:val="00D825FF"/>
    <w:rsid w:val="00D82A75"/>
    <w:rsid w:val="00D82D34"/>
    <w:rsid w:val="00D82DCE"/>
    <w:rsid w:val="00D82F42"/>
    <w:rsid w:val="00D83745"/>
    <w:rsid w:val="00D843A5"/>
    <w:rsid w:val="00D84F5D"/>
    <w:rsid w:val="00D853EC"/>
    <w:rsid w:val="00D8564C"/>
    <w:rsid w:val="00D86467"/>
    <w:rsid w:val="00D8693E"/>
    <w:rsid w:val="00D8698A"/>
    <w:rsid w:val="00D86AC3"/>
    <w:rsid w:val="00D874AB"/>
    <w:rsid w:val="00D8789B"/>
    <w:rsid w:val="00D878D9"/>
    <w:rsid w:val="00D8795A"/>
    <w:rsid w:val="00D87BB9"/>
    <w:rsid w:val="00D9046E"/>
    <w:rsid w:val="00D90CBE"/>
    <w:rsid w:val="00D90E65"/>
    <w:rsid w:val="00D91222"/>
    <w:rsid w:val="00D91613"/>
    <w:rsid w:val="00D92409"/>
    <w:rsid w:val="00D92729"/>
    <w:rsid w:val="00D9285C"/>
    <w:rsid w:val="00D92AA2"/>
    <w:rsid w:val="00D93CAA"/>
    <w:rsid w:val="00D93DD1"/>
    <w:rsid w:val="00D94EEE"/>
    <w:rsid w:val="00D95187"/>
    <w:rsid w:val="00D9549D"/>
    <w:rsid w:val="00D9711D"/>
    <w:rsid w:val="00D97514"/>
    <w:rsid w:val="00D97C2D"/>
    <w:rsid w:val="00DA048E"/>
    <w:rsid w:val="00DA0731"/>
    <w:rsid w:val="00DA0B07"/>
    <w:rsid w:val="00DA0D39"/>
    <w:rsid w:val="00DA1B5B"/>
    <w:rsid w:val="00DA1BFE"/>
    <w:rsid w:val="00DA1C2C"/>
    <w:rsid w:val="00DA24E6"/>
    <w:rsid w:val="00DA2625"/>
    <w:rsid w:val="00DA2977"/>
    <w:rsid w:val="00DA2E0A"/>
    <w:rsid w:val="00DA4ABE"/>
    <w:rsid w:val="00DA5554"/>
    <w:rsid w:val="00DA559F"/>
    <w:rsid w:val="00DA5AAC"/>
    <w:rsid w:val="00DA5D4C"/>
    <w:rsid w:val="00DA5F5C"/>
    <w:rsid w:val="00DA6070"/>
    <w:rsid w:val="00DA631C"/>
    <w:rsid w:val="00DA660F"/>
    <w:rsid w:val="00DA6C70"/>
    <w:rsid w:val="00DA7394"/>
    <w:rsid w:val="00DA7D49"/>
    <w:rsid w:val="00DB085F"/>
    <w:rsid w:val="00DB0C7B"/>
    <w:rsid w:val="00DB0E27"/>
    <w:rsid w:val="00DB0E67"/>
    <w:rsid w:val="00DB15E0"/>
    <w:rsid w:val="00DB1EC8"/>
    <w:rsid w:val="00DB253A"/>
    <w:rsid w:val="00DB2B1E"/>
    <w:rsid w:val="00DB2EC2"/>
    <w:rsid w:val="00DB3EFF"/>
    <w:rsid w:val="00DB43C9"/>
    <w:rsid w:val="00DB4973"/>
    <w:rsid w:val="00DB4CE1"/>
    <w:rsid w:val="00DB5211"/>
    <w:rsid w:val="00DB5453"/>
    <w:rsid w:val="00DB586B"/>
    <w:rsid w:val="00DB5F15"/>
    <w:rsid w:val="00DB6667"/>
    <w:rsid w:val="00DB66DC"/>
    <w:rsid w:val="00DB69B4"/>
    <w:rsid w:val="00DB6B55"/>
    <w:rsid w:val="00DB76F5"/>
    <w:rsid w:val="00DB7CCD"/>
    <w:rsid w:val="00DC009D"/>
    <w:rsid w:val="00DC015B"/>
    <w:rsid w:val="00DC0AEC"/>
    <w:rsid w:val="00DC0B62"/>
    <w:rsid w:val="00DC0D6D"/>
    <w:rsid w:val="00DC101D"/>
    <w:rsid w:val="00DC1283"/>
    <w:rsid w:val="00DC1BEA"/>
    <w:rsid w:val="00DC2A2E"/>
    <w:rsid w:val="00DC2A61"/>
    <w:rsid w:val="00DC2A92"/>
    <w:rsid w:val="00DC2CBC"/>
    <w:rsid w:val="00DC3B8D"/>
    <w:rsid w:val="00DC40C6"/>
    <w:rsid w:val="00DC5179"/>
    <w:rsid w:val="00DC53D6"/>
    <w:rsid w:val="00DC58D6"/>
    <w:rsid w:val="00DC5930"/>
    <w:rsid w:val="00DC60FA"/>
    <w:rsid w:val="00DC64BA"/>
    <w:rsid w:val="00DC66A5"/>
    <w:rsid w:val="00DC6755"/>
    <w:rsid w:val="00DC6EBA"/>
    <w:rsid w:val="00DC7C96"/>
    <w:rsid w:val="00DC7DD0"/>
    <w:rsid w:val="00DD045B"/>
    <w:rsid w:val="00DD0909"/>
    <w:rsid w:val="00DD091F"/>
    <w:rsid w:val="00DD0BD6"/>
    <w:rsid w:val="00DD1010"/>
    <w:rsid w:val="00DD1184"/>
    <w:rsid w:val="00DD120A"/>
    <w:rsid w:val="00DD16FD"/>
    <w:rsid w:val="00DD178B"/>
    <w:rsid w:val="00DD26D7"/>
    <w:rsid w:val="00DD32C3"/>
    <w:rsid w:val="00DD3AAF"/>
    <w:rsid w:val="00DD4162"/>
    <w:rsid w:val="00DD4172"/>
    <w:rsid w:val="00DD4AC0"/>
    <w:rsid w:val="00DD4B4B"/>
    <w:rsid w:val="00DD4D54"/>
    <w:rsid w:val="00DD4F13"/>
    <w:rsid w:val="00DD551F"/>
    <w:rsid w:val="00DD55FE"/>
    <w:rsid w:val="00DD585D"/>
    <w:rsid w:val="00DD5D44"/>
    <w:rsid w:val="00DD6212"/>
    <w:rsid w:val="00DD6439"/>
    <w:rsid w:val="00DD6BB1"/>
    <w:rsid w:val="00DD6C86"/>
    <w:rsid w:val="00DD72C0"/>
    <w:rsid w:val="00DD72C5"/>
    <w:rsid w:val="00DD745E"/>
    <w:rsid w:val="00DD74BB"/>
    <w:rsid w:val="00DD790A"/>
    <w:rsid w:val="00DD7AC5"/>
    <w:rsid w:val="00DD7D55"/>
    <w:rsid w:val="00DE0163"/>
    <w:rsid w:val="00DE0364"/>
    <w:rsid w:val="00DE049A"/>
    <w:rsid w:val="00DE054F"/>
    <w:rsid w:val="00DE0550"/>
    <w:rsid w:val="00DE0E7E"/>
    <w:rsid w:val="00DE0EC7"/>
    <w:rsid w:val="00DE102F"/>
    <w:rsid w:val="00DE16CB"/>
    <w:rsid w:val="00DE2731"/>
    <w:rsid w:val="00DE281D"/>
    <w:rsid w:val="00DE2AC5"/>
    <w:rsid w:val="00DE3257"/>
    <w:rsid w:val="00DE3526"/>
    <w:rsid w:val="00DE45BD"/>
    <w:rsid w:val="00DE462D"/>
    <w:rsid w:val="00DE4D18"/>
    <w:rsid w:val="00DE5058"/>
    <w:rsid w:val="00DE512A"/>
    <w:rsid w:val="00DE51A0"/>
    <w:rsid w:val="00DE5995"/>
    <w:rsid w:val="00DE5A91"/>
    <w:rsid w:val="00DE5CAD"/>
    <w:rsid w:val="00DE5DD7"/>
    <w:rsid w:val="00DE5EEE"/>
    <w:rsid w:val="00DE6603"/>
    <w:rsid w:val="00DE6BCA"/>
    <w:rsid w:val="00DE6CD3"/>
    <w:rsid w:val="00DE6E4E"/>
    <w:rsid w:val="00DE6F4F"/>
    <w:rsid w:val="00DE746B"/>
    <w:rsid w:val="00DE7856"/>
    <w:rsid w:val="00DE79E1"/>
    <w:rsid w:val="00DE7ADF"/>
    <w:rsid w:val="00DE7D95"/>
    <w:rsid w:val="00DE7F45"/>
    <w:rsid w:val="00DF0ADA"/>
    <w:rsid w:val="00DF1155"/>
    <w:rsid w:val="00DF1326"/>
    <w:rsid w:val="00DF1B0E"/>
    <w:rsid w:val="00DF1BFD"/>
    <w:rsid w:val="00DF1DB8"/>
    <w:rsid w:val="00DF2013"/>
    <w:rsid w:val="00DF217E"/>
    <w:rsid w:val="00DF32C2"/>
    <w:rsid w:val="00DF360C"/>
    <w:rsid w:val="00DF3B08"/>
    <w:rsid w:val="00DF445D"/>
    <w:rsid w:val="00DF4C04"/>
    <w:rsid w:val="00DF4E6A"/>
    <w:rsid w:val="00DF6345"/>
    <w:rsid w:val="00DF666C"/>
    <w:rsid w:val="00DF66BC"/>
    <w:rsid w:val="00DF6874"/>
    <w:rsid w:val="00DF6BA9"/>
    <w:rsid w:val="00DF70B5"/>
    <w:rsid w:val="00DF7444"/>
    <w:rsid w:val="00DF7BBA"/>
    <w:rsid w:val="00E000AA"/>
    <w:rsid w:val="00E00324"/>
    <w:rsid w:val="00E0056A"/>
    <w:rsid w:val="00E00E35"/>
    <w:rsid w:val="00E012D3"/>
    <w:rsid w:val="00E01306"/>
    <w:rsid w:val="00E01AEB"/>
    <w:rsid w:val="00E01C03"/>
    <w:rsid w:val="00E01DE8"/>
    <w:rsid w:val="00E02329"/>
    <w:rsid w:val="00E02388"/>
    <w:rsid w:val="00E0244F"/>
    <w:rsid w:val="00E02660"/>
    <w:rsid w:val="00E03268"/>
    <w:rsid w:val="00E03778"/>
    <w:rsid w:val="00E03B07"/>
    <w:rsid w:val="00E03FC1"/>
    <w:rsid w:val="00E0442E"/>
    <w:rsid w:val="00E046E6"/>
    <w:rsid w:val="00E04883"/>
    <w:rsid w:val="00E04C97"/>
    <w:rsid w:val="00E04E6F"/>
    <w:rsid w:val="00E06203"/>
    <w:rsid w:val="00E069EA"/>
    <w:rsid w:val="00E0713C"/>
    <w:rsid w:val="00E07AAA"/>
    <w:rsid w:val="00E07B11"/>
    <w:rsid w:val="00E10716"/>
    <w:rsid w:val="00E10D85"/>
    <w:rsid w:val="00E11656"/>
    <w:rsid w:val="00E118B9"/>
    <w:rsid w:val="00E12C9E"/>
    <w:rsid w:val="00E12F8F"/>
    <w:rsid w:val="00E13226"/>
    <w:rsid w:val="00E1345C"/>
    <w:rsid w:val="00E13472"/>
    <w:rsid w:val="00E13890"/>
    <w:rsid w:val="00E14281"/>
    <w:rsid w:val="00E144F6"/>
    <w:rsid w:val="00E14A11"/>
    <w:rsid w:val="00E14F21"/>
    <w:rsid w:val="00E15383"/>
    <w:rsid w:val="00E155D3"/>
    <w:rsid w:val="00E155FC"/>
    <w:rsid w:val="00E1572C"/>
    <w:rsid w:val="00E15D3B"/>
    <w:rsid w:val="00E15F8F"/>
    <w:rsid w:val="00E16158"/>
    <w:rsid w:val="00E16DE1"/>
    <w:rsid w:val="00E17038"/>
    <w:rsid w:val="00E170D8"/>
    <w:rsid w:val="00E17100"/>
    <w:rsid w:val="00E171C7"/>
    <w:rsid w:val="00E175A2"/>
    <w:rsid w:val="00E1767B"/>
    <w:rsid w:val="00E17BD1"/>
    <w:rsid w:val="00E17D3E"/>
    <w:rsid w:val="00E20808"/>
    <w:rsid w:val="00E20EF5"/>
    <w:rsid w:val="00E2146B"/>
    <w:rsid w:val="00E2148E"/>
    <w:rsid w:val="00E215A1"/>
    <w:rsid w:val="00E224B8"/>
    <w:rsid w:val="00E22658"/>
    <w:rsid w:val="00E22D0C"/>
    <w:rsid w:val="00E23E2E"/>
    <w:rsid w:val="00E24725"/>
    <w:rsid w:val="00E24CD6"/>
    <w:rsid w:val="00E25546"/>
    <w:rsid w:val="00E256C8"/>
    <w:rsid w:val="00E25ACD"/>
    <w:rsid w:val="00E25BE5"/>
    <w:rsid w:val="00E25FFA"/>
    <w:rsid w:val="00E26509"/>
    <w:rsid w:val="00E26A3A"/>
    <w:rsid w:val="00E26B9C"/>
    <w:rsid w:val="00E26CCF"/>
    <w:rsid w:val="00E27269"/>
    <w:rsid w:val="00E2758A"/>
    <w:rsid w:val="00E30B43"/>
    <w:rsid w:val="00E30E65"/>
    <w:rsid w:val="00E3122C"/>
    <w:rsid w:val="00E31429"/>
    <w:rsid w:val="00E316E2"/>
    <w:rsid w:val="00E32C11"/>
    <w:rsid w:val="00E32DC5"/>
    <w:rsid w:val="00E32F36"/>
    <w:rsid w:val="00E3308D"/>
    <w:rsid w:val="00E33830"/>
    <w:rsid w:val="00E34951"/>
    <w:rsid w:val="00E34D1C"/>
    <w:rsid w:val="00E34EE9"/>
    <w:rsid w:val="00E35933"/>
    <w:rsid w:val="00E35E57"/>
    <w:rsid w:val="00E36E3C"/>
    <w:rsid w:val="00E37333"/>
    <w:rsid w:val="00E37775"/>
    <w:rsid w:val="00E379FA"/>
    <w:rsid w:val="00E37F19"/>
    <w:rsid w:val="00E401AE"/>
    <w:rsid w:val="00E41882"/>
    <w:rsid w:val="00E41A5B"/>
    <w:rsid w:val="00E41DD5"/>
    <w:rsid w:val="00E41E69"/>
    <w:rsid w:val="00E4221A"/>
    <w:rsid w:val="00E4223E"/>
    <w:rsid w:val="00E4229A"/>
    <w:rsid w:val="00E4433A"/>
    <w:rsid w:val="00E447A2"/>
    <w:rsid w:val="00E44C11"/>
    <w:rsid w:val="00E44FEB"/>
    <w:rsid w:val="00E452B1"/>
    <w:rsid w:val="00E45D93"/>
    <w:rsid w:val="00E4641F"/>
    <w:rsid w:val="00E4642A"/>
    <w:rsid w:val="00E46C11"/>
    <w:rsid w:val="00E4733F"/>
    <w:rsid w:val="00E47D98"/>
    <w:rsid w:val="00E50186"/>
    <w:rsid w:val="00E505AB"/>
    <w:rsid w:val="00E50774"/>
    <w:rsid w:val="00E518DD"/>
    <w:rsid w:val="00E51B42"/>
    <w:rsid w:val="00E51DA4"/>
    <w:rsid w:val="00E51F43"/>
    <w:rsid w:val="00E524D2"/>
    <w:rsid w:val="00E52512"/>
    <w:rsid w:val="00E52825"/>
    <w:rsid w:val="00E53586"/>
    <w:rsid w:val="00E5385E"/>
    <w:rsid w:val="00E53B95"/>
    <w:rsid w:val="00E53F95"/>
    <w:rsid w:val="00E54089"/>
    <w:rsid w:val="00E5411A"/>
    <w:rsid w:val="00E543ED"/>
    <w:rsid w:val="00E546DA"/>
    <w:rsid w:val="00E54A82"/>
    <w:rsid w:val="00E54AA3"/>
    <w:rsid w:val="00E54D23"/>
    <w:rsid w:val="00E54F70"/>
    <w:rsid w:val="00E557C6"/>
    <w:rsid w:val="00E55A7D"/>
    <w:rsid w:val="00E55C49"/>
    <w:rsid w:val="00E57088"/>
    <w:rsid w:val="00E57387"/>
    <w:rsid w:val="00E5754D"/>
    <w:rsid w:val="00E57A06"/>
    <w:rsid w:val="00E57BCC"/>
    <w:rsid w:val="00E57F6F"/>
    <w:rsid w:val="00E6003A"/>
    <w:rsid w:val="00E60174"/>
    <w:rsid w:val="00E601AB"/>
    <w:rsid w:val="00E60329"/>
    <w:rsid w:val="00E604D0"/>
    <w:rsid w:val="00E609C2"/>
    <w:rsid w:val="00E60CC4"/>
    <w:rsid w:val="00E60ED3"/>
    <w:rsid w:val="00E61434"/>
    <w:rsid w:val="00E616D0"/>
    <w:rsid w:val="00E619BB"/>
    <w:rsid w:val="00E6252E"/>
    <w:rsid w:val="00E6285F"/>
    <w:rsid w:val="00E62CF5"/>
    <w:rsid w:val="00E63F8F"/>
    <w:rsid w:val="00E645DA"/>
    <w:rsid w:val="00E64BC9"/>
    <w:rsid w:val="00E64D88"/>
    <w:rsid w:val="00E650EF"/>
    <w:rsid w:val="00E651DB"/>
    <w:rsid w:val="00E6557E"/>
    <w:rsid w:val="00E6586D"/>
    <w:rsid w:val="00E65C0E"/>
    <w:rsid w:val="00E65C56"/>
    <w:rsid w:val="00E66317"/>
    <w:rsid w:val="00E6759F"/>
    <w:rsid w:val="00E70501"/>
    <w:rsid w:val="00E70538"/>
    <w:rsid w:val="00E70810"/>
    <w:rsid w:val="00E70896"/>
    <w:rsid w:val="00E70CE5"/>
    <w:rsid w:val="00E7242F"/>
    <w:rsid w:val="00E72687"/>
    <w:rsid w:val="00E726C4"/>
    <w:rsid w:val="00E7284B"/>
    <w:rsid w:val="00E72AEE"/>
    <w:rsid w:val="00E73468"/>
    <w:rsid w:val="00E73A47"/>
    <w:rsid w:val="00E73A7E"/>
    <w:rsid w:val="00E73B61"/>
    <w:rsid w:val="00E73DBF"/>
    <w:rsid w:val="00E742E9"/>
    <w:rsid w:val="00E7530E"/>
    <w:rsid w:val="00E75343"/>
    <w:rsid w:val="00E7538A"/>
    <w:rsid w:val="00E7557D"/>
    <w:rsid w:val="00E75799"/>
    <w:rsid w:val="00E75961"/>
    <w:rsid w:val="00E75D69"/>
    <w:rsid w:val="00E75D82"/>
    <w:rsid w:val="00E75DF5"/>
    <w:rsid w:val="00E762C5"/>
    <w:rsid w:val="00E76567"/>
    <w:rsid w:val="00E76F3B"/>
    <w:rsid w:val="00E770FF"/>
    <w:rsid w:val="00E77571"/>
    <w:rsid w:val="00E77822"/>
    <w:rsid w:val="00E77D87"/>
    <w:rsid w:val="00E77F4E"/>
    <w:rsid w:val="00E8174A"/>
    <w:rsid w:val="00E81840"/>
    <w:rsid w:val="00E81C76"/>
    <w:rsid w:val="00E82FC2"/>
    <w:rsid w:val="00E83639"/>
    <w:rsid w:val="00E83FE8"/>
    <w:rsid w:val="00E84607"/>
    <w:rsid w:val="00E854A4"/>
    <w:rsid w:val="00E85BF5"/>
    <w:rsid w:val="00E85DA4"/>
    <w:rsid w:val="00E86560"/>
    <w:rsid w:val="00E870F5"/>
    <w:rsid w:val="00E8741B"/>
    <w:rsid w:val="00E8756D"/>
    <w:rsid w:val="00E87B34"/>
    <w:rsid w:val="00E9015B"/>
    <w:rsid w:val="00E90240"/>
    <w:rsid w:val="00E909D4"/>
    <w:rsid w:val="00E90C53"/>
    <w:rsid w:val="00E9178B"/>
    <w:rsid w:val="00E91971"/>
    <w:rsid w:val="00E91C49"/>
    <w:rsid w:val="00E92054"/>
    <w:rsid w:val="00E928BE"/>
    <w:rsid w:val="00E92B3F"/>
    <w:rsid w:val="00E93279"/>
    <w:rsid w:val="00E9338B"/>
    <w:rsid w:val="00E93757"/>
    <w:rsid w:val="00E93775"/>
    <w:rsid w:val="00E93970"/>
    <w:rsid w:val="00E93A3D"/>
    <w:rsid w:val="00E94047"/>
    <w:rsid w:val="00E94267"/>
    <w:rsid w:val="00E94B13"/>
    <w:rsid w:val="00E9608B"/>
    <w:rsid w:val="00E961E2"/>
    <w:rsid w:val="00E968A3"/>
    <w:rsid w:val="00E96978"/>
    <w:rsid w:val="00E970B4"/>
    <w:rsid w:val="00E97DAE"/>
    <w:rsid w:val="00EA08B0"/>
    <w:rsid w:val="00EA08C0"/>
    <w:rsid w:val="00EA0FF5"/>
    <w:rsid w:val="00EA10FA"/>
    <w:rsid w:val="00EA240F"/>
    <w:rsid w:val="00EA2B63"/>
    <w:rsid w:val="00EA2DB8"/>
    <w:rsid w:val="00EA319D"/>
    <w:rsid w:val="00EA3B21"/>
    <w:rsid w:val="00EA3FF1"/>
    <w:rsid w:val="00EA464E"/>
    <w:rsid w:val="00EA46FC"/>
    <w:rsid w:val="00EA4FE4"/>
    <w:rsid w:val="00EA589F"/>
    <w:rsid w:val="00EA5996"/>
    <w:rsid w:val="00EA5D31"/>
    <w:rsid w:val="00EA5E5E"/>
    <w:rsid w:val="00EA630C"/>
    <w:rsid w:val="00EA6386"/>
    <w:rsid w:val="00EA65D0"/>
    <w:rsid w:val="00EA6C2C"/>
    <w:rsid w:val="00EA6FEB"/>
    <w:rsid w:val="00EA7E5D"/>
    <w:rsid w:val="00EB0057"/>
    <w:rsid w:val="00EB03B2"/>
    <w:rsid w:val="00EB0672"/>
    <w:rsid w:val="00EB0A3A"/>
    <w:rsid w:val="00EB0A61"/>
    <w:rsid w:val="00EB10D5"/>
    <w:rsid w:val="00EB112D"/>
    <w:rsid w:val="00EB1EBA"/>
    <w:rsid w:val="00EB20DE"/>
    <w:rsid w:val="00EB2AE1"/>
    <w:rsid w:val="00EB4071"/>
    <w:rsid w:val="00EB4261"/>
    <w:rsid w:val="00EB49AD"/>
    <w:rsid w:val="00EB5975"/>
    <w:rsid w:val="00EB61E3"/>
    <w:rsid w:val="00EB64B8"/>
    <w:rsid w:val="00EB6AEC"/>
    <w:rsid w:val="00EB723D"/>
    <w:rsid w:val="00EB7573"/>
    <w:rsid w:val="00EC04F1"/>
    <w:rsid w:val="00EC06C4"/>
    <w:rsid w:val="00EC0C82"/>
    <w:rsid w:val="00EC10B2"/>
    <w:rsid w:val="00EC143C"/>
    <w:rsid w:val="00EC14AC"/>
    <w:rsid w:val="00EC1CEB"/>
    <w:rsid w:val="00EC1EE8"/>
    <w:rsid w:val="00EC23C6"/>
    <w:rsid w:val="00EC25E0"/>
    <w:rsid w:val="00EC2615"/>
    <w:rsid w:val="00EC2854"/>
    <w:rsid w:val="00EC2C8B"/>
    <w:rsid w:val="00EC3C6C"/>
    <w:rsid w:val="00EC3C9F"/>
    <w:rsid w:val="00EC40CB"/>
    <w:rsid w:val="00EC4110"/>
    <w:rsid w:val="00EC42CF"/>
    <w:rsid w:val="00EC508A"/>
    <w:rsid w:val="00EC57DD"/>
    <w:rsid w:val="00EC57F8"/>
    <w:rsid w:val="00EC5D12"/>
    <w:rsid w:val="00EC5E12"/>
    <w:rsid w:val="00EC5E5F"/>
    <w:rsid w:val="00EC5E96"/>
    <w:rsid w:val="00EC5FDE"/>
    <w:rsid w:val="00EC60ED"/>
    <w:rsid w:val="00EC6E86"/>
    <w:rsid w:val="00EC7283"/>
    <w:rsid w:val="00EC7287"/>
    <w:rsid w:val="00ED0C03"/>
    <w:rsid w:val="00ED12B5"/>
    <w:rsid w:val="00ED148E"/>
    <w:rsid w:val="00ED1C30"/>
    <w:rsid w:val="00ED1FC3"/>
    <w:rsid w:val="00ED2351"/>
    <w:rsid w:val="00ED319E"/>
    <w:rsid w:val="00ED356E"/>
    <w:rsid w:val="00ED36DA"/>
    <w:rsid w:val="00ED4CE1"/>
    <w:rsid w:val="00ED516D"/>
    <w:rsid w:val="00ED53AC"/>
    <w:rsid w:val="00ED5780"/>
    <w:rsid w:val="00ED5D4B"/>
    <w:rsid w:val="00ED5DE5"/>
    <w:rsid w:val="00ED66BB"/>
    <w:rsid w:val="00ED684D"/>
    <w:rsid w:val="00ED6942"/>
    <w:rsid w:val="00ED6E7A"/>
    <w:rsid w:val="00ED6EBA"/>
    <w:rsid w:val="00ED7168"/>
    <w:rsid w:val="00ED7322"/>
    <w:rsid w:val="00ED7669"/>
    <w:rsid w:val="00EE0018"/>
    <w:rsid w:val="00EE0336"/>
    <w:rsid w:val="00EE050B"/>
    <w:rsid w:val="00EE0C1F"/>
    <w:rsid w:val="00EE13D5"/>
    <w:rsid w:val="00EE14B9"/>
    <w:rsid w:val="00EE2003"/>
    <w:rsid w:val="00EE2945"/>
    <w:rsid w:val="00EE2E9E"/>
    <w:rsid w:val="00EE2FD7"/>
    <w:rsid w:val="00EE338A"/>
    <w:rsid w:val="00EE3524"/>
    <w:rsid w:val="00EE3C1A"/>
    <w:rsid w:val="00EE4206"/>
    <w:rsid w:val="00EE4362"/>
    <w:rsid w:val="00EE4510"/>
    <w:rsid w:val="00EE47FB"/>
    <w:rsid w:val="00EE4F15"/>
    <w:rsid w:val="00EE5043"/>
    <w:rsid w:val="00EE51AC"/>
    <w:rsid w:val="00EE5400"/>
    <w:rsid w:val="00EE541C"/>
    <w:rsid w:val="00EE5639"/>
    <w:rsid w:val="00EE61C6"/>
    <w:rsid w:val="00EE7113"/>
    <w:rsid w:val="00EE7A88"/>
    <w:rsid w:val="00EE7DF1"/>
    <w:rsid w:val="00EF0389"/>
    <w:rsid w:val="00EF06A7"/>
    <w:rsid w:val="00EF0D01"/>
    <w:rsid w:val="00EF1178"/>
    <w:rsid w:val="00EF130D"/>
    <w:rsid w:val="00EF134C"/>
    <w:rsid w:val="00EF1BB2"/>
    <w:rsid w:val="00EF2829"/>
    <w:rsid w:val="00EF28E7"/>
    <w:rsid w:val="00EF296A"/>
    <w:rsid w:val="00EF2A8F"/>
    <w:rsid w:val="00EF3008"/>
    <w:rsid w:val="00EF327F"/>
    <w:rsid w:val="00EF3432"/>
    <w:rsid w:val="00EF39DE"/>
    <w:rsid w:val="00EF3AE3"/>
    <w:rsid w:val="00EF41E0"/>
    <w:rsid w:val="00EF4FA7"/>
    <w:rsid w:val="00EF4FAA"/>
    <w:rsid w:val="00EF673C"/>
    <w:rsid w:val="00EF6CA7"/>
    <w:rsid w:val="00F0063E"/>
    <w:rsid w:val="00F009BB"/>
    <w:rsid w:val="00F009D3"/>
    <w:rsid w:val="00F00A3E"/>
    <w:rsid w:val="00F00C7A"/>
    <w:rsid w:val="00F00F14"/>
    <w:rsid w:val="00F01472"/>
    <w:rsid w:val="00F024BE"/>
    <w:rsid w:val="00F02BAF"/>
    <w:rsid w:val="00F039BF"/>
    <w:rsid w:val="00F03C89"/>
    <w:rsid w:val="00F050C0"/>
    <w:rsid w:val="00F05491"/>
    <w:rsid w:val="00F0558C"/>
    <w:rsid w:val="00F057AA"/>
    <w:rsid w:val="00F05D1D"/>
    <w:rsid w:val="00F0603D"/>
    <w:rsid w:val="00F07685"/>
    <w:rsid w:val="00F07995"/>
    <w:rsid w:val="00F10555"/>
    <w:rsid w:val="00F1116E"/>
    <w:rsid w:val="00F119C4"/>
    <w:rsid w:val="00F11CF8"/>
    <w:rsid w:val="00F11FB2"/>
    <w:rsid w:val="00F12071"/>
    <w:rsid w:val="00F1264F"/>
    <w:rsid w:val="00F13842"/>
    <w:rsid w:val="00F13A19"/>
    <w:rsid w:val="00F13AB0"/>
    <w:rsid w:val="00F141EA"/>
    <w:rsid w:val="00F14350"/>
    <w:rsid w:val="00F152F6"/>
    <w:rsid w:val="00F15834"/>
    <w:rsid w:val="00F15A30"/>
    <w:rsid w:val="00F1610B"/>
    <w:rsid w:val="00F163E7"/>
    <w:rsid w:val="00F16C12"/>
    <w:rsid w:val="00F16F17"/>
    <w:rsid w:val="00F17F10"/>
    <w:rsid w:val="00F17F23"/>
    <w:rsid w:val="00F2005B"/>
    <w:rsid w:val="00F20533"/>
    <w:rsid w:val="00F20FEF"/>
    <w:rsid w:val="00F20FF3"/>
    <w:rsid w:val="00F2139C"/>
    <w:rsid w:val="00F2185C"/>
    <w:rsid w:val="00F21CB9"/>
    <w:rsid w:val="00F2214E"/>
    <w:rsid w:val="00F22634"/>
    <w:rsid w:val="00F227F6"/>
    <w:rsid w:val="00F229D2"/>
    <w:rsid w:val="00F23B0B"/>
    <w:rsid w:val="00F24936"/>
    <w:rsid w:val="00F249D9"/>
    <w:rsid w:val="00F24C7D"/>
    <w:rsid w:val="00F255A3"/>
    <w:rsid w:val="00F25809"/>
    <w:rsid w:val="00F25C8C"/>
    <w:rsid w:val="00F25E46"/>
    <w:rsid w:val="00F25ED7"/>
    <w:rsid w:val="00F26C8B"/>
    <w:rsid w:val="00F26FD1"/>
    <w:rsid w:val="00F27ACF"/>
    <w:rsid w:val="00F30AC1"/>
    <w:rsid w:val="00F31CE3"/>
    <w:rsid w:val="00F31ECE"/>
    <w:rsid w:val="00F32712"/>
    <w:rsid w:val="00F331C5"/>
    <w:rsid w:val="00F33916"/>
    <w:rsid w:val="00F33F7C"/>
    <w:rsid w:val="00F3438A"/>
    <w:rsid w:val="00F34684"/>
    <w:rsid w:val="00F34AC3"/>
    <w:rsid w:val="00F34EAB"/>
    <w:rsid w:val="00F351DA"/>
    <w:rsid w:val="00F3582D"/>
    <w:rsid w:val="00F35840"/>
    <w:rsid w:val="00F362BC"/>
    <w:rsid w:val="00F3643D"/>
    <w:rsid w:val="00F365D3"/>
    <w:rsid w:val="00F367B4"/>
    <w:rsid w:val="00F36A59"/>
    <w:rsid w:val="00F36C81"/>
    <w:rsid w:val="00F375A5"/>
    <w:rsid w:val="00F40B69"/>
    <w:rsid w:val="00F40CC4"/>
    <w:rsid w:val="00F4128F"/>
    <w:rsid w:val="00F4196A"/>
    <w:rsid w:val="00F41F81"/>
    <w:rsid w:val="00F425BF"/>
    <w:rsid w:val="00F43C46"/>
    <w:rsid w:val="00F444F2"/>
    <w:rsid w:val="00F4502C"/>
    <w:rsid w:val="00F4506E"/>
    <w:rsid w:val="00F45129"/>
    <w:rsid w:val="00F452D9"/>
    <w:rsid w:val="00F4549D"/>
    <w:rsid w:val="00F4595D"/>
    <w:rsid w:val="00F462AB"/>
    <w:rsid w:val="00F46428"/>
    <w:rsid w:val="00F46670"/>
    <w:rsid w:val="00F468D7"/>
    <w:rsid w:val="00F4690E"/>
    <w:rsid w:val="00F46992"/>
    <w:rsid w:val="00F47120"/>
    <w:rsid w:val="00F50004"/>
    <w:rsid w:val="00F50682"/>
    <w:rsid w:val="00F51415"/>
    <w:rsid w:val="00F51586"/>
    <w:rsid w:val="00F5188E"/>
    <w:rsid w:val="00F518C9"/>
    <w:rsid w:val="00F51A21"/>
    <w:rsid w:val="00F51B35"/>
    <w:rsid w:val="00F51DF0"/>
    <w:rsid w:val="00F52516"/>
    <w:rsid w:val="00F52969"/>
    <w:rsid w:val="00F52BDF"/>
    <w:rsid w:val="00F536AB"/>
    <w:rsid w:val="00F53912"/>
    <w:rsid w:val="00F53ABE"/>
    <w:rsid w:val="00F53B76"/>
    <w:rsid w:val="00F53BBF"/>
    <w:rsid w:val="00F5424C"/>
    <w:rsid w:val="00F54B27"/>
    <w:rsid w:val="00F55E53"/>
    <w:rsid w:val="00F55EB7"/>
    <w:rsid w:val="00F56FE2"/>
    <w:rsid w:val="00F5763D"/>
    <w:rsid w:val="00F576D6"/>
    <w:rsid w:val="00F57FE9"/>
    <w:rsid w:val="00F601E6"/>
    <w:rsid w:val="00F60726"/>
    <w:rsid w:val="00F60BC0"/>
    <w:rsid w:val="00F6162E"/>
    <w:rsid w:val="00F61BA8"/>
    <w:rsid w:val="00F625B6"/>
    <w:rsid w:val="00F62845"/>
    <w:rsid w:val="00F62DAD"/>
    <w:rsid w:val="00F63122"/>
    <w:rsid w:val="00F631A5"/>
    <w:rsid w:val="00F635CD"/>
    <w:rsid w:val="00F6382B"/>
    <w:rsid w:val="00F639B6"/>
    <w:rsid w:val="00F6469E"/>
    <w:rsid w:val="00F64A4E"/>
    <w:rsid w:val="00F654A6"/>
    <w:rsid w:val="00F654F5"/>
    <w:rsid w:val="00F655B2"/>
    <w:rsid w:val="00F65AF6"/>
    <w:rsid w:val="00F65CF1"/>
    <w:rsid w:val="00F66530"/>
    <w:rsid w:val="00F668C1"/>
    <w:rsid w:val="00F66DD2"/>
    <w:rsid w:val="00F66F0D"/>
    <w:rsid w:val="00F67377"/>
    <w:rsid w:val="00F67C41"/>
    <w:rsid w:val="00F70335"/>
    <w:rsid w:val="00F70440"/>
    <w:rsid w:val="00F709C4"/>
    <w:rsid w:val="00F7194B"/>
    <w:rsid w:val="00F71B8A"/>
    <w:rsid w:val="00F71EE0"/>
    <w:rsid w:val="00F71F19"/>
    <w:rsid w:val="00F72631"/>
    <w:rsid w:val="00F72839"/>
    <w:rsid w:val="00F72A00"/>
    <w:rsid w:val="00F72DBE"/>
    <w:rsid w:val="00F72E2D"/>
    <w:rsid w:val="00F731A5"/>
    <w:rsid w:val="00F7354C"/>
    <w:rsid w:val="00F73975"/>
    <w:rsid w:val="00F73FAD"/>
    <w:rsid w:val="00F74242"/>
    <w:rsid w:val="00F747ED"/>
    <w:rsid w:val="00F74AB0"/>
    <w:rsid w:val="00F75063"/>
    <w:rsid w:val="00F75655"/>
    <w:rsid w:val="00F75FDE"/>
    <w:rsid w:val="00F7634A"/>
    <w:rsid w:val="00F76C6C"/>
    <w:rsid w:val="00F76D00"/>
    <w:rsid w:val="00F76E4D"/>
    <w:rsid w:val="00F77150"/>
    <w:rsid w:val="00F774EF"/>
    <w:rsid w:val="00F7768F"/>
    <w:rsid w:val="00F77CD5"/>
    <w:rsid w:val="00F77FCD"/>
    <w:rsid w:val="00F807AA"/>
    <w:rsid w:val="00F80C4C"/>
    <w:rsid w:val="00F81AED"/>
    <w:rsid w:val="00F81B8A"/>
    <w:rsid w:val="00F81E9B"/>
    <w:rsid w:val="00F8236A"/>
    <w:rsid w:val="00F823D0"/>
    <w:rsid w:val="00F827B1"/>
    <w:rsid w:val="00F82A26"/>
    <w:rsid w:val="00F82C31"/>
    <w:rsid w:val="00F82C6B"/>
    <w:rsid w:val="00F82D8D"/>
    <w:rsid w:val="00F83218"/>
    <w:rsid w:val="00F833B7"/>
    <w:rsid w:val="00F83723"/>
    <w:rsid w:val="00F83F38"/>
    <w:rsid w:val="00F84171"/>
    <w:rsid w:val="00F849F7"/>
    <w:rsid w:val="00F84F74"/>
    <w:rsid w:val="00F8503C"/>
    <w:rsid w:val="00F8565F"/>
    <w:rsid w:val="00F8566A"/>
    <w:rsid w:val="00F859CB"/>
    <w:rsid w:val="00F86038"/>
    <w:rsid w:val="00F8607D"/>
    <w:rsid w:val="00F86840"/>
    <w:rsid w:val="00F86858"/>
    <w:rsid w:val="00F86AF2"/>
    <w:rsid w:val="00F87140"/>
    <w:rsid w:val="00F873E2"/>
    <w:rsid w:val="00F878CB"/>
    <w:rsid w:val="00F879C1"/>
    <w:rsid w:val="00F90176"/>
    <w:rsid w:val="00F9030C"/>
    <w:rsid w:val="00F90D04"/>
    <w:rsid w:val="00F912C9"/>
    <w:rsid w:val="00F913CD"/>
    <w:rsid w:val="00F91405"/>
    <w:rsid w:val="00F9164A"/>
    <w:rsid w:val="00F919CB"/>
    <w:rsid w:val="00F9262C"/>
    <w:rsid w:val="00F929F9"/>
    <w:rsid w:val="00F92AD4"/>
    <w:rsid w:val="00F93557"/>
    <w:rsid w:val="00F93A03"/>
    <w:rsid w:val="00F93C23"/>
    <w:rsid w:val="00F93D3A"/>
    <w:rsid w:val="00F9439F"/>
    <w:rsid w:val="00F949F2"/>
    <w:rsid w:val="00F950F3"/>
    <w:rsid w:val="00F95629"/>
    <w:rsid w:val="00F956D0"/>
    <w:rsid w:val="00F95A11"/>
    <w:rsid w:val="00F95D76"/>
    <w:rsid w:val="00F95E17"/>
    <w:rsid w:val="00F95E65"/>
    <w:rsid w:val="00F96077"/>
    <w:rsid w:val="00F964B6"/>
    <w:rsid w:val="00F964DD"/>
    <w:rsid w:val="00F965DF"/>
    <w:rsid w:val="00F96D63"/>
    <w:rsid w:val="00F96E97"/>
    <w:rsid w:val="00F96F81"/>
    <w:rsid w:val="00F971A2"/>
    <w:rsid w:val="00F9796C"/>
    <w:rsid w:val="00F97D33"/>
    <w:rsid w:val="00F97FD5"/>
    <w:rsid w:val="00F97FF1"/>
    <w:rsid w:val="00FA00F8"/>
    <w:rsid w:val="00FA01B7"/>
    <w:rsid w:val="00FA04F1"/>
    <w:rsid w:val="00FA117C"/>
    <w:rsid w:val="00FA1898"/>
    <w:rsid w:val="00FA1B44"/>
    <w:rsid w:val="00FA1E31"/>
    <w:rsid w:val="00FA2366"/>
    <w:rsid w:val="00FA2830"/>
    <w:rsid w:val="00FA2971"/>
    <w:rsid w:val="00FA29D4"/>
    <w:rsid w:val="00FA2FD6"/>
    <w:rsid w:val="00FA303D"/>
    <w:rsid w:val="00FA3275"/>
    <w:rsid w:val="00FA331D"/>
    <w:rsid w:val="00FA399E"/>
    <w:rsid w:val="00FA3BC7"/>
    <w:rsid w:val="00FA4346"/>
    <w:rsid w:val="00FA4537"/>
    <w:rsid w:val="00FA4BC8"/>
    <w:rsid w:val="00FA4DEB"/>
    <w:rsid w:val="00FA52AD"/>
    <w:rsid w:val="00FA56BA"/>
    <w:rsid w:val="00FA5C3E"/>
    <w:rsid w:val="00FA627A"/>
    <w:rsid w:val="00FA6479"/>
    <w:rsid w:val="00FA64D9"/>
    <w:rsid w:val="00FA65B7"/>
    <w:rsid w:val="00FA671C"/>
    <w:rsid w:val="00FA6885"/>
    <w:rsid w:val="00FA6DB2"/>
    <w:rsid w:val="00FA70CE"/>
    <w:rsid w:val="00FA7508"/>
    <w:rsid w:val="00FA7707"/>
    <w:rsid w:val="00FA7AF8"/>
    <w:rsid w:val="00FA7B12"/>
    <w:rsid w:val="00FA7F67"/>
    <w:rsid w:val="00FB041C"/>
    <w:rsid w:val="00FB07F1"/>
    <w:rsid w:val="00FB08AF"/>
    <w:rsid w:val="00FB09A4"/>
    <w:rsid w:val="00FB0C8D"/>
    <w:rsid w:val="00FB0D08"/>
    <w:rsid w:val="00FB0D09"/>
    <w:rsid w:val="00FB10AC"/>
    <w:rsid w:val="00FB13D8"/>
    <w:rsid w:val="00FB1507"/>
    <w:rsid w:val="00FB1535"/>
    <w:rsid w:val="00FB2DF6"/>
    <w:rsid w:val="00FB316C"/>
    <w:rsid w:val="00FB3870"/>
    <w:rsid w:val="00FB3D8A"/>
    <w:rsid w:val="00FB4558"/>
    <w:rsid w:val="00FB45F0"/>
    <w:rsid w:val="00FB4AA7"/>
    <w:rsid w:val="00FB519D"/>
    <w:rsid w:val="00FB5D21"/>
    <w:rsid w:val="00FB5EBB"/>
    <w:rsid w:val="00FB651F"/>
    <w:rsid w:val="00FB6577"/>
    <w:rsid w:val="00FB6634"/>
    <w:rsid w:val="00FB6EFB"/>
    <w:rsid w:val="00FB7886"/>
    <w:rsid w:val="00FB7C54"/>
    <w:rsid w:val="00FC000E"/>
    <w:rsid w:val="00FC0738"/>
    <w:rsid w:val="00FC0BB1"/>
    <w:rsid w:val="00FC0FAE"/>
    <w:rsid w:val="00FC14D2"/>
    <w:rsid w:val="00FC163C"/>
    <w:rsid w:val="00FC21D2"/>
    <w:rsid w:val="00FC2559"/>
    <w:rsid w:val="00FC276A"/>
    <w:rsid w:val="00FC27AB"/>
    <w:rsid w:val="00FC28F7"/>
    <w:rsid w:val="00FC3426"/>
    <w:rsid w:val="00FC36CD"/>
    <w:rsid w:val="00FC3F73"/>
    <w:rsid w:val="00FC4663"/>
    <w:rsid w:val="00FC4866"/>
    <w:rsid w:val="00FC5426"/>
    <w:rsid w:val="00FC5AE3"/>
    <w:rsid w:val="00FC5D6C"/>
    <w:rsid w:val="00FC6333"/>
    <w:rsid w:val="00FC6709"/>
    <w:rsid w:val="00FC6AD6"/>
    <w:rsid w:val="00FC6ED9"/>
    <w:rsid w:val="00FC710C"/>
    <w:rsid w:val="00FC719B"/>
    <w:rsid w:val="00FC7ABC"/>
    <w:rsid w:val="00FD0115"/>
    <w:rsid w:val="00FD03D0"/>
    <w:rsid w:val="00FD0973"/>
    <w:rsid w:val="00FD0E19"/>
    <w:rsid w:val="00FD1599"/>
    <w:rsid w:val="00FD1638"/>
    <w:rsid w:val="00FD18B6"/>
    <w:rsid w:val="00FD277C"/>
    <w:rsid w:val="00FD2925"/>
    <w:rsid w:val="00FD29D5"/>
    <w:rsid w:val="00FD2A8E"/>
    <w:rsid w:val="00FD318C"/>
    <w:rsid w:val="00FD36A0"/>
    <w:rsid w:val="00FD3886"/>
    <w:rsid w:val="00FD3E7A"/>
    <w:rsid w:val="00FD3F24"/>
    <w:rsid w:val="00FD3FA8"/>
    <w:rsid w:val="00FD4168"/>
    <w:rsid w:val="00FD4866"/>
    <w:rsid w:val="00FD4871"/>
    <w:rsid w:val="00FD4B63"/>
    <w:rsid w:val="00FD5C1C"/>
    <w:rsid w:val="00FD658C"/>
    <w:rsid w:val="00FD6B27"/>
    <w:rsid w:val="00FD6F0C"/>
    <w:rsid w:val="00FD71FE"/>
    <w:rsid w:val="00FD724B"/>
    <w:rsid w:val="00FD74F9"/>
    <w:rsid w:val="00FD7696"/>
    <w:rsid w:val="00FD782B"/>
    <w:rsid w:val="00FE0232"/>
    <w:rsid w:val="00FE02B5"/>
    <w:rsid w:val="00FE0834"/>
    <w:rsid w:val="00FE0F90"/>
    <w:rsid w:val="00FE0FE5"/>
    <w:rsid w:val="00FE17FA"/>
    <w:rsid w:val="00FE1879"/>
    <w:rsid w:val="00FE19DF"/>
    <w:rsid w:val="00FE1BE0"/>
    <w:rsid w:val="00FE1C32"/>
    <w:rsid w:val="00FE22A7"/>
    <w:rsid w:val="00FE2390"/>
    <w:rsid w:val="00FE2B46"/>
    <w:rsid w:val="00FE4387"/>
    <w:rsid w:val="00FE468E"/>
    <w:rsid w:val="00FE4DB9"/>
    <w:rsid w:val="00FE504B"/>
    <w:rsid w:val="00FE52B4"/>
    <w:rsid w:val="00FE62E8"/>
    <w:rsid w:val="00FE6FF7"/>
    <w:rsid w:val="00FE7397"/>
    <w:rsid w:val="00FE77E4"/>
    <w:rsid w:val="00FE7AD3"/>
    <w:rsid w:val="00FF0226"/>
    <w:rsid w:val="00FF084D"/>
    <w:rsid w:val="00FF0AC5"/>
    <w:rsid w:val="00FF0FA0"/>
    <w:rsid w:val="00FF213D"/>
    <w:rsid w:val="00FF2588"/>
    <w:rsid w:val="00FF264F"/>
    <w:rsid w:val="00FF285F"/>
    <w:rsid w:val="00FF3093"/>
    <w:rsid w:val="00FF3318"/>
    <w:rsid w:val="00FF4D0A"/>
    <w:rsid w:val="00FF4DD7"/>
    <w:rsid w:val="00FF4DFF"/>
    <w:rsid w:val="00FF5328"/>
    <w:rsid w:val="00FF56D1"/>
    <w:rsid w:val="00FF5968"/>
    <w:rsid w:val="00FF5BC5"/>
    <w:rsid w:val="00FF6A3A"/>
    <w:rsid w:val="00FF6CB6"/>
    <w:rsid w:val="00FF7230"/>
    <w:rsid w:val="00FF77EC"/>
    <w:rsid w:val="00FF7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236D6"/>
  <w15:chartTrackingRefBased/>
  <w15:docId w15:val="{0642F66F-668B-1B40-81B5-48107484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59C"/>
    <w:pPr>
      <w:spacing w:line="360" w:lineRule="auto"/>
      <w:jc w:val="both"/>
    </w:pPr>
    <w:rPr>
      <w:rFonts w:eastAsiaTheme="minorEastAsia"/>
      <w:color w:val="000000" w:themeColor="accent3"/>
    </w:rPr>
  </w:style>
  <w:style w:type="paragraph" w:styleId="Heading1">
    <w:name w:val="heading 1"/>
    <w:basedOn w:val="Normal"/>
    <w:next w:val="Normal"/>
    <w:link w:val="Heading1Char"/>
    <w:uiPriority w:val="9"/>
    <w:qFormat/>
    <w:rsid w:val="000953B7"/>
    <w:pPr>
      <w:numPr>
        <w:numId w:val="2"/>
      </w:numPr>
      <w:spacing w:before="300" w:after="40" w:line="276" w:lineRule="auto"/>
      <w:outlineLvl w:val="0"/>
    </w:pPr>
    <w:rPr>
      <w:smallCaps/>
      <w:spacing w:val="5"/>
      <w:sz w:val="48"/>
      <w:szCs w:val="32"/>
    </w:rPr>
  </w:style>
  <w:style w:type="paragraph" w:styleId="Heading2">
    <w:name w:val="heading 2"/>
    <w:basedOn w:val="Normal"/>
    <w:next w:val="Normal"/>
    <w:link w:val="Heading2Char"/>
    <w:uiPriority w:val="9"/>
    <w:unhideWhenUsed/>
    <w:qFormat/>
    <w:rsid w:val="00B72666"/>
    <w:pPr>
      <w:keepNext/>
      <w:keepLines/>
      <w:spacing w:before="40"/>
      <w:ind w:left="576" w:hanging="576"/>
      <w:outlineLvl w:val="1"/>
    </w:pPr>
    <w:rPr>
      <w:rFonts w:asciiTheme="majorHAnsi" w:eastAsiaTheme="majorEastAsia" w:hAnsiTheme="majorHAnsi" w:cstheme="majorBidi"/>
      <w:sz w:val="32"/>
      <w:szCs w:val="26"/>
    </w:rPr>
  </w:style>
  <w:style w:type="paragraph" w:styleId="Heading3">
    <w:name w:val="heading 3"/>
    <w:basedOn w:val="Normal"/>
    <w:next w:val="Normal"/>
    <w:link w:val="Heading3Char"/>
    <w:uiPriority w:val="9"/>
    <w:unhideWhenUsed/>
    <w:qFormat/>
    <w:rsid w:val="007A61A7"/>
    <w:pPr>
      <w:keepNext/>
      <w:keepLines/>
      <w:numPr>
        <w:ilvl w:val="2"/>
        <w:numId w:val="2"/>
      </w:numPr>
      <w:spacing w:before="40"/>
      <w:outlineLvl w:val="2"/>
    </w:pPr>
    <w:rPr>
      <w:rFonts w:asciiTheme="majorHAnsi" w:eastAsiaTheme="majorEastAsia" w:hAnsiTheme="majorHAnsi" w:cstheme="majorBidi"/>
      <w:sz w:val="28"/>
    </w:rPr>
  </w:style>
  <w:style w:type="paragraph" w:styleId="Heading4">
    <w:name w:val="heading 4"/>
    <w:basedOn w:val="Normal"/>
    <w:next w:val="Normal"/>
    <w:link w:val="Heading4Char"/>
    <w:uiPriority w:val="9"/>
    <w:unhideWhenUsed/>
    <w:qFormat/>
    <w:rsid w:val="00BB5EBF"/>
    <w:pPr>
      <w:keepNext/>
      <w:keepLines/>
      <w:numPr>
        <w:ilvl w:val="3"/>
        <w:numId w:val="2"/>
      </w:numPr>
      <w:spacing w:before="40"/>
      <w:ind w:left="864"/>
      <w:outlineLvl w:val="3"/>
    </w:pPr>
    <w:rPr>
      <w:rFonts w:asciiTheme="majorHAnsi" w:eastAsiaTheme="majorEastAsia" w:hAnsiTheme="majorHAnsi" w:cstheme="majorBidi"/>
      <w:iCs/>
      <w:sz w:val="26"/>
    </w:rPr>
  </w:style>
  <w:style w:type="paragraph" w:styleId="Heading5">
    <w:name w:val="heading 5"/>
    <w:basedOn w:val="Normal"/>
    <w:next w:val="Normal"/>
    <w:link w:val="Heading5Char"/>
    <w:uiPriority w:val="9"/>
    <w:semiHidden/>
    <w:unhideWhenUsed/>
    <w:qFormat/>
    <w:rsid w:val="009C7676"/>
    <w:pPr>
      <w:keepNext/>
      <w:keepLines/>
      <w:numPr>
        <w:ilvl w:val="4"/>
        <w:numId w:val="2"/>
      </w:numPr>
      <w:spacing w:before="40"/>
      <w:outlineLvl w:val="4"/>
    </w:pPr>
    <w:rPr>
      <w:rFonts w:asciiTheme="majorHAnsi" w:eastAsiaTheme="majorEastAsia" w:hAnsiTheme="majorHAnsi" w:cstheme="majorBidi"/>
      <w:color w:val="6E0C00" w:themeColor="accent1" w:themeShade="BF"/>
    </w:rPr>
  </w:style>
  <w:style w:type="paragraph" w:styleId="Heading6">
    <w:name w:val="heading 6"/>
    <w:basedOn w:val="Normal"/>
    <w:next w:val="Normal"/>
    <w:link w:val="Heading6Char"/>
    <w:uiPriority w:val="9"/>
    <w:semiHidden/>
    <w:unhideWhenUsed/>
    <w:qFormat/>
    <w:rsid w:val="009C7676"/>
    <w:pPr>
      <w:keepNext/>
      <w:keepLines/>
      <w:numPr>
        <w:ilvl w:val="5"/>
        <w:numId w:val="2"/>
      </w:numPr>
      <w:spacing w:before="40"/>
      <w:outlineLvl w:val="5"/>
    </w:pPr>
    <w:rPr>
      <w:rFonts w:asciiTheme="majorHAnsi" w:eastAsiaTheme="majorEastAsia" w:hAnsiTheme="majorHAnsi" w:cstheme="majorBidi"/>
      <w:color w:val="490800" w:themeColor="accent1" w:themeShade="7F"/>
    </w:rPr>
  </w:style>
  <w:style w:type="paragraph" w:styleId="Heading7">
    <w:name w:val="heading 7"/>
    <w:basedOn w:val="Normal"/>
    <w:next w:val="Normal"/>
    <w:link w:val="Heading7Char"/>
    <w:uiPriority w:val="9"/>
    <w:semiHidden/>
    <w:unhideWhenUsed/>
    <w:qFormat/>
    <w:rsid w:val="009C7676"/>
    <w:pPr>
      <w:keepNext/>
      <w:keepLines/>
      <w:numPr>
        <w:ilvl w:val="6"/>
        <w:numId w:val="2"/>
      </w:numPr>
      <w:spacing w:before="40"/>
      <w:outlineLvl w:val="6"/>
    </w:pPr>
    <w:rPr>
      <w:rFonts w:asciiTheme="majorHAnsi" w:eastAsiaTheme="majorEastAsia" w:hAnsiTheme="majorHAnsi" w:cstheme="majorBidi"/>
      <w:i/>
      <w:iCs/>
      <w:color w:val="490800" w:themeColor="accent1" w:themeShade="7F"/>
    </w:rPr>
  </w:style>
  <w:style w:type="paragraph" w:styleId="Heading8">
    <w:name w:val="heading 8"/>
    <w:basedOn w:val="Normal"/>
    <w:next w:val="Normal"/>
    <w:link w:val="Heading8Char"/>
    <w:uiPriority w:val="9"/>
    <w:semiHidden/>
    <w:unhideWhenUsed/>
    <w:qFormat/>
    <w:rsid w:val="009C7676"/>
    <w:pPr>
      <w:keepNext/>
      <w:keepLines/>
      <w:numPr>
        <w:ilvl w:val="7"/>
        <w:numId w:val="2"/>
      </w:numPr>
      <w:spacing w:before="40"/>
      <w:outlineLvl w:val="7"/>
    </w:pPr>
    <w:rPr>
      <w:rFonts w:asciiTheme="majorHAnsi" w:eastAsiaTheme="majorEastAsia" w:hAnsiTheme="majorHAnsi" w:cstheme="majorBidi"/>
      <w:color w:val="CB1700" w:themeColor="text1" w:themeTint="D8"/>
      <w:sz w:val="21"/>
      <w:szCs w:val="21"/>
    </w:rPr>
  </w:style>
  <w:style w:type="paragraph" w:styleId="Heading9">
    <w:name w:val="heading 9"/>
    <w:basedOn w:val="Normal"/>
    <w:next w:val="Normal"/>
    <w:link w:val="Heading9Char"/>
    <w:uiPriority w:val="9"/>
    <w:semiHidden/>
    <w:unhideWhenUsed/>
    <w:qFormat/>
    <w:rsid w:val="00D23188"/>
    <w:pPr>
      <w:keepNext/>
      <w:keepLines/>
      <w:numPr>
        <w:ilvl w:val="8"/>
        <w:numId w:val="2"/>
      </w:numPr>
      <w:spacing w:before="40"/>
      <w:outlineLvl w:val="8"/>
    </w:pPr>
    <w:rPr>
      <w:rFonts w:asciiTheme="majorHAnsi" w:eastAsiaTheme="majorEastAsia" w:hAnsiTheme="majorHAnsi" w:cstheme="majorBidi"/>
      <w:i/>
      <w:iCs/>
      <w:color w:val="CB170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3B7"/>
    <w:rPr>
      <w:rFonts w:eastAsiaTheme="minorEastAsia"/>
      <w:smallCaps/>
      <w:color w:val="000000" w:themeColor="accent3"/>
      <w:spacing w:val="5"/>
      <w:sz w:val="48"/>
      <w:szCs w:val="32"/>
    </w:rPr>
  </w:style>
  <w:style w:type="character" w:customStyle="1" w:styleId="Heading2Char">
    <w:name w:val="Heading 2 Char"/>
    <w:basedOn w:val="DefaultParagraphFont"/>
    <w:link w:val="Heading2"/>
    <w:uiPriority w:val="9"/>
    <w:rsid w:val="00B72666"/>
    <w:rPr>
      <w:rFonts w:asciiTheme="majorHAnsi" w:eastAsiaTheme="majorEastAsia" w:hAnsiTheme="majorHAnsi" w:cstheme="majorBidi"/>
      <w:color w:val="000000" w:themeColor="accent3"/>
      <w:sz w:val="32"/>
      <w:szCs w:val="26"/>
    </w:rPr>
  </w:style>
  <w:style w:type="paragraph" w:styleId="ListParagraph">
    <w:name w:val="List Paragraph"/>
    <w:basedOn w:val="Normal"/>
    <w:uiPriority w:val="34"/>
    <w:qFormat/>
    <w:rsid w:val="009672FF"/>
    <w:pPr>
      <w:ind w:left="720"/>
      <w:contextualSpacing/>
    </w:pPr>
  </w:style>
  <w:style w:type="paragraph" w:customStyle="1" w:styleId="Body">
    <w:name w:val="Body"/>
    <w:rsid w:val="009672F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Title">
    <w:name w:val="Title"/>
    <w:basedOn w:val="Normal"/>
    <w:next w:val="Normal"/>
    <w:link w:val="TitleChar"/>
    <w:uiPriority w:val="10"/>
    <w:qFormat/>
    <w:rsid w:val="003D71E2"/>
    <w:pPr>
      <w:spacing w:after="300"/>
      <w:contextualSpacing/>
    </w:pPr>
    <w:rPr>
      <w:rFonts w:asciiTheme="majorHAnsi" w:eastAsiaTheme="majorEastAsia" w:hAnsiTheme="majorHAnsi" w:cstheme="majorBidi"/>
      <w:smallCaps/>
      <w:sz w:val="52"/>
      <w:szCs w:val="52"/>
    </w:rPr>
  </w:style>
  <w:style w:type="character" w:customStyle="1" w:styleId="TitleChar">
    <w:name w:val="Title Char"/>
    <w:basedOn w:val="DefaultParagraphFont"/>
    <w:link w:val="Title"/>
    <w:uiPriority w:val="10"/>
    <w:rsid w:val="003D71E2"/>
    <w:rPr>
      <w:rFonts w:asciiTheme="majorHAnsi" w:eastAsiaTheme="majorEastAsia" w:hAnsiTheme="majorHAnsi" w:cstheme="majorBidi"/>
      <w:smallCaps/>
      <w:sz w:val="52"/>
      <w:szCs w:val="52"/>
    </w:rPr>
  </w:style>
  <w:style w:type="paragraph" w:styleId="FootnoteText">
    <w:name w:val="footnote text"/>
    <w:basedOn w:val="Normal"/>
    <w:link w:val="FootnoteTextChar"/>
    <w:uiPriority w:val="99"/>
    <w:unhideWhenUsed/>
    <w:rsid w:val="003D71E2"/>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uiPriority w:val="99"/>
    <w:rsid w:val="003D71E2"/>
    <w:rPr>
      <w:rFonts w:asciiTheme="majorHAnsi" w:eastAsiaTheme="majorEastAsia" w:hAnsiTheme="majorHAnsi" w:cstheme="majorBidi"/>
      <w:sz w:val="20"/>
      <w:szCs w:val="20"/>
    </w:rPr>
  </w:style>
  <w:style w:type="character" w:styleId="FootnoteReference">
    <w:name w:val="footnote reference"/>
    <w:basedOn w:val="DefaultParagraphFont"/>
    <w:uiPriority w:val="99"/>
    <w:unhideWhenUsed/>
    <w:rsid w:val="003D71E2"/>
    <w:rPr>
      <w:vertAlign w:val="superscript"/>
    </w:rPr>
  </w:style>
  <w:style w:type="paragraph" w:styleId="EndnoteText">
    <w:name w:val="endnote text"/>
    <w:basedOn w:val="Normal"/>
    <w:link w:val="EndnoteTextChar"/>
    <w:uiPriority w:val="99"/>
    <w:semiHidden/>
    <w:unhideWhenUsed/>
    <w:rsid w:val="000C73A2"/>
    <w:rPr>
      <w:sz w:val="20"/>
      <w:szCs w:val="20"/>
    </w:rPr>
  </w:style>
  <w:style w:type="character" w:customStyle="1" w:styleId="EndnoteTextChar">
    <w:name w:val="Endnote Text Char"/>
    <w:basedOn w:val="DefaultParagraphFont"/>
    <w:link w:val="EndnoteText"/>
    <w:uiPriority w:val="99"/>
    <w:semiHidden/>
    <w:rsid w:val="000C73A2"/>
    <w:rPr>
      <w:rFonts w:eastAsiaTheme="minorEastAsia"/>
      <w:sz w:val="20"/>
      <w:szCs w:val="20"/>
    </w:rPr>
  </w:style>
  <w:style w:type="character" w:styleId="EndnoteReference">
    <w:name w:val="endnote reference"/>
    <w:basedOn w:val="DefaultParagraphFont"/>
    <w:uiPriority w:val="99"/>
    <w:semiHidden/>
    <w:unhideWhenUsed/>
    <w:rsid w:val="000C73A2"/>
    <w:rPr>
      <w:vertAlign w:val="superscript"/>
    </w:rPr>
  </w:style>
  <w:style w:type="paragraph" w:styleId="Header">
    <w:name w:val="header"/>
    <w:basedOn w:val="Normal"/>
    <w:link w:val="HeaderChar"/>
    <w:uiPriority w:val="99"/>
    <w:unhideWhenUsed/>
    <w:rsid w:val="00816CA8"/>
    <w:pPr>
      <w:tabs>
        <w:tab w:val="center" w:pos="4680"/>
        <w:tab w:val="right" w:pos="9360"/>
      </w:tabs>
    </w:pPr>
  </w:style>
  <w:style w:type="character" w:customStyle="1" w:styleId="HeaderChar">
    <w:name w:val="Header Char"/>
    <w:basedOn w:val="DefaultParagraphFont"/>
    <w:link w:val="Header"/>
    <w:uiPriority w:val="99"/>
    <w:rsid w:val="00816CA8"/>
    <w:rPr>
      <w:rFonts w:eastAsiaTheme="minorEastAsia"/>
    </w:rPr>
  </w:style>
  <w:style w:type="paragraph" w:styleId="Footer">
    <w:name w:val="footer"/>
    <w:basedOn w:val="Normal"/>
    <w:link w:val="FooterChar"/>
    <w:uiPriority w:val="99"/>
    <w:unhideWhenUsed/>
    <w:rsid w:val="00816CA8"/>
    <w:pPr>
      <w:tabs>
        <w:tab w:val="center" w:pos="4680"/>
        <w:tab w:val="right" w:pos="9360"/>
      </w:tabs>
    </w:pPr>
  </w:style>
  <w:style w:type="character" w:customStyle="1" w:styleId="FooterChar">
    <w:name w:val="Footer Char"/>
    <w:basedOn w:val="DefaultParagraphFont"/>
    <w:link w:val="Footer"/>
    <w:uiPriority w:val="99"/>
    <w:rsid w:val="00816CA8"/>
    <w:rPr>
      <w:rFonts w:eastAsiaTheme="minorEastAsia"/>
    </w:rPr>
  </w:style>
  <w:style w:type="paragraph" w:styleId="Subtitle">
    <w:name w:val="Subtitle"/>
    <w:basedOn w:val="Normal"/>
    <w:next w:val="Normal"/>
    <w:link w:val="SubtitleChar"/>
    <w:uiPriority w:val="11"/>
    <w:qFormat/>
    <w:rsid w:val="00FC4663"/>
    <w:pPr>
      <w:numPr>
        <w:ilvl w:val="1"/>
      </w:numPr>
      <w:spacing w:after="160"/>
    </w:pPr>
    <w:rPr>
      <w:b/>
      <w:spacing w:val="15"/>
      <w:szCs w:val="22"/>
    </w:rPr>
  </w:style>
  <w:style w:type="character" w:customStyle="1" w:styleId="SubtitleChar">
    <w:name w:val="Subtitle Char"/>
    <w:basedOn w:val="DefaultParagraphFont"/>
    <w:link w:val="Subtitle"/>
    <w:uiPriority w:val="11"/>
    <w:rsid w:val="00FC4663"/>
    <w:rPr>
      <w:rFonts w:eastAsiaTheme="minorEastAsia"/>
      <w:b/>
      <w:color w:val="000000" w:themeColor="accent3"/>
      <w:spacing w:val="15"/>
      <w:szCs w:val="22"/>
    </w:rPr>
  </w:style>
  <w:style w:type="character" w:customStyle="1" w:styleId="apple-converted-space">
    <w:name w:val="apple-converted-space"/>
    <w:basedOn w:val="DefaultParagraphFont"/>
    <w:rsid w:val="007A5C2A"/>
  </w:style>
  <w:style w:type="character" w:styleId="Emphasis">
    <w:name w:val="Emphasis"/>
    <w:basedOn w:val="DefaultParagraphFont"/>
    <w:uiPriority w:val="20"/>
    <w:qFormat/>
    <w:rsid w:val="007A5C2A"/>
    <w:rPr>
      <w:i/>
      <w:iCs/>
    </w:rPr>
  </w:style>
  <w:style w:type="table" w:styleId="TableGrid">
    <w:name w:val="Table Grid"/>
    <w:basedOn w:val="TableNormal"/>
    <w:uiPriority w:val="39"/>
    <w:rsid w:val="00736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37669"/>
    <w:rPr>
      <w:i/>
      <w:iCs/>
      <w:color w:val="000000" w:themeColor="accent3"/>
    </w:rPr>
  </w:style>
  <w:style w:type="paragraph" w:styleId="NormalWeb">
    <w:name w:val="Normal (Web)"/>
    <w:basedOn w:val="Normal"/>
    <w:uiPriority w:val="99"/>
    <w:unhideWhenUsed/>
    <w:rsid w:val="003D07AE"/>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D80A9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0A9C"/>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F53912"/>
    <w:rPr>
      <w:color w:val="CC9900" w:themeColor="hyperlink"/>
      <w:u w:val="single"/>
    </w:rPr>
  </w:style>
  <w:style w:type="character" w:styleId="UnresolvedMention">
    <w:name w:val="Unresolved Mention"/>
    <w:basedOn w:val="DefaultParagraphFont"/>
    <w:uiPriority w:val="99"/>
    <w:semiHidden/>
    <w:unhideWhenUsed/>
    <w:rsid w:val="00F53912"/>
    <w:rPr>
      <w:color w:val="605E5C"/>
      <w:shd w:val="clear" w:color="auto" w:fill="E1DFDD"/>
    </w:rPr>
  </w:style>
  <w:style w:type="character" w:styleId="CommentReference">
    <w:name w:val="annotation reference"/>
    <w:basedOn w:val="DefaultParagraphFont"/>
    <w:uiPriority w:val="99"/>
    <w:semiHidden/>
    <w:unhideWhenUsed/>
    <w:rsid w:val="002F284C"/>
    <w:rPr>
      <w:sz w:val="16"/>
      <w:szCs w:val="16"/>
    </w:rPr>
  </w:style>
  <w:style w:type="paragraph" w:styleId="CommentText">
    <w:name w:val="annotation text"/>
    <w:basedOn w:val="Normal"/>
    <w:link w:val="CommentTextChar"/>
    <w:uiPriority w:val="99"/>
    <w:semiHidden/>
    <w:unhideWhenUsed/>
    <w:rsid w:val="002F284C"/>
    <w:pPr>
      <w:spacing w:line="240" w:lineRule="auto"/>
    </w:pPr>
    <w:rPr>
      <w:sz w:val="20"/>
      <w:szCs w:val="20"/>
    </w:rPr>
  </w:style>
  <w:style w:type="character" w:customStyle="1" w:styleId="CommentTextChar">
    <w:name w:val="Comment Text Char"/>
    <w:basedOn w:val="DefaultParagraphFont"/>
    <w:link w:val="CommentText"/>
    <w:uiPriority w:val="99"/>
    <w:semiHidden/>
    <w:rsid w:val="002F284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F284C"/>
    <w:rPr>
      <w:b/>
      <w:bCs/>
    </w:rPr>
  </w:style>
  <w:style w:type="character" w:customStyle="1" w:styleId="CommentSubjectChar">
    <w:name w:val="Comment Subject Char"/>
    <w:basedOn w:val="CommentTextChar"/>
    <w:link w:val="CommentSubject"/>
    <w:uiPriority w:val="99"/>
    <w:semiHidden/>
    <w:rsid w:val="002F284C"/>
    <w:rPr>
      <w:rFonts w:eastAsiaTheme="minorEastAsia"/>
      <w:b/>
      <w:bCs/>
      <w:sz w:val="20"/>
      <w:szCs w:val="20"/>
    </w:rPr>
  </w:style>
  <w:style w:type="paragraph" w:styleId="HTMLPreformatted">
    <w:name w:val="HTML Preformatted"/>
    <w:basedOn w:val="Normal"/>
    <w:link w:val="HTMLPreformattedChar"/>
    <w:uiPriority w:val="99"/>
    <w:semiHidden/>
    <w:unhideWhenUsed/>
    <w:rsid w:val="00FA1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A1898"/>
    <w:rPr>
      <w:rFonts w:ascii="Courier New" w:eastAsia="Times New Roman" w:hAnsi="Courier New" w:cs="Courier New"/>
      <w:sz w:val="20"/>
      <w:szCs w:val="20"/>
      <w:lang w:eastAsia="en-GB"/>
    </w:rPr>
  </w:style>
  <w:style w:type="paragraph" w:styleId="TOCHeading">
    <w:name w:val="TOC Heading"/>
    <w:basedOn w:val="Heading1"/>
    <w:next w:val="Normal"/>
    <w:uiPriority w:val="39"/>
    <w:unhideWhenUsed/>
    <w:qFormat/>
    <w:rsid w:val="00504019"/>
    <w:pPr>
      <w:keepNext/>
      <w:keepLines/>
      <w:spacing w:before="480" w:after="0"/>
      <w:jc w:val="left"/>
      <w:outlineLvl w:val="9"/>
    </w:pPr>
    <w:rPr>
      <w:rFonts w:asciiTheme="majorHAnsi" w:eastAsiaTheme="majorEastAsia" w:hAnsiTheme="majorHAnsi" w:cstheme="majorBidi"/>
      <w:b/>
      <w:bCs/>
      <w:smallCaps w:val="0"/>
      <w:color w:val="6E0C00" w:themeColor="accent1" w:themeShade="BF"/>
      <w:spacing w:val="0"/>
      <w:sz w:val="28"/>
      <w:szCs w:val="28"/>
      <w:lang w:val="en-US"/>
    </w:rPr>
  </w:style>
  <w:style w:type="paragraph" w:styleId="TOC2">
    <w:name w:val="toc 2"/>
    <w:basedOn w:val="Normal"/>
    <w:next w:val="Normal"/>
    <w:autoRedefine/>
    <w:uiPriority w:val="39"/>
    <w:unhideWhenUsed/>
    <w:rsid w:val="00504019"/>
    <w:pPr>
      <w:spacing w:before="120"/>
      <w:ind w:left="240"/>
      <w:jc w:val="left"/>
    </w:pPr>
    <w:rPr>
      <w:b/>
      <w:bCs/>
      <w:sz w:val="22"/>
      <w:szCs w:val="22"/>
    </w:rPr>
  </w:style>
  <w:style w:type="paragraph" w:styleId="TOC1">
    <w:name w:val="toc 1"/>
    <w:basedOn w:val="Normal"/>
    <w:next w:val="Normal"/>
    <w:autoRedefine/>
    <w:uiPriority w:val="39"/>
    <w:unhideWhenUsed/>
    <w:rsid w:val="00504019"/>
    <w:pPr>
      <w:spacing w:before="120"/>
      <w:jc w:val="left"/>
    </w:pPr>
    <w:rPr>
      <w:b/>
      <w:bCs/>
      <w:i/>
      <w:iCs/>
    </w:rPr>
  </w:style>
  <w:style w:type="paragraph" w:styleId="TOC3">
    <w:name w:val="toc 3"/>
    <w:basedOn w:val="Normal"/>
    <w:next w:val="Normal"/>
    <w:autoRedefine/>
    <w:uiPriority w:val="39"/>
    <w:unhideWhenUsed/>
    <w:rsid w:val="00504019"/>
    <w:pPr>
      <w:ind w:left="480"/>
      <w:jc w:val="left"/>
    </w:pPr>
    <w:rPr>
      <w:sz w:val="20"/>
      <w:szCs w:val="20"/>
    </w:rPr>
  </w:style>
  <w:style w:type="paragraph" w:styleId="TOC4">
    <w:name w:val="toc 4"/>
    <w:basedOn w:val="Normal"/>
    <w:next w:val="Normal"/>
    <w:autoRedefine/>
    <w:uiPriority w:val="39"/>
    <w:unhideWhenUsed/>
    <w:rsid w:val="00504019"/>
    <w:pPr>
      <w:ind w:left="720"/>
      <w:jc w:val="left"/>
    </w:pPr>
    <w:rPr>
      <w:sz w:val="20"/>
      <w:szCs w:val="20"/>
    </w:rPr>
  </w:style>
  <w:style w:type="paragraph" w:styleId="TOC5">
    <w:name w:val="toc 5"/>
    <w:basedOn w:val="Normal"/>
    <w:next w:val="Normal"/>
    <w:autoRedefine/>
    <w:uiPriority w:val="39"/>
    <w:unhideWhenUsed/>
    <w:rsid w:val="00504019"/>
    <w:pPr>
      <w:ind w:left="960"/>
      <w:jc w:val="left"/>
    </w:pPr>
    <w:rPr>
      <w:sz w:val="20"/>
      <w:szCs w:val="20"/>
    </w:rPr>
  </w:style>
  <w:style w:type="paragraph" w:styleId="TOC6">
    <w:name w:val="toc 6"/>
    <w:basedOn w:val="Normal"/>
    <w:next w:val="Normal"/>
    <w:autoRedefine/>
    <w:uiPriority w:val="39"/>
    <w:unhideWhenUsed/>
    <w:rsid w:val="00504019"/>
    <w:pPr>
      <w:ind w:left="1200"/>
      <w:jc w:val="left"/>
    </w:pPr>
    <w:rPr>
      <w:sz w:val="20"/>
      <w:szCs w:val="20"/>
    </w:rPr>
  </w:style>
  <w:style w:type="paragraph" w:styleId="TOC7">
    <w:name w:val="toc 7"/>
    <w:basedOn w:val="Normal"/>
    <w:next w:val="Normal"/>
    <w:autoRedefine/>
    <w:uiPriority w:val="39"/>
    <w:unhideWhenUsed/>
    <w:rsid w:val="00504019"/>
    <w:pPr>
      <w:ind w:left="1440"/>
      <w:jc w:val="left"/>
    </w:pPr>
    <w:rPr>
      <w:sz w:val="20"/>
      <w:szCs w:val="20"/>
    </w:rPr>
  </w:style>
  <w:style w:type="paragraph" w:styleId="TOC8">
    <w:name w:val="toc 8"/>
    <w:basedOn w:val="Normal"/>
    <w:next w:val="Normal"/>
    <w:autoRedefine/>
    <w:uiPriority w:val="39"/>
    <w:unhideWhenUsed/>
    <w:rsid w:val="00504019"/>
    <w:pPr>
      <w:ind w:left="1680"/>
      <w:jc w:val="left"/>
    </w:pPr>
    <w:rPr>
      <w:sz w:val="20"/>
      <w:szCs w:val="20"/>
    </w:rPr>
  </w:style>
  <w:style w:type="paragraph" w:styleId="TOC9">
    <w:name w:val="toc 9"/>
    <w:basedOn w:val="Normal"/>
    <w:next w:val="Normal"/>
    <w:autoRedefine/>
    <w:uiPriority w:val="39"/>
    <w:unhideWhenUsed/>
    <w:rsid w:val="00504019"/>
    <w:pPr>
      <w:ind w:left="1920"/>
      <w:jc w:val="left"/>
    </w:pPr>
    <w:rPr>
      <w:sz w:val="20"/>
      <w:szCs w:val="20"/>
    </w:rPr>
  </w:style>
  <w:style w:type="character" w:customStyle="1" w:styleId="Heading3Char">
    <w:name w:val="Heading 3 Char"/>
    <w:basedOn w:val="DefaultParagraphFont"/>
    <w:link w:val="Heading3"/>
    <w:uiPriority w:val="9"/>
    <w:rsid w:val="007A61A7"/>
    <w:rPr>
      <w:rFonts w:asciiTheme="majorHAnsi" w:eastAsiaTheme="majorEastAsia" w:hAnsiTheme="majorHAnsi" w:cstheme="majorBidi"/>
      <w:color w:val="000000" w:themeColor="accent3"/>
      <w:sz w:val="28"/>
    </w:rPr>
  </w:style>
  <w:style w:type="character" w:styleId="PlaceholderText">
    <w:name w:val="Placeholder Text"/>
    <w:basedOn w:val="DefaultParagraphFont"/>
    <w:uiPriority w:val="99"/>
    <w:semiHidden/>
    <w:rsid w:val="00AB1E05"/>
    <w:rPr>
      <w:color w:val="808080"/>
    </w:rPr>
  </w:style>
  <w:style w:type="character" w:customStyle="1" w:styleId="Heading9Char">
    <w:name w:val="Heading 9 Char"/>
    <w:basedOn w:val="DefaultParagraphFont"/>
    <w:link w:val="Heading9"/>
    <w:uiPriority w:val="9"/>
    <w:semiHidden/>
    <w:rsid w:val="00D23188"/>
    <w:rPr>
      <w:rFonts w:asciiTheme="majorHAnsi" w:eastAsiaTheme="majorEastAsia" w:hAnsiTheme="majorHAnsi" w:cstheme="majorBidi"/>
      <w:i/>
      <w:iCs/>
      <w:color w:val="CB1700" w:themeColor="text1" w:themeTint="D8"/>
      <w:sz w:val="21"/>
      <w:szCs w:val="21"/>
    </w:rPr>
  </w:style>
  <w:style w:type="paragraph" w:styleId="Bibliography">
    <w:name w:val="Bibliography"/>
    <w:basedOn w:val="Normal"/>
    <w:next w:val="Normal"/>
    <w:uiPriority w:val="37"/>
    <w:unhideWhenUsed/>
    <w:rsid w:val="00CB403B"/>
  </w:style>
  <w:style w:type="character" w:styleId="PageNumber">
    <w:name w:val="page number"/>
    <w:basedOn w:val="DefaultParagraphFont"/>
    <w:uiPriority w:val="99"/>
    <w:unhideWhenUsed/>
    <w:rsid w:val="009A43B2"/>
  </w:style>
  <w:style w:type="paragraph" w:styleId="TableofFigures">
    <w:name w:val="table of figures"/>
    <w:basedOn w:val="Normal"/>
    <w:next w:val="Normal"/>
    <w:uiPriority w:val="99"/>
    <w:unhideWhenUsed/>
    <w:rsid w:val="00DF4C04"/>
    <w:pPr>
      <w:jc w:val="left"/>
    </w:pPr>
    <w:rPr>
      <w:i/>
      <w:iCs/>
      <w:sz w:val="20"/>
      <w:szCs w:val="20"/>
    </w:rPr>
  </w:style>
  <w:style w:type="paragraph" w:styleId="Revision">
    <w:name w:val="Revision"/>
    <w:hidden/>
    <w:uiPriority w:val="99"/>
    <w:semiHidden/>
    <w:rsid w:val="00686E5F"/>
    <w:rPr>
      <w:rFonts w:eastAsiaTheme="minorEastAsia"/>
    </w:rPr>
  </w:style>
  <w:style w:type="table" w:customStyle="1" w:styleId="TableGrid2">
    <w:name w:val="Table Grid2"/>
    <w:basedOn w:val="TableNormal"/>
    <w:next w:val="TableGrid"/>
    <w:uiPriority w:val="39"/>
    <w:rsid w:val="00492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DefaultParagraphFont"/>
    <w:rsid w:val="00B1696F"/>
  </w:style>
  <w:style w:type="paragraph" w:styleId="Caption">
    <w:name w:val="caption"/>
    <w:basedOn w:val="Normal"/>
    <w:next w:val="Normal"/>
    <w:uiPriority w:val="35"/>
    <w:unhideWhenUsed/>
    <w:qFormat/>
    <w:rsid w:val="00514D4D"/>
    <w:pPr>
      <w:spacing w:after="200" w:line="240" w:lineRule="auto"/>
    </w:pPr>
    <w:rPr>
      <w:i/>
      <w:iCs/>
      <w:sz w:val="20"/>
      <w:szCs w:val="18"/>
    </w:rPr>
  </w:style>
  <w:style w:type="character" w:customStyle="1" w:styleId="Heading4Char">
    <w:name w:val="Heading 4 Char"/>
    <w:basedOn w:val="DefaultParagraphFont"/>
    <w:link w:val="Heading4"/>
    <w:uiPriority w:val="9"/>
    <w:rsid w:val="00BB5EBF"/>
    <w:rPr>
      <w:rFonts w:asciiTheme="majorHAnsi" w:eastAsiaTheme="majorEastAsia" w:hAnsiTheme="majorHAnsi" w:cstheme="majorBidi"/>
      <w:iCs/>
      <w:color w:val="000000" w:themeColor="accent3"/>
      <w:sz w:val="26"/>
    </w:rPr>
  </w:style>
  <w:style w:type="character" w:customStyle="1" w:styleId="Heading5Char">
    <w:name w:val="Heading 5 Char"/>
    <w:basedOn w:val="DefaultParagraphFont"/>
    <w:link w:val="Heading5"/>
    <w:uiPriority w:val="9"/>
    <w:semiHidden/>
    <w:rsid w:val="009C7676"/>
    <w:rPr>
      <w:rFonts w:asciiTheme="majorHAnsi" w:eastAsiaTheme="majorEastAsia" w:hAnsiTheme="majorHAnsi" w:cstheme="majorBidi"/>
      <w:color w:val="6E0C00" w:themeColor="accent1" w:themeShade="BF"/>
    </w:rPr>
  </w:style>
  <w:style w:type="character" w:customStyle="1" w:styleId="Heading6Char">
    <w:name w:val="Heading 6 Char"/>
    <w:basedOn w:val="DefaultParagraphFont"/>
    <w:link w:val="Heading6"/>
    <w:uiPriority w:val="9"/>
    <w:semiHidden/>
    <w:rsid w:val="009C7676"/>
    <w:rPr>
      <w:rFonts w:asciiTheme="majorHAnsi" w:eastAsiaTheme="majorEastAsia" w:hAnsiTheme="majorHAnsi" w:cstheme="majorBidi"/>
      <w:color w:val="490800" w:themeColor="accent1" w:themeShade="7F"/>
    </w:rPr>
  </w:style>
  <w:style w:type="character" w:customStyle="1" w:styleId="Heading7Char">
    <w:name w:val="Heading 7 Char"/>
    <w:basedOn w:val="DefaultParagraphFont"/>
    <w:link w:val="Heading7"/>
    <w:uiPriority w:val="9"/>
    <w:semiHidden/>
    <w:rsid w:val="009C7676"/>
    <w:rPr>
      <w:rFonts w:asciiTheme="majorHAnsi" w:eastAsiaTheme="majorEastAsia" w:hAnsiTheme="majorHAnsi" w:cstheme="majorBidi"/>
      <w:i/>
      <w:iCs/>
      <w:color w:val="490800" w:themeColor="accent1" w:themeShade="7F"/>
    </w:rPr>
  </w:style>
  <w:style w:type="character" w:customStyle="1" w:styleId="Heading8Char">
    <w:name w:val="Heading 8 Char"/>
    <w:basedOn w:val="DefaultParagraphFont"/>
    <w:link w:val="Heading8"/>
    <w:uiPriority w:val="9"/>
    <w:semiHidden/>
    <w:rsid w:val="009C7676"/>
    <w:rPr>
      <w:rFonts w:asciiTheme="majorHAnsi" w:eastAsiaTheme="majorEastAsia" w:hAnsiTheme="majorHAnsi" w:cstheme="majorBidi"/>
      <w:color w:val="CB1700" w:themeColor="text1" w:themeTint="D8"/>
      <w:sz w:val="21"/>
      <w:szCs w:val="21"/>
    </w:rPr>
  </w:style>
  <w:style w:type="table" w:customStyle="1" w:styleId="TableGrid1">
    <w:name w:val="Table Grid1"/>
    <w:basedOn w:val="TableNormal"/>
    <w:next w:val="TableGrid"/>
    <w:uiPriority w:val="39"/>
    <w:rsid w:val="002A690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D01B9"/>
    <w:rPr>
      <w:i/>
      <w:iCs/>
      <w:color w:val="941100" w:themeColor="accent1"/>
    </w:rPr>
  </w:style>
  <w:style w:type="paragraph" w:styleId="NoSpacing">
    <w:name w:val="No Spacing"/>
    <w:uiPriority w:val="1"/>
    <w:qFormat/>
    <w:rsid w:val="003C15A7"/>
    <w:pPr>
      <w:jc w:val="both"/>
    </w:pPr>
    <w:rPr>
      <w:rFonts w:eastAsiaTheme="minorEastAsia"/>
      <w:color w:val="000000" w:themeColor="accent3"/>
    </w:rPr>
  </w:style>
  <w:style w:type="numbering" w:customStyle="1" w:styleId="CurrentList1">
    <w:name w:val="Current List1"/>
    <w:uiPriority w:val="99"/>
    <w:rsid w:val="00A4415C"/>
    <w:pPr>
      <w:numPr>
        <w:numId w:val="23"/>
      </w:numPr>
    </w:pPr>
  </w:style>
  <w:style w:type="numbering" w:customStyle="1" w:styleId="CurrentList2">
    <w:name w:val="Current List2"/>
    <w:uiPriority w:val="99"/>
    <w:rsid w:val="00A4415C"/>
    <w:pPr>
      <w:numPr>
        <w:numId w:val="24"/>
      </w:numPr>
    </w:pPr>
  </w:style>
  <w:style w:type="numbering" w:customStyle="1" w:styleId="CurrentList3">
    <w:name w:val="Current List3"/>
    <w:uiPriority w:val="99"/>
    <w:rsid w:val="00A4415C"/>
    <w:pPr>
      <w:numPr>
        <w:numId w:val="25"/>
      </w:numPr>
    </w:pPr>
  </w:style>
  <w:style w:type="numbering" w:customStyle="1" w:styleId="CurrentList4">
    <w:name w:val="Current List4"/>
    <w:uiPriority w:val="99"/>
    <w:rsid w:val="00A4415C"/>
    <w:pPr>
      <w:numPr>
        <w:numId w:val="26"/>
      </w:numPr>
    </w:pPr>
  </w:style>
  <w:style w:type="character" w:styleId="HTMLCode">
    <w:name w:val="HTML Code"/>
    <w:basedOn w:val="DefaultParagraphFont"/>
    <w:uiPriority w:val="99"/>
    <w:semiHidden/>
    <w:unhideWhenUsed/>
    <w:rsid w:val="00A4415C"/>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DD4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31">
      <w:bodyDiv w:val="1"/>
      <w:marLeft w:val="0"/>
      <w:marRight w:val="0"/>
      <w:marTop w:val="0"/>
      <w:marBottom w:val="0"/>
      <w:divBdr>
        <w:top w:val="none" w:sz="0" w:space="0" w:color="auto"/>
        <w:left w:val="none" w:sz="0" w:space="0" w:color="auto"/>
        <w:bottom w:val="none" w:sz="0" w:space="0" w:color="auto"/>
        <w:right w:val="none" w:sz="0" w:space="0" w:color="auto"/>
      </w:divBdr>
    </w:div>
    <w:div w:id="1398763">
      <w:bodyDiv w:val="1"/>
      <w:marLeft w:val="0"/>
      <w:marRight w:val="0"/>
      <w:marTop w:val="0"/>
      <w:marBottom w:val="0"/>
      <w:divBdr>
        <w:top w:val="none" w:sz="0" w:space="0" w:color="auto"/>
        <w:left w:val="none" w:sz="0" w:space="0" w:color="auto"/>
        <w:bottom w:val="none" w:sz="0" w:space="0" w:color="auto"/>
        <w:right w:val="none" w:sz="0" w:space="0" w:color="auto"/>
      </w:divBdr>
    </w:div>
    <w:div w:id="7677282">
      <w:bodyDiv w:val="1"/>
      <w:marLeft w:val="0"/>
      <w:marRight w:val="0"/>
      <w:marTop w:val="0"/>
      <w:marBottom w:val="0"/>
      <w:divBdr>
        <w:top w:val="none" w:sz="0" w:space="0" w:color="auto"/>
        <w:left w:val="none" w:sz="0" w:space="0" w:color="auto"/>
        <w:bottom w:val="none" w:sz="0" w:space="0" w:color="auto"/>
        <w:right w:val="none" w:sz="0" w:space="0" w:color="auto"/>
      </w:divBdr>
    </w:div>
    <w:div w:id="8679568">
      <w:bodyDiv w:val="1"/>
      <w:marLeft w:val="0"/>
      <w:marRight w:val="0"/>
      <w:marTop w:val="0"/>
      <w:marBottom w:val="0"/>
      <w:divBdr>
        <w:top w:val="none" w:sz="0" w:space="0" w:color="auto"/>
        <w:left w:val="none" w:sz="0" w:space="0" w:color="auto"/>
        <w:bottom w:val="none" w:sz="0" w:space="0" w:color="auto"/>
        <w:right w:val="none" w:sz="0" w:space="0" w:color="auto"/>
      </w:divBdr>
    </w:div>
    <w:div w:id="9987354">
      <w:bodyDiv w:val="1"/>
      <w:marLeft w:val="0"/>
      <w:marRight w:val="0"/>
      <w:marTop w:val="0"/>
      <w:marBottom w:val="0"/>
      <w:divBdr>
        <w:top w:val="none" w:sz="0" w:space="0" w:color="auto"/>
        <w:left w:val="none" w:sz="0" w:space="0" w:color="auto"/>
        <w:bottom w:val="none" w:sz="0" w:space="0" w:color="auto"/>
        <w:right w:val="none" w:sz="0" w:space="0" w:color="auto"/>
      </w:divBdr>
    </w:div>
    <w:div w:id="10837000">
      <w:bodyDiv w:val="1"/>
      <w:marLeft w:val="0"/>
      <w:marRight w:val="0"/>
      <w:marTop w:val="0"/>
      <w:marBottom w:val="0"/>
      <w:divBdr>
        <w:top w:val="none" w:sz="0" w:space="0" w:color="auto"/>
        <w:left w:val="none" w:sz="0" w:space="0" w:color="auto"/>
        <w:bottom w:val="none" w:sz="0" w:space="0" w:color="auto"/>
        <w:right w:val="none" w:sz="0" w:space="0" w:color="auto"/>
      </w:divBdr>
    </w:div>
    <w:div w:id="12389440">
      <w:bodyDiv w:val="1"/>
      <w:marLeft w:val="0"/>
      <w:marRight w:val="0"/>
      <w:marTop w:val="0"/>
      <w:marBottom w:val="0"/>
      <w:divBdr>
        <w:top w:val="none" w:sz="0" w:space="0" w:color="auto"/>
        <w:left w:val="none" w:sz="0" w:space="0" w:color="auto"/>
        <w:bottom w:val="none" w:sz="0" w:space="0" w:color="auto"/>
        <w:right w:val="none" w:sz="0" w:space="0" w:color="auto"/>
      </w:divBdr>
    </w:div>
    <w:div w:id="13456769">
      <w:bodyDiv w:val="1"/>
      <w:marLeft w:val="0"/>
      <w:marRight w:val="0"/>
      <w:marTop w:val="0"/>
      <w:marBottom w:val="0"/>
      <w:divBdr>
        <w:top w:val="none" w:sz="0" w:space="0" w:color="auto"/>
        <w:left w:val="none" w:sz="0" w:space="0" w:color="auto"/>
        <w:bottom w:val="none" w:sz="0" w:space="0" w:color="auto"/>
        <w:right w:val="none" w:sz="0" w:space="0" w:color="auto"/>
      </w:divBdr>
    </w:div>
    <w:div w:id="16541853">
      <w:bodyDiv w:val="1"/>
      <w:marLeft w:val="0"/>
      <w:marRight w:val="0"/>
      <w:marTop w:val="0"/>
      <w:marBottom w:val="0"/>
      <w:divBdr>
        <w:top w:val="none" w:sz="0" w:space="0" w:color="auto"/>
        <w:left w:val="none" w:sz="0" w:space="0" w:color="auto"/>
        <w:bottom w:val="none" w:sz="0" w:space="0" w:color="auto"/>
        <w:right w:val="none" w:sz="0" w:space="0" w:color="auto"/>
      </w:divBdr>
    </w:div>
    <w:div w:id="16664153">
      <w:bodyDiv w:val="1"/>
      <w:marLeft w:val="0"/>
      <w:marRight w:val="0"/>
      <w:marTop w:val="0"/>
      <w:marBottom w:val="0"/>
      <w:divBdr>
        <w:top w:val="none" w:sz="0" w:space="0" w:color="auto"/>
        <w:left w:val="none" w:sz="0" w:space="0" w:color="auto"/>
        <w:bottom w:val="none" w:sz="0" w:space="0" w:color="auto"/>
        <w:right w:val="none" w:sz="0" w:space="0" w:color="auto"/>
      </w:divBdr>
    </w:div>
    <w:div w:id="19360125">
      <w:bodyDiv w:val="1"/>
      <w:marLeft w:val="0"/>
      <w:marRight w:val="0"/>
      <w:marTop w:val="0"/>
      <w:marBottom w:val="0"/>
      <w:divBdr>
        <w:top w:val="none" w:sz="0" w:space="0" w:color="auto"/>
        <w:left w:val="none" w:sz="0" w:space="0" w:color="auto"/>
        <w:bottom w:val="none" w:sz="0" w:space="0" w:color="auto"/>
        <w:right w:val="none" w:sz="0" w:space="0" w:color="auto"/>
      </w:divBdr>
    </w:div>
    <w:div w:id="19431175">
      <w:bodyDiv w:val="1"/>
      <w:marLeft w:val="0"/>
      <w:marRight w:val="0"/>
      <w:marTop w:val="0"/>
      <w:marBottom w:val="0"/>
      <w:divBdr>
        <w:top w:val="none" w:sz="0" w:space="0" w:color="auto"/>
        <w:left w:val="none" w:sz="0" w:space="0" w:color="auto"/>
        <w:bottom w:val="none" w:sz="0" w:space="0" w:color="auto"/>
        <w:right w:val="none" w:sz="0" w:space="0" w:color="auto"/>
      </w:divBdr>
    </w:div>
    <w:div w:id="26374001">
      <w:bodyDiv w:val="1"/>
      <w:marLeft w:val="0"/>
      <w:marRight w:val="0"/>
      <w:marTop w:val="0"/>
      <w:marBottom w:val="0"/>
      <w:divBdr>
        <w:top w:val="none" w:sz="0" w:space="0" w:color="auto"/>
        <w:left w:val="none" w:sz="0" w:space="0" w:color="auto"/>
        <w:bottom w:val="none" w:sz="0" w:space="0" w:color="auto"/>
        <w:right w:val="none" w:sz="0" w:space="0" w:color="auto"/>
      </w:divBdr>
    </w:div>
    <w:div w:id="26566311">
      <w:bodyDiv w:val="1"/>
      <w:marLeft w:val="0"/>
      <w:marRight w:val="0"/>
      <w:marTop w:val="0"/>
      <w:marBottom w:val="0"/>
      <w:divBdr>
        <w:top w:val="none" w:sz="0" w:space="0" w:color="auto"/>
        <w:left w:val="none" w:sz="0" w:space="0" w:color="auto"/>
        <w:bottom w:val="none" w:sz="0" w:space="0" w:color="auto"/>
        <w:right w:val="none" w:sz="0" w:space="0" w:color="auto"/>
      </w:divBdr>
      <w:divsChild>
        <w:div w:id="2146073595">
          <w:marLeft w:val="0"/>
          <w:marRight w:val="0"/>
          <w:marTop w:val="0"/>
          <w:marBottom w:val="0"/>
          <w:divBdr>
            <w:top w:val="none" w:sz="0" w:space="0" w:color="auto"/>
            <w:left w:val="none" w:sz="0" w:space="0" w:color="auto"/>
            <w:bottom w:val="none" w:sz="0" w:space="0" w:color="auto"/>
            <w:right w:val="none" w:sz="0" w:space="0" w:color="auto"/>
          </w:divBdr>
          <w:divsChild>
            <w:div w:id="1116757629">
              <w:marLeft w:val="0"/>
              <w:marRight w:val="0"/>
              <w:marTop w:val="0"/>
              <w:marBottom w:val="0"/>
              <w:divBdr>
                <w:top w:val="none" w:sz="0" w:space="0" w:color="auto"/>
                <w:left w:val="none" w:sz="0" w:space="0" w:color="auto"/>
                <w:bottom w:val="none" w:sz="0" w:space="0" w:color="auto"/>
                <w:right w:val="none" w:sz="0" w:space="0" w:color="auto"/>
              </w:divBdr>
              <w:divsChild>
                <w:div w:id="10499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4844">
      <w:bodyDiv w:val="1"/>
      <w:marLeft w:val="0"/>
      <w:marRight w:val="0"/>
      <w:marTop w:val="0"/>
      <w:marBottom w:val="0"/>
      <w:divBdr>
        <w:top w:val="none" w:sz="0" w:space="0" w:color="auto"/>
        <w:left w:val="none" w:sz="0" w:space="0" w:color="auto"/>
        <w:bottom w:val="none" w:sz="0" w:space="0" w:color="auto"/>
        <w:right w:val="none" w:sz="0" w:space="0" w:color="auto"/>
      </w:divBdr>
    </w:div>
    <w:div w:id="33819751">
      <w:bodyDiv w:val="1"/>
      <w:marLeft w:val="0"/>
      <w:marRight w:val="0"/>
      <w:marTop w:val="0"/>
      <w:marBottom w:val="0"/>
      <w:divBdr>
        <w:top w:val="none" w:sz="0" w:space="0" w:color="auto"/>
        <w:left w:val="none" w:sz="0" w:space="0" w:color="auto"/>
        <w:bottom w:val="none" w:sz="0" w:space="0" w:color="auto"/>
        <w:right w:val="none" w:sz="0" w:space="0" w:color="auto"/>
      </w:divBdr>
    </w:div>
    <w:div w:id="34156418">
      <w:bodyDiv w:val="1"/>
      <w:marLeft w:val="0"/>
      <w:marRight w:val="0"/>
      <w:marTop w:val="0"/>
      <w:marBottom w:val="0"/>
      <w:divBdr>
        <w:top w:val="none" w:sz="0" w:space="0" w:color="auto"/>
        <w:left w:val="none" w:sz="0" w:space="0" w:color="auto"/>
        <w:bottom w:val="none" w:sz="0" w:space="0" w:color="auto"/>
        <w:right w:val="none" w:sz="0" w:space="0" w:color="auto"/>
      </w:divBdr>
    </w:div>
    <w:div w:id="34232254">
      <w:bodyDiv w:val="1"/>
      <w:marLeft w:val="0"/>
      <w:marRight w:val="0"/>
      <w:marTop w:val="0"/>
      <w:marBottom w:val="0"/>
      <w:divBdr>
        <w:top w:val="none" w:sz="0" w:space="0" w:color="auto"/>
        <w:left w:val="none" w:sz="0" w:space="0" w:color="auto"/>
        <w:bottom w:val="none" w:sz="0" w:space="0" w:color="auto"/>
        <w:right w:val="none" w:sz="0" w:space="0" w:color="auto"/>
      </w:divBdr>
      <w:divsChild>
        <w:div w:id="1641694366">
          <w:marLeft w:val="0"/>
          <w:marRight w:val="0"/>
          <w:marTop w:val="0"/>
          <w:marBottom w:val="0"/>
          <w:divBdr>
            <w:top w:val="none" w:sz="0" w:space="0" w:color="auto"/>
            <w:left w:val="none" w:sz="0" w:space="0" w:color="auto"/>
            <w:bottom w:val="none" w:sz="0" w:space="0" w:color="auto"/>
            <w:right w:val="none" w:sz="0" w:space="0" w:color="auto"/>
          </w:divBdr>
          <w:divsChild>
            <w:div w:id="1876455204">
              <w:marLeft w:val="0"/>
              <w:marRight w:val="0"/>
              <w:marTop w:val="0"/>
              <w:marBottom w:val="0"/>
              <w:divBdr>
                <w:top w:val="none" w:sz="0" w:space="0" w:color="auto"/>
                <w:left w:val="none" w:sz="0" w:space="0" w:color="auto"/>
                <w:bottom w:val="none" w:sz="0" w:space="0" w:color="auto"/>
                <w:right w:val="none" w:sz="0" w:space="0" w:color="auto"/>
              </w:divBdr>
              <w:divsChild>
                <w:div w:id="8740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311">
      <w:bodyDiv w:val="1"/>
      <w:marLeft w:val="0"/>
      <w:marRight w:val="0"/>
      <w:marTop w:val="0"/>
      <w:marBottom w:val="0"/>
      <w:divBdr>
        <w:top w:val="none" w:sz="0" w:space="0" w:color="auto"/>
        <w:left w:val="none" w:sz="0" w:space="0" w:color="auto"/>
        <w:bottom w:val="none" w:sz="0" w:space="0" w:color="auto"/>
        <w:right w:val="none" w:sz="0" w:space="0" w:color="auto"/>
      </w:divBdr>
    </w:div>
    <w:div w:id="36055304">
      <w:bodyDiv w:val="1"/>
      <w:marLeft w:val="0"/>
      <w:marRight w:val="0"/>
      <w:marTop w:val="0"/>
      <w:marBottom w:val="0"/>
      <w:divBdr>
        <w:top w:val="none" w:sz="0" w:space="0" w:color="auto"/>
        <w:left w:val="none" w:sz="0" w:space="0" w:color="auto"/>
        <w:bottom w:val="none" w:sz="0" w:space="0" w:color="auto"/>
        <w:right w:val="none" w:sz="0" w:space="0" w:color="auto"/>
      </w:divBdr>
    </w:div>
    <w:div w:id="37558665">
      <w:bodyDiv w:val="1"/>
      <w:marLeft w:val="0"/>
      <w:marRight w:val="0"/>
      <w:marTop w:val="0"/>
      <w:marBottom w:val="0"/>
      <w:divBdr>
        <w:top w:val="none" w:sz="0" w:space="0" w:color="auto"/>
        <w:left w:val="none" w:sz="0" w:space="0" w:color="auto"/>
        <w:bottom w:val="none" w:sz="0" w:space="0" w:color="auto"/>
        <w:right w:val="none" w:sz="0" w:space="0" w:color="auto"/>
      </w:divBdr>
    </w:div>
    <w:div w:id="42484795">
      <w:bodyDiv w:val="1"/>
      <w:marLeft w:val="0"/>
      <w:marRight w:val="0"/>
      <w:marTop w:val="0"/>
      <w:marBottom w:val="0"/>
      <w:divBdr>
        <w:top w:val="none" w:sz="0" w:space="0" w:color="auto"/>
        <w:left w:val="none" w:sz="0" w:space="0" w:color="auto"/>
        <w:bottom w:val="none" w:sz="0" w:space="0" w:color="auto"/>
        <w:right w:val="none" w:sz="0" w:space="0" w:color="auto"/>
      </w:divBdr>
    </w:div>
    <w:div w:id="44566915">
      <w:bodyDiv w:val="1"/>
      <w:marLeft w:val="0"/>
      <w:marRight w:val="0"/>
      <w:marTop w:val="0"/>
      <w:marBottom w:val="0"/>
      <w:divBdr>
        <w:top w:val="none" w:sz="0" w:space="0" w:color="auto"/>
        <w:left w:val="none" w:sz="0" w:space="0" w:color="auto"/>
        <w:bottom w:val="none" w:sz="0" w:space="0" w:color="auto"/>
        <w:right w:val="none" w:sz="0" w:space="0" w:color="auto"/>
      </w:divBdr>
      <w:divsChild>
        <w:div w:id="1659920020">
          <w:marLeft w:val="0"/>
          <w:marRight w:val="0"/>
          <w:marTop w:val="0"/>
          <w:marBottom w:val="0"/>
          <w:divBdr>
            <w:top w:val="none" w:sz="0" w:space="0" w:color="auto"/>
            <w:left w:val="none" w:sz="0" w:space="0" w:color="auto"/>
            <w:bottom w:val="none" w:sz="0" w:space="0" w:color="auto"/>
            <w:right w:val="none" w:sz="0" w:space="0" w:color="auto"/>
          </w:divBdr>
          <w:divsChild>
            <w:div w:id="876746559">
              <w:marLeft w:val="0"/>
              <w:marRight w:val="0"/>
              <w:marTop w:val="0"/>
              <w:marBottom w:val="0"/>
              <w:divBdr>
                <w:top w:val="none" w:sz="0" w:space="0" w:color="auto"/>
                <w:left w:val="none" w:sz="0" w:space="0" w:color="auto"/>
                <w:bottom w:val="none" w:sz="0" w:space="0" w:color="auto"/>
                <w:right w:val="none" w:sz="0" w:space="0" w:color="auto"/>
              </w:divBdr>
              <w:divsChild>
                <w:div w:id="898128627">
                  <w:marLeft w:val="0"/>
                  <w:marRight w:val="0"/>
                  <w:marTop w:val="0"/>
                  <w:marBottom w:val="0"/>
                  <w:divBdr>
                    <w:top w:val="none" w:sz="0" w:space="0" w:color="auto"/>
                    <w:left w:val="none" w:sz="0" w:space="0" w:color="auto"/>
                    <w:bottom w:val="none" w:sz="0" w:space="0" w:color="auto"/>
                    <w:right w:val="none" w:sz="0" w:space="0" w:color="auto"/>
                  </w:divBdr>
                  <w:divsChild>
                    <w:div w:id="17171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4268">
      <w:bodyDiv w:val="1"/>
      <w:marLeft w:val="0"/>
      <w:marRight w:val="0"/>
      <w:marTop w:val="0"/>
      <w:marBottom w:val="0"/>
      <w:divBdr>
        <w:top w:val="none" w:sz="0" w:space="0" w:color="auto"/>
        <w:left w:val="none" w:sz="0" w:space="0" w:color="auto"/>
        <w:bottom w:val="none" w:sz="0" w:space="0" w:color="auto"/>
        <w:right w:val="none" w:sz="0" w:space="0" w:color="auto"/>
      </w:divBdr>
    </w:div>
    <w:div w:id="47266308">
      <w:bodyDiv w:val="1"/>
      <w:marLeft w:val="0"/>
      <w:marRight w:val="0"/>
      <w:marTop w:val="0"/>
      <w:marBottom w:val="0"/>
      <w:divBdr>
        <w:top w:val="none" w:sz="0" w:space="0" w:color="auto"/>
        <w:left w:val="none" w:sz="0" w:space="0" w:color="auto"/>
        <w:bottom w:val="none" w:sz="0" w:space="0" w:color="auto"/>
        <w:right w:val="none" w:sz="0" w:space="0" w:color="auto"/>
      </w:divBdr>
    </w:div>
    <w:div w:id="47842100">
      <w:bodyDiv w:val="1"/>
      <w:marLeft w:val="0"/>
      <w:marRight w:val="0"/>
      <w:marTop w:val="0"/>
      <w:marBottom w:val="0"/>
      <w:divBdr>
        <w:top w:val="none" w:sz="0" w:space="0" w:color="auto"/>
        <w:left w:val="none" w:sz="0" w:space="0" w:color="auto"/>
        <w:bottom w:val="none" w:sz="0" w:space="0" w:color="auto"/>
        <w:right w:val="none" w:sz="0" w:space="0" w:color="auto"/>
      </w:divBdr>
    </w:div>
    <w:div w:id="60376763">
      <w:bodyDiv w:val="1"/>
      <w:marLeft w:val="0"/>
      <w:marRight w:val="0"/>
      <w:marTop w:val="0"/>
      <w:marBottom w:val="0"/>
      <w:divBdr>
        <w:top w:val="none" w:sz="0" w:space="0" w:color="auto"/>
        <w:left w:val="none" w:sz="0" w:space="0" w:color="auto"/>
        <w:bottom w:val="none" w:sz="0" w:space="0" w:color="auto"/>
        <w:right w:val="none" w:sz="0" w:space="0" w:color="auto"/>
      </w:divBdr>
    </w:div>
    <w:div w:id="60759707">
      <w:bodyDiv w:val="1"/>
      <w:marLeft w:val="0"/>
      <w:marRight w:val="0"/>
      <w:marTop w:val="0"/>
      <w:marBottom w:val="0"/>
      <w:divBdr>
        <w:top w:val="none" w:sz="0" w:space="0" w:color="auto"/>
        <w:left w:val="none" w:sz="0" w:space="0" w:color="auto"/>
        <w:bottom w:val="none" w:sz="0" w:space="0" w:color="auto"/>
        <w:right w:val="none" w:sz="0" w:space="0" w:color="auto"/>
      </w:divBdr>
    </w:div>
    <w:div w:id="60905280">
      <w:bodyDiv w:val="1"/>
      <w:marLeft w:val="0"/>
      <w:marRight w:val="0"/>
      <w:marTop w:val="0"/>
      <w:marBottom w:val="0"/>
      <w:divBdr>
        <w:top w:val="none" w:sz="0" w:space="0" w:color="auto"/>
        <w:left w:val="none" w:sz="0" w:space="0" w:color="auto"/>
        <w:bottom w:val="none" w:sz="0" w:space="0" w:color="auto"/>
        <w:right w:val="none" w:sz="0" w:space="0" w:color="auto"/>
      </w:divBdr>
    </w:div>
    <w:div w:id="66732171">
      <w:bodyDiv w:val="1"/>
      <w:marLeft w:val="0"/>
      <w:marRight w:val="0"/>
      <w:marTop w:val="0"/>
      <w:marBottom w:val="0"/>
      <w:divBdr>
        <w:top w:val="none" w:sz="0" w:space="0" w:color="auto"/>
        <w:left w:val="none" w:sz="0" w:space="0" w:color="auto"/>
        <w:bottom w:val="none" w:sz="0" w:space="0" w:color="auto"/>
        <w:right w:val="none" w:sz="0" w:space="0" w:color="auto"/>
      </w:divBdr>
    </w:div>
    <w:div w:id="68164096">
      <w:bodyDiv w:val="1"/>
      <w:marLeft w:val="0"/>
      <w:marRight w:val="0"/>
      <w:marTop w:val="0"/>
      <w:marBottom w:val="0"/>
      <w:divBdr>
        <w:top w:val="none" w:sz="0" w:space="0" w:color="auto"/>
        <w:left w:val="none" w:sz="0" w:space="0" w:color="auto"/>
        <w:bottom w:val="none" w:sz="0" w:space="0" w:color="auto"/>
        <w:right w:val="none" w:sz="0" w:space="0" w:color="auto"/>
      </w:divBdr>
    </w:div>
    <w:div w:id="68768334">
      <w:bodyDiv w:val="1"/>
      <w:marLeft w:val="0"/>
      <w:marRight w:val="0"/>
      <w:marTop w:val="0"/>
      <w:marBottom w:val="0"/>
      <w:divBdr>
        <w:top w:val="none" w:sz="0" w:space="0" w:color="auto"/>
        <w:left w:val="none" w:sz="0" w:space="0" w:color="auto"/>
        <w:bottom w:val="none" w:sz="0" w:space="0" w:color="auto"/>
        <w:right w:val="none" w:sz="0" w:space="0" w:color="auto"/>
      </w:divBdr>
    </w:div>
    <w:div w:id="68891706">
      <w:bodyDiv w:val="1"/>
      <w:marLeft w:val="0"/>
      <w:marRight w:val="0"/>
      <w:marTop w:val="0"/>
      <w:marBottom w:val="0"/>
      <w:divBdr>
        <w:top w:val="none" w:sz="0" w:space="0" w:color="auto"/>
        <w:left w:val="none" w:sz="0" w:space="0" w:color="auto"/>
        <w:bottom w:val="none" w:sz="0" w:space="0" w:color="auto"/>
        <w:right w:val="none" w:sz="0" w:space="0" w:color="auto"/>
      </w:divBdr>
      <w:divsChild>
        <w:div w:id="1962685180">
          <w:marLeft w:val="0"/>
          <w:marRight w:val="0"/>
          <w:marTop w:val="0"/>
          <w:marBottom w:val="0"/>
          <w:divBdr>
            <w:top w:val="none" w:sz="0" w:space="0" w:color="auto"/>
            <w:left w:val="none" w:sz="0" w:space="0" w:color="auto"/>
            <w:bottom w:val="none" w:sz="0" w:space="0" w:color="auto"/>
            <w:right w:val="none" w:sz="0" w:space="0" w:color="auto"/>
          </w:divBdr>
          <w:divsChild>
            <w:div w:id="975841656">
              <w:marLeft w:val="0"/>
              <w:marRight w:val="0"/>
              <w:marTop w:val="0"/>
              <w:marBottom w:val="0"/>
              <w:divBdr>
                <w:top w:val="none" w:sz="0" w:space="0" w:color="auto"/>
                <w:left w:val="none" w:sz="0" w:space="0" w:color="auto"/>
                <w:bottom w:val="none" w:sz="0" w:space="0" w:color="auto"/>
                <w:right w:val="none" w:sz="0" w:space="0" w:color="auto"/>
              </w:divBdr>
              <w:divsChild>
                <w:div w:id="944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8895">
      <w:bodyDiv w:val="1"/>
      <w:marLeft w:val="0"/>
      <w:marRight w:val="0"/>
      <w:marTop w:val="0"/>
      <w:marBottom w:val="0"/>
      <w:divBdr>
        <w:top w:val="none" w:sz="0" w:space="0" w:color="auto"/>
        <w:left w:val="none" w:sz="0" w:space="0" w:color="auto"/>
        <w:bottom w:val="none" w:sz="0" w:space="0" w:color="auto"/>
        <w:right w:val="none" w:sz="0" w:space="0" w:color="auto"/>
      </w:divBdr>
    </w:div>
    <w:div w:id="77867052">
      <w:bodyDiv w:val="1"/>
      <w:marLeft w:val="0"/>
      <w:marRight w:val="0"/>
      <w:marTop w:val="0"/>
      <w:marBottom w:val="0"/>
      <w:divBdr>
        <w:top w:val="none" w:sz="0" w:space="0" w:color="auto"/>
        <w:left w:val="none" w:sz="0" w:space="0" w:color="auto"/>
        <w:bottom w:val="none" w:sz="0" w:space="0" w:color="auto"/>
        <w:right w:val="none" w:sz="0" w:space="0" w:color="auto"/>
      </w:divBdr>
    </w:div>
    <w:div w:id="80685628">
      <w:bodyDiv w:val="1"/>
      <w:marLeft w:val="0"/>
      <w:marRight w:val="0"/>
      <w:marTop w:val="0"/>
      <w:marBottom w:val="0"/>
      <w:divBdr>
        <w:top w:val="none" w:sz="0" w:space="0" w:color="auto"/>
        <w:left w:val="none" w:sz="0" w:space="0" w:color="auto"/>
        <w:bottom w:val="none" w:sz="0" w:space="0" w:color="auto"/>
        <w:right w:val="none" w:sz="0" w:space="0" w:color="auto"/>
      </w:divBdr>
    </w:div>
    <w:div w:id="81873486">
      <w:bodyDiv w:val="1"/>
      <w:marLeft w:val="0"/>
      <w:marRight w:val="0"/>
      <w:marTop w:val="0"/>
      <w:marBottom w:val="0"/>
      <w:divBdr>
        <w:top w:val="none" w:sz="0" w:space="0" w:color="auto"/>
        <w:left w:val="none" w:sz="0" w:space="0" w:color="auto"/>
        <w:bottom w:val="none" w:sz="0" w:space="0" w:color="auto"/>
        <w:right w:val="none" w:sz="0" w:space="0" w:color="auto"/>
      </w:divBdr>
    </w:div>
    <w:div w:id="82725273">
      <w:bodyDiv w:val="1"/>
      <w:marLeft w:val="0"/>
      <w:marRight w:val="0"/>
      <w:marTop w:val="0"/>
      <w:marBottom w:val="0"/>
      <w:divBdr>
        <w:top w:val="none" w:sz="0" w:space="0" w:color="auto"/>
        <w:left w:val="none" w:sz="0" w:space="0" w:color="auto"/>
        <w:bottom w:val="none" w:sz="0" w:space="0" w:color="auto"/>
        <w:right w:val="none" w:sz="0" w:space="0" w:color="auto"/>
      </w:divBdr>
    </w:div>
    <w:div w:id="89661567">
      <w:bodyDiv w:val="1"/>
      <w:marLeft w:val="0"/>
      <w:marRight w:val="0"/>
      <w:marTop w:val="0"/>
      <w:marBottom w:val="0"/>
      <w:divBdr>
        <w:top w:val="none" w:sz="0" w:space="0" w:color="auto"/>
        <w:left w:val="none" w:sz="0" w:space="0" w:color="auto"/>
        <w:bottom w:val="none" w:sz="0" w:space="0" w:color="auto"/>
        <w:right w:val="none" w:sz="0" w:space="0" w:color="auto"/>
      </w:divBdr>
    </w:div>
    <w:div w:id="90207910">
      <w:bodyDiv w:val="1"/>
      <w:marLeft w:val="0"/>
      <w:marRight w:val="0"/>
      <w:marTop w:val="0"/>
      <w:marBottom w:val="0"/>
      <w:divBdr>
        <w:top w:val="none" w:sz="0" w:space="0" w:color="auto"/>
        <w:left w:val="none" w:sz="0" w:space="0" w:color="auto"/>
        <w:bottom w:val="none" w:sz="0" w:space="0" w:color="auto"/>
        <w:right w:val="none" w:sz="0" w:space="0" w:color="auto"/>
      </w:divBdr>
    </w:div>
    <w:div w:id="90710057">
      <w:bodyDiv w:val="1"/>
      <w:marLeft w:val="0"/>
      <w:marRight w:val="0"/>
      <w:marTop w:val="0"/>
      <w:marBottom w:val="0"/>
      <w:divBdr>
        <w:top w:val="none" w:sz="0" w:space="0" w:color="auto"/>
        <w:left w:val="none" w:sz="0" w:space="0" w:color="auto"/>
        <w:bottom w:val="none" w:sz="0" w:space="0" w:color="auto"/>
        <w:right w:val="none" w:sz="0" w:space="0" w:color="auto"/>
      </w:divBdr>
    </w:div>
    <w:div w:id="90859152">
      <w:bodyDiv w:val="1"/>
      <w:marLeft w:val="0"/>
      <w:marRight w:val="0"/>
      <w:marTop w:val="0"/>
      <w:marBottom w:val="0"/>
      <w:divBdr>
        <w:top w:val="none" w:sz="0" w:space="0" w:color="auto"/>
        <w:left w:val="none" w:sz="0" w:space="0" w:color="auto"/>
        <w:bottom w:val="none" w:sz="0" w:space="0" w:color="auto"/>
        <w:right w:val="none" w:sz="0" w:space="0" w:color="auto"/>
      </w:divBdr>
    </w:div>
    <w:div w:id="94907551">
      <w:bodyDiv w:val="1"/>
      <w:marLeft w:val="0"/>
      <w:marRight w:val="0"/>
      <w:marTop w:val="0"/>
      <w:marBottom w:val="0"/>
      <w:divBdr>
        <w:top w:val="none" w:sz="0" w:space="0" w:color="auto"/>
        <w:left w:val="none" w:sz="0" w:space="0" w:color="auto"/>
        <w:bottom w:val="none" w:sz="0" w:space="0" w:color="auto"/>
        <w:right w:val="none" w:sz="0" w:space="0" w:color="auto"/>
      </w:divBdr>
    </w:div>
    <w:div w:id="100613165">
      <w:bodyDiv w:val="1"/>
      <w:marLeft w:val="0"/>
      <w:marRight w:val="0"/>
      <w:marTop w:val="0"/>
      <w:marBottom w:val="0"/>
      <w:divBdr>
        <w:top w:val="none" w:sz="0" w:space="0" w:color="auto"/>
        <w:left w:val="none" w:sz="0" w:space="0" w:color="auto"/>
        <w:bottom w:val="none" w:sz="0" w:space="0" w:color="auto"/>
        <w:right w:val="none" w:sz="0" w:space="0" w:color="auto"/>
      </w:divBdr>
    </w:div>
    <w:div w:id="103574608">
      <w:bodyDiv w:val="1"/>
      <w:marLeft w:val="0"/>
      <w:marRight w:val="0"/>
      <w:marTop w:val="0"/>
      <w:marBottom w:val="0"/>
      <w:divBdr>
        <w:top w:val="none" w:sz="0" w:space="0" w:color="auto"/>
        <w:left w:val="none" w:sz="0" w:space="0" w:color="auto"/>
        <w:bottom w:val="none" w:sz="0" w:space="0" w:color="auto"/>
        <w:right w:val="none" w:sz="0" w:space="0" w:color="auto"/>
      </w:divBdr>
    </w:div>
    <w:div w:id="114107732">
      <w:bodyDiv w:val="1"/>
      <w:marLeft w:val="0"/>
      <w:marRight w:val="0"/>
      <w:marTop w:val="0"/>
      <w:marBottom w:val="0"/>
      <w:divBdr>
        <w:top w:val="none" w:sz="0" w:space="0" w:color="auto"/>
        <w:left w:val="none" w:sz="0" w:space="0" w:color="auto"/>
        <w:bottom w:val="none" w:sz="0" w:space="0" w:color="auto"/>
        <w:right w:val="none" w:sz="0" w:space="0" w:color="auto"/>
      </w:divBdr>
    </w:div>
    <w:div w:id="116334695">
      <w:bodyDiv w:val="1"/>
      <w:marLeft w:val="0"/>
      <w:marRight w:val="0"/>
      <w:marTop w:val="0"/>
      <w:marBottom w:val="0"/>
      <w:divBdr>
        <w:top w:val="none" w:sz="0" w:space="0" w:color="auto"/>
        <w:left w:val="none" w:sz="0" w:space="0" w:color="auto"/>
        <w:bottom w:val="none" w:sz="0" w:space="0" w:color="auto"/>
        <w:right w:val="none" w:sz="0" w:space="0" w:color="auto"/>
      </w:divBdr>
    </w:div>
    <w:div w:id="119149705">
      <w:bodyDiv w:val="1"/>
      <w:marLeft w:val="0"/>
      <w:marRight w:val="0"/>
      <w:marTop w:val="0"/>
      <w:marBottom w:val="0"/>
      <w:divBdr>
        <w:top w:val="none" w:sz="0" w:space="0" w:color="auto"/>
        <w:left w:val="none" w:sz="0" w:space="0" w:color="auto"/>
        <w:bottom w:val="none" w:sz="0" w:space="0" w:color="auto"/>
        <w:right w:val="none" w:sz="0" w:space="0" w:color="auto"/>
      </w:divBdr>
    </w:div>
    <w:div w:id="119151129">
      <w:bodyDiv w:val="1"/>
      <w:marLeft w:val="0"/>
      <w:marRight w:val="0"/>
      <w:marTop w:val="0"/>
      <w:marBottom w:val="0"/>
      <w:divBdr>
        <w:top w:val="none" w:sz="0" w:space="0" w:color="auto"/>
        <w:left w:val="none" w:sz="0" w:space="0" w:color="auto"/>
        <w:bottom w:val="none" w:sz="0" w:space="0" w:color="auto"/>
        <w:right w:val="none" w:sz="0" w:space="0" w:color="auto"/>
      </w:divBdr>
    </w:div>
    <w:div w:id="121849552">
      <w:bodyDiv w:val="1"/>
      <w:marLeft w:val="0"/>
      <w:marRight w:val="0"/>
      <w:marTop w:val="0"/>
      <w:marBottom w:val="0"/>
      <w:divBdr>
        <w:top w:val="none" w:sz="0" w:space="0" w:color="auto"/>
        <w:left w:val="none" w:sz="0" w:space="0" w:color="auto"/>
        <w:bottom w:val="none" w:sz="0" w:space="0" w:color="auto"/>
        <w:right w:val="none" w:sz="0" w:space="0" w:color="auto"/>
      </w:divBdr>
    </w:div>
    <w:div w:id="123932541">
      <w:bodyDiv w:val="1"/>
      <w:marLeft w:val="0"/>
      <w:marRight w:val="0"/>
      <w:marTop w:val="0"/>
      <w:marBottom w:val="0"/>
      <w:divBdr>
        <w:top w:val="none" w:sz="0" w:space="0" w:color="auto"/>
        <w:left w:val="none" w:sz="0" w:space="0" w:color="auto"/>
        <w:bottom w:val="none" w:sz="0" w:space="0" w:color="auto"/>
        <w:right w:val="none" w:sz="0" w:space="0" w:color="auto"/>
      </w:divBdr>
    </w:div>
    <w:div w:id="124474296">
      <w:bodyDiv w:val="1"/>
      <w:marLeft w:val="0"/>
      <w:marRight w:val="0"/>
      <w:marTop w:val="0"/>
      <w:marBottom w:val="0"/>
      <w:divBdr>
        <w:top w:val="none" w:sz="0" w:space="0" w:color="auto"/>
        <w:left w:val="none" w:sz="0" w:space="0" w:color="auto"/>
        <w:bottom w:val="none" w:sz="0" w:space="0" w:color="auto"/>
        <w:right w:val="none" w:sz="0" w:space="0" w:color="auto"/>
      </w:divBdr>
    </w:div>
    <w:div w:id="128673530">
      <w:bodyDiv w:val="1"/>
      <w:marLeft w:val="0"/>
      <w:marRight w:val="0"/>
      <w:marTop w:val="0"/>
      <w:marBottom w:val="0"/>
      <w:divBdr>
        <w:top w:val="none" w:sz="0" w:space="0" w:color="auto"/>
        <w:left w:val="none" w:sz="0" w:space="0" w:color="auto"/>
        <w:bottom w:val="none" w:sz="0" w:space="0" w:color="auto"/>
        <w:right w:val="none" w:sz="0" w:space="0" w:color="auto"/>
      </w:divBdr>
    </w:div>
    <w:div w:id="128983404">
      <w:bodyDiv w:val="1"/>
      <w:marLeft w:val="0"/>
      <w:marRight w:val="0"/>
      <w:marTop w:val="0"/>
      <w:marBottom w:val="0"/>
      <w:divBdr>
        <w:top w:val="none" w:sz="0" w:space="0" w:color="auto"/>
        <w:left w:val="none" w:sz="0" w:space="0" w:color="auto"/>
        <w:bottom w:val="none" w:sz="0" w:space="0" w:color="auto"/>
        <w:right w:val="none" w:sz="0" w:space="0" w:color="auto"/>
      </w:divBdr>
    </w:div>
    <w:div w:id="135689661">
      <w:bodyDiv w:val="1"/>
      <w:marLeft w:val="0"/>
      <w:marRight w:val="0"/>
      <w:marTop w:val="0"/>
      <w:marBottom w:val="0"/>
      <w:divBdr>
        <w:top w:val="none" w:sz="0" w:space="0" w:color="auto"/>
        <w:left w:val="none" w:sz="0" w:space="0" w:color="auto"/>
        <w:bottom w:val="none" w:sz="0" w:space="0" w:color="auto"/>
        <w:right w:val="none" w:sz="0" w:space="0" w:color="auto"/>
      </w:divBdr>
    </w:div>
    <w:div w:id="138502469">
      <w:bodyDiv w:val="1"/>
      <w:marLeft w:val="0"/>
      <w:marRight w:val="0"/>
      <w:marTop w:val="0"/>
      <w:marBottom w:val="0"/>
      <w:divBdr>
        <w:top w:val="none" w:sz="0" w:space="0" w:color="auto"/>
        <w:left w:val="none" w:sz="0" w:space="0" w:color="auto"/>
        <w:bottom w:val="none" w:sz="0" w:space="0" w:color="auto"/>
        <w:right w:val="none" w:sz="0" w:space="0" w:color="auto"/>
      </w:divBdr>
    </w:div>
    <w:div w:id="138571304">
      <w:bodyDiv w:val="1"/>
      <w:marLeft w:val="0"/>
      <w:marRight w:val="0"/>
      <w:marTop w:val="0"/>
      <w:marBottom w:val="0"/>
      <w:divBdr>
        <w:top w:val="none" w:sz="0" w:space="0" w:color="auto"/>
        <w:left w:val="none" w:sz="0" w:space="0" w:color="auto"/>
        <w:bottom w:val="none" w:sz="0" w:space="0" w:color="auto"/>
        <w:right w:val="none" w:sz="0" w:space="0" w:color="auto"/>
      </w:divBdr>
    </w:div>
    <w:div w:id="139230201">
      <w:bodyDiv w:val="1"/>
      <w:marLeft w:val="0"/>
      <w:marRight w:val="0"/>
      <w:marTop w:val="0"/>
      <w:marBottom w:val="0"/>
      <w:divBdr>
        <w:top w:val="none" w:sz="0" w:space="0" w:color="auto"/>
        <w:left w:val="none" w:sz="0" w:space="0" w:color="auto"/>
        <w:bottom w:val="none" w:sz="0" w:space="0" w:color="auto"/>
        <w:right w:val="none" w:sz="0" w:space="0" w:color="auto"/>
      </w:divBdr>
    </w:div>
    <w:div w:id="140195993">
      <w:bodyDiv w:val="1"/>
      <w:marLeft w:val="0"/>
      <w:marRight w:val="0"/>
      <w:marTop w:val="0"/>
      <w:marBottom w:val="0"/>
      <w:divBdr>
        <w:top w:val="none" w:sz="0" w:space="0" w:color="auto"/>
        <w:left w:val="none" w:sz="0" w:space="0" w:color="auto"/>
        <w:bottom w:val="none" w:sz="0" w:space="0" w:color="auto"/>
        <w:right w:val="none" w:sz="0" w:space="0" w:color="auto"/>
      </w:divBdr>
    </w:div>
    <w:div w:id="141699886">
      <w:bodyDiv w:val="1"/>
      <w:marLeft w:val="0"/>
      <w:marRight w:val="0"/>
      <w:marTop w:val="0"/>
      <w:marBottom w:val="0"/>
      <w:divBdr>
        <w:top w:val="none" w:sz="0" w:space="0" w:color="auto"/>
        <w:left w:val="none" w:sz="0" w:space="0" w:color="auto"/>
        <w:bottom w:val="none" w:sz="0" w:space="0" w:color="auto"/>
        <w:right w:val="none" w:sz="0" w:space="0" w:color="auto"/>
      </w:divBdr>
    </w:div>
    <w:div w:id="143550244">
      <w:bodyDiv w:val="1"/>
      <w:marLeft w:val="0"/>
      <w:marRight w:val="0"/>
      <w:marTop w:val="0"/>
      <w:marBottom w:val="0"/>
      <w:divBdr>
        <w:top w:val="none" w:sz="0" w:space="0" w:color="auto"/>
        <w:left w:val="none" w:sz="0" w:space="0" w:color="auto"/>
        <w:bottom w:val="none" w:sz="0" w:space="0" w:color="auto"/>
        <w:right w:val="none" w:sz="0" w:space="0" w:color="auto"/>
      </w:divBdr>
      <w:divsChild>
        <w:div w:id="1926187750">
          <w:marLeft w:val="0"/>
          <w:marRight w:val="0"/>
          <w:marTop w:val="0"/>
          <w:marBottom w:val="0"/>
          <w:divBdr>
            <w:top w:val="none" w:sz="0" w:space="0" w:color="auto"/>
            <w:left w:val="none" w:sz="0" w:space="0" w:color="auto"/>
            <w:bottom w:val="none" w:sz="0" w:space="0" w:color="auto"/>
            <w:right w:val="none" w:sz="0" w:space="0" w:color="auto"/>
          </w:divBdr>
          <w:divsChild>
            <w:div w:id="377750908">
              <w:marLeft w:val="0"/>
              <w:marRight w:val="0"/>
              <w:marTop w:val="0"/>
              <w:marBottom w:val="0"/>
              <w:divBdr>
                <w:top w:val="none" w:sz="0" w:space="0" w:color="auto"/>
                <w:left w:val="none" w:sz="0" w:space="0" w:color="auto"/>
                <w:bottom w:val="none" w:sz="0" w:space="0" w:color="auto"/>
                <w:right w:val="none" w:sz="0" w:space="0" w:color="auto"/>
              </w:divBdr>
              <w:divsChild>
                <w:div w:id="920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1227">
      <w:bodyDiv w:val="1"/>
      <w:marLeft w:val="0"/>
      <w:marRight w:val="0"/>
      <w:marTop w:val="0"/>
      <w:marBottom w:val="0"/>
      <w:divBdr>
        <w:top w:val="none" w:sz="0" w:space="0" w:color="auto"/>
        <w:left w:val="none" w:sz="0" w:space="0" w:color="auto"/>
        <w:bottom w:val="none" w:sz="0" w:space="0" w:color="auto"/>
        <w:right w:val="none" w:sz="0" w:space="0" w:color="auto"/>
      </w:divBdr>
    </w:div>
    <w:div w:id="147670784">
      <w:bodyDiv w:val="1"/>
      <w:marLeft w:val="0"/>
      <w:marRight w:val="0"/>
      <w:marTop w:val="0"/>
      <w:marBottom w:val="0"/>
      <w:divBdr>
        <w:top w:val="none" w:sz="0" w:space="0" w:color="auto"/>
        <w:left w:val="none" w:sz="0" w:space="0" w:color="auto"/>
        <w:bottom w:val="none" w:sz="0" w:space="0" w:color="auto"/>
        <w:right w:val="none" w:sz="0" w:space="0" w:color="auto"/>
      </w:divBdr>
    </w:div>
    <w:div w:id="151727792">
      <w:bodyDiv w:val="1"/>
      <w:marLeft w:val="0"/>
      <w:marRight w:val="0"/>
      <w:marTop w:val="0"/>
      <w:marBottom w:val="0"/>
      <w:divBdr>
        <w:top w:val="none" w:sz="0" w:space="0" w:color="auto"/>
        <w:left w:val="none" w:sz="0" w:space="0" w:color="auto"/>
        <w:bottom w:val="none" w:sz="0" w:space="0" w:color="auto"/>
        <w:right w:val="none" w:sz="0" w:space="0" w:color="auto"/>
      </w:divBdr>
    </w:div>
    <w:div w:id="152375247">
      <w:bodyDiv w:val="1"/>
      <w:marLeft w:val="0"/>
      <w:marRight w:val="0"/>
      <w:marTop w:val="0"/>
      <w:marBottom w:val="0"/>
      <w:divBdr>
        <w:top w:val="none" w:sz="0" w:space="0" w:color="auto"/>
        <w:left w:val="none" w:sz="0" w:space="0" w:color="auto"/>
        <w:bottom w:val="none" w:sz="0" w:space="0" w:color="auto"/>
        <w:right w:val="none" w:sz="0" w:space="0" w:color="auto"/>
      </w:divBdr>
    </w:div>
    <w:div w:id="156653698">
      <w:bodyDiv w:val="1"/>
      <w:marLeft w:val="0"/>
      <w:marRight w:val="0"/>
      <w:marTop w:val="0"/>
      <w:marBottom w:val="0"/>
      <w:divBdr>
        <w:top w:val="none" w:sz="0" w:space="0" w:color="auto"/>
        <w:left w:val="none" w:sz="0" w:space="0" w:color="auto"/>
        <w:bottom w:val="none" w:sz="0" w:space="0" w:color="auto"/>
        <w:right w:val="none" w:sz="0" w:space="0" w:color="auto"/>
      </w:divBdr>
    </w:div>
    <w:div w:id="158350602">
      <w:bodyDiv w:val="1"/>
      <w:marLeft w:val="0"/>
      <w:marRight w:val="0"/>
      <w:marTop w:val="0"/>
      <w:marBottom w:val="0"/>
      <w:divBdr>
        <w:top w:val="none" w:sz="0" w:space="0" w:color="auto"/>
        <w:left w:val="none" w:sz="0" w:space="0" w:color="auto"/>
        <w:bottom w:val="none" w:sz="0" w:space="0" w:color="auto"/>
        <w:right w:val="none" w:sz="0" w:space="0" w:color="auto"/>
      </w:divBdr>
    </w:div>
    <w:div w:id="158739174">
      <w:bodyDiv w:val="1"/>
      <w:marLeft w:val="0"/>
      <w:marRight w:val="0"/>
      <w:marTop w:val="0"/>
      <w:marBottom w:val="0"/>
      <w:divBdr>
        <w:top w:val="none" w:sz="0" w:space="0" w:color="auto"/>
        <w:left w:val="none" w:sz="0" w:space="0" w:color="auto"/>
        <w:bottom w:val="none" w:sz="0" w:space="0" w:color="auto"/>
        <w:right w:val="none" w:sz="0" w:space="0" w:color="auto"/>
      </w:divBdr>
    </w:div>
    <w:div w:id="161749577">
      <w:bodyDiv w:val="1"/>
      <w:marLeft w:val="0"/>
      <w:marRight w:val="0"/>
      <w:marTop w:val="0"/>
      <w:marBottom w:val="0"/>
      <w:divBdr>
        <w:top w:val="none" w:sz="0" w:space="0" w:color="auto"/>
        <w:left w:val="none" w:sz="0" w:space="0" w:color="auto"/>
        <w:bottom w:val="none" w:sz="0" w:space="0" w:color="auto"/>
        <w:right w:val="none" w:sz="0" w:space="0" w:color="auto"/>
      </w:divBdr>
    </w:div>
    <w:div w:id="162203440">
      <w:bodyDiv w:val="1"/>
      <w:marLeft w:val="0"/>
      <w:marRight w:val="0"/>
      <w:marTop w:val="0"/>
      <w:marBottom w:val="0"/>
      <w:divBdr>
        <w:top w:val="none" w:sz="0" w:space="0" w:color="auto"/>
        <w:left w:val="none" w:sz="0" w:space="0" w:color="auto"/>
        <w:bottom w:val="none" w:sz="0" w:space="0" w:color="auto"/>
        <w:right w:val="none" w:sz="0" w:space="0" w:color="auto"/>
      </w:divBdr>
    </w:div>
    <w:div w:id="165636392">
      <w:bodyDiv w:val="1"/>
      <w:marLeft w:val="0"/>
      <w:marRight w:val="0"/>
      <w:marTop w:val="0"/>
      <w:marBottom w:val="0"/>
      <w:divBdr>
        <w:top w:val="none" w:sz="0" w:space="0" w:color="auto"/>
        <w:left w:val="none" w:sz="0" w:space="0" w:color="auto"/>
        <w:bottom w:val="none" w:sz="0" w:space="0" w:color="auto"/>
        <w:right w:val="none" w:sz="0" w:space="0" w:color="auto"/>
      </w:divBdr>
    </w:div>
    <w:div w:id="165750795">
      <w:bodyDiv w:val="1"/>
      <w:marLeft w:val="0"/>
      <w:marRight w:val="0"/>
      <w:marTop w:val="0"/>
      <w:marBottom w:val="0"/>
      <w:divBdr>
        <w:top w:val="none" w:sz="0" w:space="0" w:color="auto"/>
        <w:left w:val="none" w:sz="0" w:space="0" w:color="auto"/>
        <w:bottom w:val="none" w:sz="0" w:space="0" w:color="auto"/>
        <w:right w:val="none" w:sz="0" w:space="0" w:color="auto"/>
      </w:divBdr>
    </w:div>
    <w:div w:id="175076094">
      <w:bodyDiv w:val="1"/>
      <w:marLeft w:val="0"/>
      <w:marRight w:val="0"/>
      <w:marTop w:val="0"/>
      <w:marBottom w:val="0"/>
      <w:divBdr>
        <w:top w:val="none" w:sz="0" w:space="0" w:color="auto"/>
        <w:left w:val="none" w:sz="0" w:space="0" w:color="auto"/>
        <w:bottom w:val="none" w:sz="0" w:space="0" w:color="auto"/>
        <w:right w:val="none" w:sz="0" w:space="0" w:color="auto"/>
      </w:divBdr>
    </w:div>
    <w:div w:id="179003636">
      <w:bodyDiv w:val="1"/>
      <w:marLeft w:val="0"/>
      <w:marRight w:val="0"/>
      <w:marTop w:val="0"/>
      <w:marBottom w:val="0"/>
      <w:divBdr>
        <w:top w:val="none" w:sz="0" w:space="0" w:color="auto"/>
        <w:left w:val="none" w:sz="0" w:space="0" w:color="auto"/>
        <w:bottom w:val="none" w:sz="0" w:space="0" w:color="auto"/>
        <w:right w:val="none" w:sz="0" w:space="0" w:color="auto"/>
      </w:divBdr>
    </w:div>
    <w:div w:id="181676883">
      <w:bodyDiv w:val="1"/>
      <w:marLeft w:val="0"/>
      <w:marRight w:val="0"/>
      <w:marTop w:val="0"/>
      <w:marBottom w:val="0"/>
      <w:divBdr>
        <w:top w:val="none" w:sz="0" w:space="0" w:color="auto"/>
        <w:left w:val="none" w:sz="0" w:space="0" w:color="auto"/>
        <w:bottom w:val="none" w:sz="0" w:space="0" w:color="auto"/>
        <w:right w:val="none" w:sz="0" w:space="0" w:color="auto"/>
      </w:divBdr>
    </w:div>
    <w:div w:id="183371633">
      <w:bodyDiv w:val="1"/>
      <w:marLeft w:val="0"/>
      <w:marRight w:val="0"/>
      <w:marTop w:val="0"/>
      <w:marBottom w:val="0"/>
      <w:divBdr>
        <w:top w:val="none" w:sz="0" w:space="0" w:color="auto"/>
        <w:left w:val="none" w:sz="0" w:space="0" w:color="auto"/>
        <w:bottom w:val="none" w:sz="0" w:space="0" w:color="auto"/>
        <w:right w:val="none" w:sz="0" w:space="0" w:color="auto"/>
      </w:divBdr>
    </w:div>
    <w:div w:id="183637192">
      <w:bodyDiv w:val="1"/>
      <w:marLeft w:val="0"/>
      <w:marRight w:val="0"/>
      <w:marTop w:val="0"/>
      <w:marBottom w:val="0"/>
      <w:divBdr>
        <w:top w:val="none" w:sz="0" w:space="0" w:color="auto"/>
        <w:left w:val="none" w:sz="0" w:space="0" w:color="auto"/>
        <w:bottom w:val="none" w:sz="0" w:space="0" w:color="auto"/>
        <w:right w:val="none" w:sz="0" w:space="0" w:color="auto"/>
      </w:divBdr>
    </w:div>
    <w:div w:id="186678488">
      <w:bodyDiv w:val="1"/>
      <w:marLeft w:val="0"/>
      <w:marRight w:val="0"/>
      <w:marTop w:val="0"/>
      <w:marBottom w:val="0"/>
      <w:divBdr>
        <w:top w:val="none" w:sz="0" w:space="0" w:color="auto"/>
        <w:left w:val="none" w:sz="0" w:space="0" w:color="auto"/>
        <w:bottom w:val="none" w:sz="0" w:space="0" w:color="auto"/>
        <w:right w:val="none" w:sz="0" w:space="0" w:color="auto"/>
      </w:divBdr>
    </w:div>
    <w:div w:id="187719108">
      <w:bodyDiv w:val="1"/>
      <w:marLeft w:val="0"/>
      <w:marRight w:val="0"/>
      <w:marTop w:val="0"/>
      <w:marBottom w:val="0"/>
      <w:divBdr>
        <w:top w:val="none" w:sz="0" w:space="0" w:color="auto"/>
        <w:left w:val="none" w:sz="0" w:space="0" w:color="auto"/>
        <w:bottom w:val="none" w:sz="0" w:space="0" w:color="auto"/>
        <w:right w:val="none" w:sz="0" w:space="0" w:color="auto"/>
      </w:divBdr>
    </w:div>
    <w:div w:id="188955965">
      <w:bodyDiv w:val="1"/>
      <w:marLeft w:val="0"/>
      <w:marRight w:val="0"/>
      <w:marTop w:val="0"/>
      <w:marBottom w:val="0"/>
      <w:divBdr>
        <w:top w:val="none" w:sz="0" w:space="0" w:color="auto"/>
        <w:left w:val="none" w:sz="0" w:space="0" w:color="auto"/>
        <w:bottom w:val="none" w:sz="0" w:space="0" w:color="auto"/>
        <w:right w:val="none" w:sz="0" w:space="0" w:color="auto"/>
      </w:divBdr>
    </w:div>
    <w:div w:id="192500568">
      <w:bodyDiv w:val="1"/>
      <w:marLeft w:val="0"/>
      <w:marRight w:val="0"/>
      <w:marTop w:val="0"/>
      <w:marBottom w:val="0"/>
      <w:divBdr>
        <w:top w:val="none" w:sz="0" w:space="0" w:color="auto"/>
        <w:left w:val="none" w:sz="0" w:space="0" w:color="auto"/>
        <w:bottom w:val="none" w:sz="0" w:space="0" w:color="auto"/>
        <w:right w:val="none" w:sz="0" w:space="0" w:color="auto"/>
      </w:divBdr>
    </w:div>
    <w:div w:id="194462582">
      <w:bodyDiv w:val="1"/>
      <w:marLeft w:val="0"/>
      <w:marRight w:val="0"/>
      <w:marTop w:val="0"/>
      <w:marBottom w:val="0"/>
      <w:divBdr>
        <w:top w:val="none" w:sz="0" w:space="0" w:color="auto"/>
        <w:left w:val="none" w:sz="0" w:space="0" w:color="auto"/>
        <w:bottom w:val="none" w:sz="0" w:space="0" w:color="auto"/>
        <w:right w:val="none" w:sz="0" w:space="0" w:color="auto"/>
      </w:divBdr>
    </w:div>
    <w:div w:id="208611718">
      <w:bodyDiv w:val="1"/>
      <w:marLeft w:val="0"/>
      <w:marRight w:val="0"/>
      <w:marTop w:val="0"/>
      <w:marBottom w:val="0"/>
      <w:divBdr>
        <w:top w:val="none" w:sz="0" w:space="0" w:color="auto"/>
        <w:left w:val="none" w:sz="0" w:space="0" w:color="auto"/>
        <w:bottom w:val="none" w:sz="0" w:space="0" w:color="auto"/>
        <w:right w:val="none" w:sz="0" w:space="0" w:color="auto"/>
      </w:divBdr>
    </w:div>
    <w:div w:id="209612320">
      <w:bodyDiv w:val="1"/>
      <w:marLeft w:val="0"/>
      <w:marRight w:val="0"/>
      <w:marTop w:val="0"/>
      <w:marBottom w:val="0"/>
      <w:divBdr>
        <w:top w:val="none" w:sz="0" w:space="0" w:color="auto"/>
        <w:left w:val="none" w:sz="0" w:space="0" w:color="auto"/>
        <w:bottom w:val="none" w:sz="0" w:space="0" w:color="auto"/>
        <w:right w:val="none" w:sz="0" w:space="0" w:color="auto"/>
      </w:divBdr>
    </w:div>
    <w:div w:id="209920342">
      <w:bodyDiv w:val="1"/>
      <w:marLeft w:val="0"/>
      <w:marRight w:val="0"/>
      <w:marTop w:val="0"/>
      <w:marBottom w:val="0"/>
      <w:divBdr>
        <w:top w:val="none" w:sz="0" w:space="0" w:color="auto"/>
        <w:left w:val="none" w:sz="0" w:space="0" w:color="auto"/>
        <w:bottom w:val="none" w:sz="0" w:space="0" w:color="auto"/>
        <w:right w:val="none" w:sz="0" w:space="0" w:color="auto"/>
      </w:divBdr>
    </w:div>
    <w:div w:id="212622374">
      <w:bodyDiv w:val="1"/>
      <w:marLeft w:val="0"/>
      <w:marRight w:val="0"/>
      <w:marTop w:val="0"/>
      <w:marBottom w:val="0"/>
      <w:divBdr>
        <w:top w:val="none" w:sz="0" w:space="0" w:color="auto"/>
        <w:left w:val="none" w:sz="0" w:space="0" w:color="auto"/>
        <w:bottom w:val="none" w:sz="0" w:space="0" w:color="auto"/>
        <w:right w:val="none" w:sz="0" w:space="0" w:color="auto"/>
      </w:divBdr>
    </w:div>
    <w:div w:id="213129385">
      <w:bodyDiv w:val="1"/>
      <w:marLeft w:val="0"/>
      <w:marRight w:val="0"/>
      <w:marTop w:val="0"/>
      <w:marBottom w:val="0"/>
      <w:divBdr>
        <w:top w:val="none" w:sz="0" w:space="0" w:color="auto"/>
        <w:left w:val="none" w:sz="0" w:space="0" w:color="auto"/>
        <w:bottom w:val="none" w:sz="0" w:space="0" w:color="auto"/>
        <w:right w:val="none" w:sz="0" w:space="0" w:color="auto"/>
      </w:divBdr>
    </w:div>
    <w:div w:id="214706459">
      <w:bodyDiv w:val="1"/>
      <w:marLeft w:val="0"/>
      <w:marRight w:val="0"/>
      <w:marTop w:val="0"/>
      <w:marBottom w:val="0"/>
      <w:divBdr>
        <w:top w:val="none" w:sz="0" w:space="0" w:color="auto"/>
        <w:left w:val="none" w:sz="0" w:space="0" w:color="auto"/>
        <w:bottom w:val="none" w:sz="0" w:space="0" w:color="auto"/>
        <w:right w:val="none" w:sz="0" w:space="0" w:color="auto"/>
      </w:divBdr>
    </w:div>
    <w:div w:id="214968088">
      <w:bodyDiv w:val="1"/>
      <w:marLeft w:val="0"/>
      <w:marRight w:val="0"/>
      <w:marTop w:val="0"/>
      <w:marBottom w:val="0"/>
      <w:divBdr>
        <w:top w:val="none" w:sz="0" w:space="0" w:color="auto"/>
        <w:left w:val="none" w:sz="0" w:space="0" w:color="auto"/>
        <w:bottom w:val="none" w:sz="0" w:space="0" w:color="auto"/>
        <w:right w:val="none" w:sz="0" w:space="0" w:color="auto"/>
      </w:divBdr>
    </w:div>
    <w:div w:id="215167633">
      <w:bodyDiv w:val="1"/>
      <w:marLeft w:val="0"/>
      <w:marRight w:val="0"/>
      <w:marTop w:val="0"/>
      <w:marBottom w:val="0"/>
      <w:divBdr>
        <w:top w:val="none" w:sz="0" w:space="0" w:color="auto"/>
        <w:left w:val="none" w:sz="0" w:space="0" w:color="auto"/>
        <w:bottom w:val="none" w:sz="0" w:space="0" w:color="auto"/>
        <w:right w:val="none" w:sz="0" w:space="0" w:color="auto"/>
      </w:divBdr>
    </w:div>
    <w:div w:id="215316373">
      <w:bodyDiv w:val="1"/>
      <w:marLeft w:val="0"/>
      <w:marRight w:val="0"/>
      <w:marTop w:val="0"/>
      <w:marBottom w:val="0"/>
      <w:divBdr>
        <w:top w:val="none" w:sz="0" w:space="0" w:color="auto"/>
        <w:left w:val="none" w:sz="0" w:space="0" w:color="auto"/>
        <w:bottom w:val="none" w:sz="0" w:space="0" w:color="auto"/>
        <w:right w:val="none" w:sz="0" w:space="0" w:color="auto"/>
      </w:divBdr>
    </w:div>
    <w:div w:id="215943240">
      <w:bodyDiv w:val="1"/>
      <w:marLeft w:val="0"/>
      <w:marRight w:val="0"/>
      <w:marTop w:val="0"/>
      <w:marBottom w:val="0"/>
      <w:divBdr>
        <w:top w:val="none" w:sz="0" w:space="0" w:color="auto"/>
        <w:left w:val="none" w:sz="0" w:space="0" w:color="auto"/>
        <w:bottom w:val="none" w:sz="0" w:space="0" w:color="auto"/>
        <w:right w:val="none" w:sz="0" w:space="0" w:color="auto"/>
      </w:divBdr>
    </w:div>
    <w:div w:id="222327093">
      <w:bodyDiv w:val="1"/>
      <w:marLeft w:val="0"/>
      <w:marRight w:val="0"/>
      <w:marTop w:val="0"/>
      <w:marBottom w:val="0"/>
      <w:divBdr>
        <w:top w:val="none" w:sz="0" w:space="0" w:color="auto"/>
        <w:left w:val="none" w:sz="0" w:space="0" w:color="auto"/>
        <w:bottom w:val="none" w:sz="0" w:space="0" w:color="auto"/>
        <w:right w:val="none" w:sz="0" w:space="0" w:color="auto"/>
      </w:divBdr>
    </w:div>
    <w:div w:id="232199966">
      <w:bodyDiv w:val="1"/>
      <w:marLeft w:val="0"/>
      <w:marRight w:val="0"/>
      <w:marTop w:val="0"/>
      <w:marBottom w:val="0"/>
      <w:divBdr>
        <w:top w:val="none" w:sz="0" w:space="0" w:color="auto"/>
        <w:left w:val="none" w:sz="0" w:space="0" w:color="auto"/>
        <w:bottom w:val="none" w:sz="0" w:space="0" w:color="auto"/>
        <w:right w:val="none" w:sz="0" w:space="0" w:color="auto"/>
      </w:divBdr>
    </w:div>
    <w:div w:id="233467270">
      <w:bodyDiv w:val="1"/>
      <w:marLeft w:val="0"/>
      <w:marRight w:val="0"/>
      <w:marTop w:val="0"/>
      <w:marBottom w:val="0"/>
      <w:divBdr>
        <w:top w:val="none" w:sz="0" w:space="0" w:color="auto"/>
        <w:left w:val="none" w:sz="0" w:space="0" w:color="auto"/>
        <w:bottom w:val="none" w:sz="0" w:space="0" w:color="auto"/>
        <w:right w:val="none" w:sz="0" w:space="0" w:color="auto"/>
      </w:divBdr>
    </w:div>
    <w:div w:id="237330587">
      <w:bodyDiv w:val="1"/>
      <w:marLeft w:val="0"/>
      <w:marRight w:val="0"/>
      <w:marTop w:val="0"/>
      <w:marBottom w:val="0"/>
      <w:divBdr>
        <w:top w:val="none" w:sz="0" w:space="0" w:color="auto"/>
        <w:left w:val="none" w:sz="0" w:space="0" w:color="auto"/>
        <w:bottom w:val="none" w:sz="0" w:space="0" w:color="auto"/>
        <w:right w:val="none" w:sz="0" w:space="0" w:color="auto"/>
      </w:divBdr>
      <w:divsChild>
        <w:div w:id="405568811">
          <w:marLeft w:val="0"/>
          <w:marRight w:val="0"/>
          <w:marTop w:val="0"/>
          <w:marBottom w:val="0"/>
          <w:divBdr>
            <w:top w:val="none" w:sz="0" w:space="0" w:color="auto"/>
            <w:left w:val="none" w:sz="0" w:space="0" w:color="auto"/>
            <w:bottom w:val="none" w:sz="0" w:space="0" w:color="auto"/>
            <w:right w:val="none" w:sz="0" w:space="0" w:color="auto"/>
          </w:divBdr>
          <w:divsChild>
            <w:div w:id="933052207">
              <w:marLeft w:val="0"/>
              <w:marRight w:val="0"/>
              <w:marTop w:val="0"/>
              <w:marBottom w:val="0"/>
              <w:divBdr>
                <w:top w:val="none" w:sz="0" w:space="0" w:color="auto"/>
                <w:left w:val="none" w:sz="0" w:space="0" w:color="auto"/>
                <w:bottom w:val="none" w:sz="0" w:space="0" w:color="auto"/>
                <w:right w:val="none" w:sz="0" w:space="0" w:color="auto"/>
              </w:divBdr>
              <w:divsChild>
                <w:div w:id="1700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3243">
      <w:bodyDiv w:val="1"/>
      <w:marLeft w:val="0"/>
      <w:marRight w:val="0"/>
      <w:marTop w:val="0"/>
      <w:marBottom w:val="0"/>
      <w:divBdr>
        <w:top w:val="none" w:sz="0" w:space="0" w:color="auto"/>
        <w:left w:val="none" w:sz="0" w:space="0" w:color="auto"/>
        <w:bottom w:val="none" w:sz="0" w:space="0" w:color="auto"/>
        <w:right w:val="none" w:sz="0" w:space="0" w:color="auto"/>
      </w:divBdr>
    </w:div>
    <w:div w:id="241456881">
      <w:bodyDiv w:val="1"/>
      <w:marLeft w:val="0"/>
      <w:marRight w:val="0"/>
      <w:marTop w:val="0"/>
      <w:marBottom w:val="0"/>
      <w:divBdr>
        <w:top w:val="none" w:sz="0" w:space="0" w:color="auto"/>
        <w:left w:val="none" w:sz="0" w:space="0" w:color="auto"/>
        <w:bottom w:val="none" w:sz="0" w:space="0" w:color="auto"/>
        <w:right w:val="none" w:sz="0" w:space="0" w:color="auto"/>
      </w:divBdr>
    </w:div>
    <w:div w:id="247079047">
      <w:bodyDiv w:val="1"/>
      <w:marLeft w:val="0"/>
      <w:marRight w:val="0"/>
      <w:marTop w:val="0"/>
      <w:marBottom w:val="0"/>
      <w:divBdr>
        <w:top w:val="none" w:sz="0" w:space="0" w:color="auto"/>
        <w:left w:val="none" w:sz="0" w:space="0" w:color="auto"/>
        <w:bottom w:val="none" w:sz="0" w:space="0" w:color="auto"/>
        <w:right w:val="none" w:sz="0" w:space="0" w:color="auto"/>
      </w:divBdr>
    </w:div>
    <w:div w:id="248317450">
      <w:bodyDiv w:val="1"/>
      <w:marLeft w:val="0"/>
      <w:marRight w:val="0"/>
      <w:marTop w:val="0"/>
      <w:marBottom w:val="0"/>
      <w:divBdr>
        <w:top w:val="none" w:sz="0" w:space="0" w:color="auto"/>
        <w:left w:val="none" w:sz="0" w:space="0" w:color="auto"/>
        <w:bottom w:val="none" w:sz="0" w:space="0" w:color="auto"/>
        <w:right w:val="none" w:sz="0" w:space="0" w:color="auto"/>
      </w:divBdr>
    </w:div>
    <w:div w:id="249123029">
      <w:bodyDiv w:val="1"/>
      <w:marLeft w:val="0"/>
      <w:marRight w:val="0"/>
      <w:marTop w:val="0"/>
      <w:marBottom w:val="0"/>
      <w:divBdr>
        <w:top w:val="none" w:sz="0" w:space="0" w:color="auto"/>
        <w:left w:val="none" w:sz="0" w:space="0" w:color="auto"/>
        <w:bottom w:val="none" w:sz="0" w:space="0" w:color="auto"/>
        <w:right w:val="none" w:sz="0" w:space="0" w:color="auto"/>
      </w:divBdr>
    </w:div>
    <w:div w:id="254633611">
      <w:bodyDiv w:val="1"/>
      <w:marLeft w:val="0"/>
      <w:marRight w:val="0"/>
      <w:marTop w:val="0"/>
      <w:marBottom w:val="0"/>
      <w:divBdr>
        <w:top w:val="none" w:sz="0" w:space="0" w:color="auto"/>
        <w:left w:val="none" w:sz="0" w:space="0" w:color="auto"/>
        <w:bottom w:val="none" w:sz="0" w:space="0" w:color="auto"/>
        <w:right w:val="none" w:sz="0" w:space="0" w:color="auto"/>
      </w:divBdr>
    </w:div>
    <w:div w:id="258220270">
      <w:bodyDiv w:val="1"/>
      <w:marLeft w:val="0"/>
      <w:marRight w:val="0"/>
      <w:marTop w:val="0"/>
      <w:marBottom w:val="0"/>
      <w:divBdr>
        <w:top w:val="none" w:sz="0" w:space="0" w:color="auto"/>
        <w:left w:val="none" w:sz="0" w:space="0" w:color="auto"/>
        <w:bottom w:val="none" w:sz="0" w:space="0" w:color="auto"/>
        <w:right w:val="none" w:sz="0" w:space="0" w:color="auto"/>
      </w:divBdr>
    </w:div>
    <w:div w:id="258223264">
      <w:bodyDiv w:val="1"/>
      <w:marLeft w:val="0"/>
      <w:marRight w:val="0"/>
      <w:marTop w:val="0"/>
      <w:marBottom w:val="0"/>
      <w:divBdr>
        <w:top w:val="none" w:sz="0" w:space="0" w:color="auto"/>
        <w:left w:val="none" w:sz="0" w:space="0" w:color="auto"/>
        <w:bottom w:val="none" w:sz="0" w:space="0" w:color="auto"/>
        <w:right w:val="none" w:sz="0" w:space="0" w:color="auto"/>
      </w:divBdr>
    </w:div>
    <w:div w:id="258484567">
      <w:bodyDiv w:val="1"/>
      <w:marLeft w:val="0"/>
      <w:marRight w:val="0"/>
      <w:marTop w:val="0"/>
      <w:marBottom w:val="0"/>
      <w:divBdr>
        <w:top w:val="none" w:sz="0" w:space="0" w:color="auto"/>
        <w:left w:val="none" w:sz="0" w:space="0" w:color="auto"/>
        <w:bottom w:val="none" w:sz="0" w:space="0" w:color="auto"/>
        <w:right w:val="none" w:sz="0" w:space="0" w:color="auto"/>
      </w:divBdr>
    </w:div>
    <w:div w:id="263656987">
      <w:bodyDiv w:val="1"/>
      <w:marLeft w:val="0"/>
      <w:marRight w:val="0"/>
      <w:marTop w:val="0"/>
      <w:marBottom w:val="0"/>
      <w:divBdr>
        <w:top w:val="none" w:sz="0" w:space="0" w:color="auto"/>
        <w:left w:val="none" w:sz="0" w:space="0" w:color="auto"/>
        <w:bottom w:val="none" w:sz="0" w:space="0" w:color="auto"/>
        <w:right w:val="none" w:sz="0" w:space="0" w:color="auto"/>
      </w:divBdr>
    </w:div>
    <w:div w:id="265424954">
      <w:bodyDiv w:val="1"/>
      <w:marLeft w:val="0"/>
      <w:marRight w:val="0"/>
      <w:marTop w:val="0"/>
      <w:marBottom w:val="0"/>
      <w:divBdr>
        <w:top w:val="none" w:sz="0" w:space="0" w:color="auto"/>
        <w:left w:val="none" w:sz="0" w:space="0" w:color="auto"/>
        <w:bottom w:val="none" w:sz="0" w:space="0" w:color="auto"/>
        <w:right w:val="none" w:sz="0" w:space="0" w:color="auto"/>
      </w:divBdr>
      <w:divsChild>
        <w:div w:id="423570399">
          <w:marLeft w:val="0"/>
          <w:marRight w:val="0"/>
          <w:marTop w:val="0"/>
          <w:marBottom w:val="0"/>
          <w:divBdr>
            <w:top w:val="none" w:sz="0" w:space="0" w:color="auto"/>
            <w:left w:val="none" w:sz="0" w:space="0" w:color="auto"/>
            <w:bottom w:val="none" w:sz="0" w:space="0" w:color="auto"/>
            <w:right w:val="none" w:sz="0" w:space="0" w:color="auto"/>
          </w:divBdr>
          <w:divsChild>
            <w:div w:id="904611862">
              <w:marLeft w:val="0"/>
              <w:marRight w:val="0"/>
              <w:marTop w:val="0"/>
              <w:marBottom w:val="0"/>
              <w:divBdr>
                <w:top w:val="none" w:sz="0" w:space="0" w:color="auto"/>
                <w:left w:val="none" w:sz="0" w:space="0" w:color="auto"/>
                <w:bottom w:val="none" w:sz="0" w:space="0" w:color="auto"/>
                <w:right w:val="none" w:sz="0" w:space="0" w:color="auto"/>
              </w:divBdr>
              <w:divsChild>
                <w:div w:id="6401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5647">
      <w:bodyDiv w:val="1"/>
      <w:marLeft w:val="0"/>
      <w:marRight w:val="0"/>
      <w:marTop w:val="0"/>
      <w:marBottom w:val="0"/>
      <w:divBdr>
        <w:top w:val="none" w:sz="0" w:space="0" w:color="auto"/>
        <w:left w:val="none" w:sz="0" w:space="0" w:color="auto"/>
        <w:bottom w:val="none" w:sz="0" w:space="0" w:color="auto"/>
        <w:right w:val="none" w:sz="0" w:space="0" w:color="auto"/>
      </w:divBdr>
    </w:div>
    <w:div w:id="267353941">
      <w:bodyDiv w:val="1"/>
      <w:marLeft w:val="0"/>
      <w:marRight w:val="0"/>
      <w:marTop w:val="0"/>
      <w:marBottom w:val="0"/>
      <w:divBdr>
        <w:top w:val="none" w:sz="0" w:space="0" w:color="auto"/>
        <w:left w:val="none" w:sz="0" w:space="0" w:color="auto"/>
        <w:bottom w:val="none" w:sz="0" w:space="0" w:color="auto"/>
        <w:right w:val="none" w:sz="0" w:space="0" w:color="auto"/>
      </w:divBdr>
    </w:div>
    <w:div w:id="273369633">
      <w:bodyDiv w:val="1"/>
      <w:marLeft w:val="0"/>
      <w:marRight w:val="0"/>
      <w:marTop w:val="0"/>
      <w:marBottom w:val="0"/>
      <w:divBdr>
        <w:top w:val="none" w:sz="0" w:space="0" w:color="auto"/>
        <w:left w:val="none" w:sz="0" w:space="0" w:color="auto"/>
        <w:bottom w:val="none" w:sz="0" w:space="0" w:color="auto"/>
        <w:right w:val="none" w:sz="0" w:space="0" w:color="auto"/>
      </w:divBdr>
    </w:div>
    <w:div w:id="273901666">
      <w:bodyDiv w:val="1"/>
      <w:marLeft w:val="0"/>
      <w:marRight w:val="0"/>
      <w:marTop w:val="0"/>
      <w:marBottom w:val="0"/>
      <w:divBdr>
        <w:top w:val="none" w:sz="0" w:space="0" w:color="auto"/>
        <w:left w:val="none" w:sz="0" w:space="0" w:color="auto"/>
        <w:bottom w:val="none" w:sz="0" w:space="0" w:color="auto"/>
        <w:right w:val="none" w:sz="0" w:space="0" w:color="auto"/>
      </w:divBdr>
    </w:div>
    <w:div w:id="274749183">
      <w:bodyDiv w:val="1"/>
      <w:marLeft w:val="0"/>
      <w:marRight w:val="0"/>
      <w:marTop w:val="0"/>
      <w:marBottom w:val="0"/>
      <w:divBdr>
        <w:top w:val="none" w:sz="0" w:space="0" w:color="auto"/>
        <w:left w:val="none" w:sz="0" w:space="0" w:color="auto"/>
        <w:bottom w:val="none" w:sz="0" w:space="0" w:color="auto"/>
        <w:right w:val="none" w:sz="0" w:space="0" w:color="auto"/>
      </w:divBdr>
    </w:div>
    <w:div w:id="275604850">
      <w:bodyDiv w:val="1"/>
      <w:marLeft w:val="0"/>
      <w:marRight w:val="0"/>
      <w:marTop w:val="0"/>
      <w:marBottom w:val="0"/>
      <w:divBdr>
        <w:top w:val="none" w:sz="0" w:space="0" w:color="auto"/>
        <w:left w:val="none" w:sz="0" w:space="0" w:color="auto"/>
        <w:bottom w:val="none" w:sz="0" w:space="0" w:color="auto"/>
        <w:right w:val="none" w:sz="0" w:space="0" w:color="auto"/>
      </w:divBdr>
    </w:div>
    <w:div w:id="278226348">
      <w:bodyDiv w:val="1"/>
      <w:marLeft w:val="0"/>
      <w:marRight w:val="0"/>
      <w:marTop w:val="0"/>
      <w:marBottom w:val="0"/>
      <w:divBdr>
        <w:top w:val="none" w:sz="0" w:space="0" w:color="auto"/>
        <w:left w:val="none" w:sz="0" w:space="0" w:color="auto"/>
        <w:bottom w:val="none" w:sz="0" w:space="0" w:color="auto"/>
        <w:right w:val="none" w:sz="0" w:space="0" w:color="auto"/>
      </w:divBdr>
    </w:div>
    <w:div w:id="281881525">
      <w:bodyDiv w:val="1"/>
      <w:marLeft w:val="0"/>
      <w:marRight w:val="0"/>
      <w:marTop w:val="0"/>
      <w:marBottom w:val="0"/>
      <w:divBdr>
        <w:top w:val="none" w:sz="0" w:space="0" w:color="auto"/>
        <w:left w:val="none" w:sz="0" w:space="0" w:color="auto"/>
        <w:bottom w:val="none" w:sz="0" w:space="0" w:color="auto"/>
        <w:right w:val="none" w:sz="0" w:space="0" w:color="auto"/>
      </w:divBdr>
    </w:div>
    <w:div w:id="282273809">
      <w:bodyDiv w:val="1"/>
      <w:marLeft w:val="0"/>
      <w:marRight w:val="0"/>
      <w:marTop w:val="0"/>
      <w:marBottom w:val="0"/>
      <w:divBdr>
        <w:top w:val="none" w:sz="0" w:space="0" w:color="auto"/>
        <w:left w:val="none" w:sz="0" w:space="0" w:color="auto"/>
        <w:bottom w:val="none" w:sz="0" w:space="0" w:color="auto"/>
        <w:right w:val="none" w:sz="0" w:space="0" w:color="auto"/>
      </w:divBdr>
    </w:div>
    <w:div w:id="284427600">
      <w:bodyDiv w:val="1"/>
      <w:marLeft w:val="0"/>
      <w:marRight w:val="0"/>
      <w:marTop w:val="0"/>
      <w:marBottom w:val="0"/>
      <w:divBdr>
        <w:top w:val="none" w:sz="0" w:space="0" w:color="auto"/>
        <w:left w:val="none" w:sz="0" w:space="0" w:color="auto"/>
        <w:bottom w:val="none" w:sz="0" w:space="0" w:color="auto"/>
        <w:right w:val="none" w:sz="0" w:space="0" w:color="auto"/>
      </w:divBdr>
    </w:div>
    <w:div w:id="285936193">
      <w:bodyDiv w:val="1"/>
      <w:marLeft w:val="0"/>
      <w:marRight w:val="0"/>
      <w:marTop w:val="0"/>
      <w:marBottom w:val="0"/>
      <w:divBdr>
        <w:top w:val="none" w:sz="0" w:space="0" w:color="auto"/>
        <w:left w:val="none" w:sz="0" w:space="0" w:color="auto"/>
        <w:bottom w:val="none" w:sz="0" w:space="0" w:color="auto"/>
        <w:right w:val="none" w:sz="0" w:space="0" w:color="auto"/>
      </w:divBdr>
    </w:div>
    <w:div w:id="288054197">
      <w:bodyDiv w:val="1"/>
      <w:marLeft w:val="0"/>
      <w:marRight w:val="0"/>
      <w:marTop w:val="0"/>
      <w:marBottom w:val="0"/>
      <w:divBdr>
        <w:top w:val="none" w:sz="0" w:space="0" w:color="auto"/>
        <w:left w:val="none" w:sz="0" w:space="0" w:color="auto"/>
        <w:bottom w:val="none" w:sz="0" w:space="0" w:color="auto"/>
        <w:right w:val="none" w:sz="0" w:space="0" w:color="auto"/>
      </w:divBdr>
    </w:div>
    <w:div w:id="288362836">
      <w:bodyDiv w:val="1"/>
      <w:marLeft w:val="0"/>
      <w:marRight w:val="0"/>
      <w:marTop w:val="0"/>
      <w:marBottom w:val="0"/>
      <w:divBdr>
        <w:top w:val="none" w:sz="0" w:space="0" w:color="auto"/>
        <w:left w:val="none" w:sz="0" w:space="0" w:color="auto"/>
        <w:bottom w:val="none" w:sz="0" w:space="0" w:color="auto"/>
        <w:right w:val="none" w:sz="0" w:space="0" w:color="auto"/>
      </w:divBdr>
    </w:div>
    <w:div w:id="291638496">
      <w:bodyDiv w:val="1"/>
      <w:marLeft w:val="0"/>
      <w:marRight w:val="0"/>
      <w:marTop w:val="0"/>
      <w:marBottom w:val="0"/>
      <w:divBdr>
        <w:top w:val="none" w:sz="0" w:space="0" w:color="auto"/>
        <w:left w:val="none" w:sz="0" w:space="0" w:color="auto"/>
        <w:bottom w:val="none" w:sz="0" w:space="0" w:color="auto"/>
        <w:right w:val="none" w:sz="0" w:space="0" w:color="auto"/>
      </w:divBdr>
    </w:div>
    <w:div w:id="294870885">
      <w:bodyDiv w:val="1"/>
      <w:marLeft w:val="0"/>
      <w:marRight w:val="0"/>
      <w:marTop w:val="0"/>
      <w:marBottom w:val="0"/>
      <w:divBdr>
        <w:top w:val="none" w:sz="0" w:space="0" w:color="auto"/>
        <w:left w:val="none" w:sz="0" w:space="0" w:color="auto"/>
        <w:bottom w:val="none" w:sz="0" w:space="0" w:color="auto"/>
        <w:right w:val="none" w:sz="0" w:space="0" w:color="auto"/>
      </w:divBdr>
      <w:divsChild>
        <w:div w:id="1398280364">
          <w:marLeft w:val="0"/>
          <w:marRight w:val="0"/>
          <w:marTop w:val="0"/>
          <w:marBottom w:val="0"/>
          <w:divBdr>
            <w:top w:val="none" w:sz="0" w:space="0" w:color="auto"/>
            <w:left w:val="none" w:sz="0" w:space="0" w:color="auto"/>
            <w:bottom w:val="none" w:sz="0" w:space="0" w:color="auto"/>
            <w:right w:val="none" w:sz="0" w:space="0" w:color="auto"/>
          </w:divBdr>
          <w:divsChild>
            <w:div w:id="545878456">
              <w:marLeft w:val="0"/>
              <w:marRight w:val="0"/>
              <w:marTop w:val="0"/>
              <w:marBottom w:val="0"/>
              <w:divBdr>
                <w:top w:val="none" w:sz="0" w:space="0" w:color="auto"/>
                <w:left w:val="none" w:sz="0" w:space="0" w:color="auto"/>
                <w:bottom w:val="none" w:sz="0" w:space="0" w:color="auto"/>
                <w:right w:val="none" w:sz="0" w:space="0" w:color="auto"/>
              </w:divBdr>
              <w:divsChild>
                <w:div w:id="64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4251">
      <w:bodyDiv w:val="1"/>
      <w:marLeft w:val="0"/>
      <w:marRight w:val="0"/>
      <w:marTop w:val="0"/>
      <w:marBottom w:val="0"/>
      <w:divBdr>
        <w:top w:val="none" w:sz="0" w:space="0" w:color="auto"/>
        <w:left w:val="none" w:sz="0" w:space="0" w:color="auto"/>
        <w:bottom w:val="none" w:sz="0" w:space="0" w:color="auto"/>
        <w:right w:val="none" w:sz="0" w:space="0" w:color="auto"/>
      </w:divBdr>
    </w:div>
    <w:div w:id="304549629">
      <w:bodyDiv w:val="1"/>
      <w:marLeft w:val="0"/>
      <w:marRight w:val="0"/>
      <w:marTop w:val="0"/>
      <w:marBottom w:val="0"/>
      <w:divBdr>
        <w:top w:val="none" w:sz="0" w:space="0" w:color="auto"/>
        <w:left w:val="none" w:sz="0" w:space="0" w:color="auto"/>
        <w:bottom w:val="none" w:sz="0" w:space="0" w:color="auto"/>
        <w:right w:val="none" w:sz="0" w:space="0" w:color="auto"/>
      </w:divBdr>
    </w:div>
    <w:div w:id="304697462">
      <w:bodyDiv w:val="1"/>
      <w:marLeft w:val="0"/>
      <w:marRight w:val="0"/>
      <w:marTop w:val="0"/>
      <w:marBottom w:val="0"/>
      <w:divBdr>
        <w:top w:val="none" w:sz="0" w:space="0" w:color="auto"/>
        <w:left w:val="none" w:sz="0" w:space="0" w:color="auto"/>
        <w:bottom w:val="none" w:sz="0" w:space="0" w:color="auto"/>
        <w:right w:val="none" w:sz="0" w:space="0" w:color="auto"/>
      </w:divBdr>
    </w:div>
    <w:div w:id="305090541">
      <w:bodyDiv w:val="1"/>
      <w:marLeft w:val="0"/>
      <w:marRight w:val="0"/>
      <w:marTop w:val="0"/>
      <w:marBottom w:val="0"/>
      <w:divBdr>
        <w:top w:val="none" w:sz="0" w:space="0" w:color="auto"/>
        <w:left w:val="none" w:sz="0" w:space="0" w:color="auto"/>
        <w:bottom w:val="none" w:sz="0" w:space="0" w:color="auto"/>
        <w:right w:val="none" w:sz="0" w:space="0" w:color="auto"/>
      </w:divBdr>
    </w:div>
    <w:div w:id="309751045">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311906747">
      <w:bodyDiv w:val="1"/>
      <w:marLeft w:val="0"/>
      <w:marRight w:val="0"/>
      <w:marTop w:val="0"/>
      <w:marBottom w:val="0"/>
      <w:divBdr>
        <w:top w:val="none" w:sz="0" w:space="0" w:color="auto"/>
        <w:left w:val="none" w:sz="0" w:space="0" w:color="auto"/>
        <w:bottom w:val="none" w:sz="0" w:space="0" w:color="auto"/>
        <w:right w:val="none" w:sz="0" w:space="0" w:color="auto"/>
      </w:divBdr>
    </w:div>
    <w:div w:id="312610981">
      <w:bodyDiv w:val="1"/>
      <w:marLeft w:val="0"/>
      <w:marRight w:val="0"/>
      <w:marTop w:val="0"/>
      <w:marBottom w:val="0"/>
      <w:divBdr>
        <w:top w:val="none" w:sz="0" w:space="0" w:color="auto"/>
        <w:left w:val="none" w:sz="0" w:space="0" w:color="auto"/>
        <w:bottom w:val="none" w:sz="0" w:space="0" w:color="auto"/>
        <w:right w:val="none" w:sz="0" w:space="0" w:color="auto"/>
      </w:divBdr>
    </w:div>
    <w:div w:id="313529637">
      <w:bodyDiv w:val="1"/>
      <w:marLeft w:val="0"/>
      <w:marRight w:val="0"/>
      <w:marTop w:val="0"/>
      <w:marBottom w:val="0"/>
      <w:divBdr>
        <w:top w:val="none" w:sz="0" w:space="0" w:color="auto"/>
        <w:left w:val="none" w:sz="0" w:space="0" w:color="auto"/>
        <w:bottom w:val="none" w:sz="0" w:space="0" w:color="auto"/>
        <w:right w:val="none" w:sz="0" w:space="0" w:color="auto"/>
      </w:divBdr>
    </w:div>
    <w:div w:id="315301471">
      <w:bodyDiv w:val="1"/>
      <w:marLeft w:val="0"/>
      <w:marRight w:val="0"/>
      <w:marTop w:val="0"/>
      <w:marBottom w:val="0"/>
      <w:divBdr>
        <w:top w:val="none" w:sz="0" w:space="0" w:color="auto"/>
        <w:left w:val="none" w:sz="0" w:space="0" w:color="auto"/>
        <w:bottom w:val="none" w:sz="0" w:space="0" w:color="auto"/>
        <w:right w:val="none" w:sz="0" w:space="0" w:color="auto"/>
      </w:divBdr>
    </w:div>
    <w:div w:id="315381537">
      <w:bodyDiv w:val="1"/>
      <w:marLeft w:val="0"/>
      <w:marRight w:val="0"/>
      <w:marTop w:val="0"/>
      <w:marBottom w:val="0"/>
      <w:divBdr>
        <w:top w:val="none" w:sz="0" w:space="0" w:color="auto"/>
        <w:left w:val="none" w:sz="0" w:space="0" w:color="auto"/>
        <w:bottom w:val="none" w:sz="0" w:space="0" w:color="auto"/>
        <w:right w:val="none" w:sz="0" w:space="0" w:color="auto"/>
      </w:divBdr>
    </w:div>
    <w:div w:id="315843386">
      <w:bodyDiv w:val="1"/>
      <w:marLeft w:val="0"/>
      <w:marRight w:val="0"/>
      <w:marTop w:val="0"/>
      <w:marBottom w:val="0"/>
      <w:divBdr>
        <w:top w:val="none" w:sz="0" w:space="0" w:color="auto"/>
        <w:left w:val="none" w:sz="0" w:space="0" w:color="auto"/>
        <w:bottom w:val="none" w:sz="0" w:space="0" w:color="auto"/>
        <w:right w:val="none" w:sz="0" w:space="0" w:color="auto"/>
      </w:divBdr>
    </w:div>
    <w:div w:id="316232253">
      <w:bodyDiv w:val="1"/>
      <w:marLeft w:val="0"/>
      <w:marRight w:val="0"/>
      <w:marTop w:val="0"/>
      <w:marBottom w:val="0"/>
      <w:divBdr>
        <w:top w:val="none" w:sz="0" w:space="0" w:color="auto"/>
        <w:left w:val="none" w:sz="0" w:space="0" w:color="auto"/>
        <w:bottom w:val="none" w:sz="0" w:space="0" w:color="auto"/>
        <w:right w:val="none" w:sz="0" w:space="0" w:color="auto"/>
      </w:divBdr>
    </w:div>
    <w:div w:id="319508340">
      <w:bodyDiv w:val="1"/>
      <w:marLeft w:val="0"/>
      <w:marRight w:val="0"/>
      <w:marTop w:val="0"/>
      <w:marBottom w:val="0"/>
      <w:divBdr>
        <w:top w:val="none" w:sz="0" w:space="0" w:color="auto"/>
        <w:left w:val="none" w:sz="0" w:space="0" w:color="auto"/>
        <w:bottom w:val="none" w:sz="0" w:space="0" w:color="auto"/>
        <w:right w:val="none" w:sz="0" w:space="0" w:color="auto"/>
      </w:divBdr>
    </w:div>
    <w:div w:id="321390944">
      <w:bodyDiv w:val="1"/>
      <w:marLeft w:val="0"/>
      <w:marRight w:val="0"/>
      <w:marTop w:val="0"/>
      <w:marBottom w:val="0"/>
      <w:divBdr>
        <w:top w:val="none" w:sz="0" w:space="0" w:color="auto"/>
        <w:left w:val="none" w:sz="0" w:space="0" w:color="auto"/>
        <w:bottom w:val="none" w:sz="0" w:space="0" w:color="auto"/>
        <w:right w:val="none" w:sz="0" w:space="0" w:color="auto"/>
      </w:divBdr>
    </w:div>
    <w:div w:id="321587420">
      <w:bodyDiv w:val="1"/>
      <w:marLeft w:val="0"/>
      <w:marRight w:val="0"/>
      <w:marTop w:val="0"/>
      <w:marBottom w:val="0"/>
      <w:divBdr>
        <w:top w:val="none" w:sz="0" w:space="0" w:color="auto"/>
        <w:left w:val="none" w:sz="0" w:space="0" w:color="auto"/>
        <w:bottom w:val="none" w:sz="0" w:space="0" w:color="auto"/>
        <w:right w:val="none" w:sz="0" w:space="0" w:color="auto"/>
      </w:divBdr>
    </w:div>
    <w:div w:id="324893904">
      <w:bodyDiv w:val="1"/>
      <w:marLeft w:val="0"/>
      <w:marRight w:val="0"/>
      <w:marTop w:val="0"/>
      <w:marBottom w:val="0"/>
      <w:divBdr>
        <w:top w:val="none" w:sz="0" w:space="0" w:color="auto"/>
        <w:left w:val="none" w:sz="0" w:space="0" w:color="auto"/>
        <w:bottom w:val="none" w:sz="0" w:space="0" w:color="auto"/>
        <w:right w:val="none" w:sz="0" w:space="0" w:color="auto"/>
      </w:divBdr>
    </w:div>
    <w:div w:id="326596853">
      <w:bodyDiv w:val="1"/>
      <w:marLeft w:val="0"/>
      <w:marRight w:val="0"/>
      <w:marTop w:val="0"/>
      <w:marBottom w:val="0"/>
      <w:divBdr>
        <w:top w:val="none" w:sz="0" w:space="0" w:color="auto"/>
        <w:left w:val="none" w:sz="0" w:space="0" w:color="auto"/>
        <w:bottom w:val="none" w:sz="0" w:space="0" w:color="auto"/>
        <w:right w:val="none" w:sz="0" w:space="0" w:color="auto"/>
      </w:divBdr>
    </w:div>
    <w:div w:id="329061061">
      <w:bodyDiv w:val="1"/>
      <w:marLeft w:val="0"/>
      <w:marRight w:val="0"/>
      <w:marTop w:val="0"/>
      <w:marBottom w:val="0"/>
      <w:divBdr>
        <w:top w:val="none" w:sz="0" w:space="0" w:color="auto"/>
        <w:left w:val="none" w:sz="0" w:space="0" w:color="auto"/>
        <w:bottom w:val="none" w:sz="0" w:space="0" w:color="auto"/>
        <w:right w:val="none" w:sz="0" w:space="0" w:color="auto"/>
      </w:divBdr>
    </w:div>
    <w:div w:id="329140803">
      <w:bodyDiv w:val="1"/>
      <w:marLeft w:val="0"/>
      <w:marRight w:val="0"/>
      <w:marTop w:val="0"/>
      <w:marBottom w:val="0"/>
      <w:divBdr>
        <w:top w:val="none" w:sz="0" w:space="0" w:color="auto"/>
        <w:left w:val="none" w:sz="0" w:space="0" w:color="auto"/>
        <w:bottom w:val="none" w:sz="0" w:space="0" w:color="auto"/>
        <w:right w:val="none" w:sz="0" w:space="0" w:color="auto"/>
      </w:divBdr>
    </w:div>
    <w:div w:id="333647442">
      <w:bodyDiv w:val="1"/>
      <w:marLeft w:val="0"/>
      <w:marRight w:val="0"/>
      <w:marTop w:val="0"/>
      <w:marBottom w:val="0"/>
      <w:divBdr>
        <w:top w:val="none" w:sz="0" w:space="0" w:color="auto"/>
        <w:left w:val="none" w:sz="0" w:space="0" w:color="auto"/>
        <w:bottom w:val="none" w:sz="0" w:space="0" w:color="auto"/>
        <w:right w:val="none" w:sz="0" w:space="0" w:color="auto"/>
      </w:divBdr>
    </w:div>
    <w:div w:id="335428192">
      <w:bodyDiv w:val="1"/>
      <w:marLeft w:val="0"/>
      <w:marRight w:val="0"/>
      <w:marTop w:val="0"/>
      <w:marBottom w:val="0"/>
      <w:divBdr>
        <w:top w:val="none" w:sz="0" w:space="0" w:color="auto"/>
        <w:left w:val="none" w:sz="0" w:space="0" w:color="auto"/>
        <w:bottom w:val="none" w:sz="0" w:space="0" w:color="auto"/>
        <w:right w:val="none" w:sz="0" w:space="0" w:color="auto"/>
      </w:divBdr>
    </w:div>
    <w:div w:id="338191739">
      <w:bodyDiv w:val="1"/>
      <w:marLeft w:val="0"/>
      <w:marRight w:val="0"/>
      <w:marTop w:val="0"/>
      <w:marBottom w:val="0"/>
      <w:divBdr>
        <w:top w:val="none" w:sz="0" w:space="0" w:color="auto"/>
        <w:left w:val="none" w:sz="0" w:space="0" w:color="auto"/>
        <w:bottom w:val="none" w:sz="0" w:space="0" w:color="auto"/>
        <w:right w:val="none" w:sz="0" w:space="0" w:color="auto"/>
      </w:divBdr>
    </w:div>
    <w:div w:id="338704725">
      <w:bodyDiv w:val="1"/>
      <w:marLeft w:val="0"/>
      <w:marRight w:val="0"/>
      <w:marTop w:val="0"/>
      <w:marBottom w:val="0"/>
      <w:divBdr>
        <w:top w:val="none" w:sz="0" w:space="0" w:color="auto"/>
        <w:left w:val="none" w:sz="0" w:space="0" w:color="auto"/>
        <w:bottom w:val="none" w:sz="0" w:space="0" w:color="auto"/>
        <w:right w:val="none" w:sz="0" w:space="0" w:color="auto"/>
      </w:divBdr>
    </w:div>
    <w:div w:id="338847746">
      <w:bodyDiv w:val="1"/>
      <w:marLeft w:val="0"/>
      <w:marRight w:val="0"/>
      <w:marTop w:val="0"/>
      <w:marBottom w:val="0"/>
      <w:divBdr>
        <w:top w:val="none" w:sz="0" w:space="0" w:color="auto"/>
        <w:left w:val="none" w:sz="0" w:space="0" w:color="auto"/>
        <w:bottom w:val="none" w:sz="0" w:space="0" w:color="auto"/>
        <w:right w:val="none" w:sz="0" w:space="0" w:color="auto"/>
      </w:divBdr>
    </w:div>
    <w:div w:id="343557267">
      <w:bodyDiv w:val="1"/>
      <w:marLeft w:val="0"/>
      <w:marRight w:val="0"/>
      <w:marTop w:val="0"/>
      <w:marBottom w:val="0"/>
      <w:divBdr>
        <w:top w:val="none" w:sz="0" w:space="0" w:color="auto"/>
        <w:left w:val="none" w:sz="0" w:space="0" w:color="auto"/>
        <w:bottom w:val="none" w:sz="0" w:space="0" w:color="auto"/>
        <w:right w:val="none" w:sz="0" w:space="0" w:color="auto"/>
      </w:divBdr>
    </w:div>
    <w:div w:id="348992785">
      <w:bodyDiv w:val="1"/>
      <w:marLeft w:val="0"/>
      <w:marRight w:val="0"/>
      <w:marTop w:val="0"/>
      <w:marBottom w:val="0"/>
      <w:divBdr>
        <w:top w:val="none" w:sz="0" w:space="0" w:color="auto"/>
        <w:left w:val="none" w:sz="0" w:space="0" w:color="auto"/>
        <w:bottom w:val="none" w:sz="0" w:space="0" w:color="auto"/>
        <w:right w:val="none" w:sz="0" w:space="0" w:color="auto"/>
      </w:divBdr>
    </w:div>
    <w:div w:id="351492941">
      <w:bodyDiv w:val="1"/>
      <w:marLeft w:val="0"/>
      <w:marRight w:val="0"/>
      <w:marTop w:val="0"/>
      <w:marBottom w:val="0"/>
      <w:divBdr>
        <w:top w:val="none" w:sz="0" w:space="0" w:color="auto"/>
        <w:left w:val="none" w:sz="0" w:space="0" w:color="auto"/>
        <w:bottom w:val="none" w:sz="0" w:space="0" w:color="auto"/>
        <w:right w:val="none" w:sz="0" w:space="0" w:color="auto"/>
      </w:divBdr>
    </w:div>
    <w:div w:id="354422768">
      <w:bodyDiv w:val="1"/>
      <w:marLeft w:val="0"/>
      <w:marRight w:val="0"/>
      <w:marTop w:val="0"/>
      <w:marBottom w:val="0"/>
      <w:divBdr>
        <w:top w:val="none" w:sz="0" w:space="0" w:color="auto"/>
        <w:left w:val="none" w:sz="0" w:space="0" w:color="auto"/>
        <w:bottom w:val="none" w:sz="0" w:space="0" w:color="auto"/>
        <w:right w:val="none" w:sz="0" w:space="0" w:color="auto"/>
      </w:divBdr>
    </w:div>
    <w:div w:id="354575434">
      <w:bodyDiv w:val="1"/>
      <w:marLeft w:val="0"/>
      <w:marRight w:val="0"/>
      <w:marTop w:val="0"/>
      <w:marBottom w:val="0"/>
      <w:divBdr>
        <w:top w:val="none" w:sz="0" w:space="0" w:color="auto"/>
        <w:left w:val="none" w:sz="0" w:space="0" w:color="auto"/>
        <w:bottom w:val="none" w:sz="0" w:space="0" w:color="auto"/>
        <w:right w:val="none" w:sz="0" w:space="0" w:color="auto"/>
      </w:divBdr>
    </w:div>
    <w:div w:id="354885782">
      <w:bodyDiv w:val="1"/>
      <w:marLeft w:val="0"/>
      <w:marRight w:val="0"/>
      <w:marTop w:val="0"/>
      <w:marBottom w:val="0"/>
      <w:divBdr>
        <w:top w:val="none" w:sz="0" w:space="0" w:color="auto"/>
        <w:left w:val="none" w:sz="0" w:space="0" w:color="auto"/>
        <w:bottom w:val="none" w:sz="0" w:space="0" w:color="auto"/>
        <w:right w:val="none" w:sz="0" w:space="0" w:color="auto"/>
      </w:divBdr>
    </w:div>
    <w:div w:id="355157940">
      <w:bodyDiv w:val="1"/>
      <w:marLeft w:val="0"/>
      <w:marRight w:val="0"/>
      <w:marTop w:val="0"/>
      <w:marBottom w:val="0"/>
      <w:divBdr>
        <w:top w:val="none" w:sz="0" w:space="0" w:color="auto"/>
        <w:left w:val="none" w:sz="0" w:space="0" w:color="auto"/>
        <w:bottom w:val="none" w:sz="0" w:space="0" w:color="auto"/>
        <w:right w:val="none" w:sz="0" w:space="0" w:color="auto"/>
      </w:divBdr>
    </w:div>
    <w:div w:id="359089915">
      <w:bodyDiv w:val="1"/>
      <w:marLeft w:val="0"/>
      <w:marRight w:val="0"/>
      <w:marTop w:val="0"/>
      <w:marBottom w:val="0"/>
      <w:divBdr>
        <w:top w:val="none" w:sz="0" w:space="0" w:color="auto"/>
        <w:left w:val="none" w:sz="0" w:space="0" w:color="auto"/>
        <w:bottom w:val="none" w:sz="0" w:space="0" w:color="auto"/>
        <w:right w:val="none" w:sz="0" w:space="0" w:color="auto"/>
      </w:divBdr>
    </w:div>
    <w:div w:id="359741677">
      <w:bodyDiv w:val="1"/>
      <w:marLeft w:val="0"/>
      <w:marRight w:val="0"/>
      <w:marTop w:val="0"/>
      <w:marBottom w:val="0"/>
      <w:divBdr>
        <w:top w:val="none" w:sz="0" w:space="0" w:color="auto"/>
        <w:left w:val="none" w:sz="0" w:space="0" w:color="auto"/>
        <w:bottom w:val="none" w:sz="0" w:space="0" w:color="auto"/>
        <w:right w:val="none" w:sz="0" w:space="0" w:color="auto"/>
      </w:divBdr>
    </w:div>
    <w:div w:id="360934343">
      <w:bodyDiv w:val="1"/>
      <w:marLeft w:val="0"/>
      <w:marRight w:val="0"/>
      <w:marTop w:val="0"/>
      <w:marBottom w:val="0"/>
      <w:divBdr>
        <w:top w:val="none" w:sz="0" w:space="0" w:color="auto"/>
        <w:left w:val="none" w:sz="0" w:space="0" w:color="auto"/>
        <w:bottom w:val="none" w:sz="0" w:space="0" w:color="auto"/>
        <w:right w:val="none" w:sz="0" w:space="0" w:color="auto"/>
      </w:divBdr>
    </w:div>
    <w:div w:id="360977274">
      <w:bodyDiv w:val="1"/>
      <w:marLeft w:val="0"/>
      <w:marRight w:val="0"/>
      <w:marTop w:val="0"/>
      <w:marBottom w:val="0"/>
      <w:divBdr>
        <w:top w:val="none" w:sz="0" w:space="0" w:color="auto"/>
        <w:left w:val="none" w:sz="0" w:space="0" w:color="auto"/>
        <w:bottom w:val="none" w:sz="0" w:space="0" w:color="auto"/>
        <w:right w:val="none" w:sz="0" w:space="0" w:color="auto"/>
      </w:divBdr>
    </w:div>
    <w:div w:id="365712807">
      <w:bodyDiv w:val="1"/>
      <w:marLeft w:val="0"/>
      <w:marRight w:val="0"/>
      <w:marTop w:val="0"/>
      <w:marBottom w:val="0"/>
      <w:divBdr>
        <w:top w:val="none" w:sz="0" w:space="0" w:color="auto"/>
        <w:left w:val="none" w:sz="0" w:space="0" w:color="auto"/>
        <w:bottom w:val="none" w:sz="0" w:space="0" w:color="auto"/>
        <w:right w:val="none" w:sz="0" w:space="0" w:color="auto"/>
      </w:divBdr>
    </w:div>
    <w:div w:id="372467185">
      <w:bodyDiv w:val="1"/>
      <w:marLeft w:val="0"/>
      <w:marRight w:val="0"/>
      <w:marTop w:val="0"/>
      <w:marBottom w:val="0"/>
      <w:divBdr>
        <w:top w:val="none" w:sz="0" w:space="0" w:color="auto"/>
        <w:left w:val="none" w:sz="0" w:space="0" w:color="auto"/>
        <w:bottom w:val="none" w:sz="0" w:space="0" w:color="auto"/>
        <w:right w:val="none" w:sz="0" w:space="0" w:color="auto"/>
      </w:divBdr>
    </w:div>
    <w:div w:id="376199554">
      <w:bodyDiv w:val="1"/>
      <w:marLeft w:val="0"/>
      <w:marRight w:val="0"/>
      <w:marTop w:val="0"/>
      <w:marBottom w:val="0"/>
      <w:divBdr>
        <w:top w:val="none" w:sz="0" w:space="0" w:color="auto"/>
        <w:left w:val="none" w:sz="0" w:space="0" w:color="auto"/>
        <w:bottom w:val="none" w:sz="0" w:space="0" w:color="auto"/>
        <w:right w:val="none" w:sz="0" w:space="0" w:color="auto"/>
      </w:divBdr>
    </w:div>
    <w:div w:id="379792999">
      <w:bodyDiv w:val="1"/>
      <w:marLeft w:val="0"/>
      <w:marRight w:val="0"/>
      <w:marTop w:val="0"/>
      <w:marBottom w:val="0"/>
      <w:divBdr>
        <w:top w:val="none" w:sz="0" w:space="0" w:color="auto"/>
        <w:left w:val="none" w:sz="0" w:space="0" w:color="auto"/>
        <w:bottom w:val="none" w:sz="0" w:space="0" w:color="auto"/>
        <w:right w:val="none" w:sz="0" w:space="0" w:color="auto"/>
      </w:divBdr>
    </w:div>
    <w:div w:id="383137713">
      <w:bodyDiv w:val="1"/>
      <w:marLeft w:val="0"/>
      <w:marRight w:val="0"/>
      <w:marTop w:val="0"/>
      <w:marBottom w:val="0"/>
      <w:divBdr>
        <w:top w:val="none" w:sz="0" w:space="0" w:color="auto"/>
        <w:left w:val="none" w:sz="0" w:space="0" w:color="auto"/>
        <w:bottom w:val="none" w:sz="0" w:space="0" w:color="auto"/>
        <w:right w:val="none" w:sz="0" w:space="0" w:color="auto"/>
      </w:divBdr>
    </w:div>
    <w:div w:id="385641937">
      <w:bodyDiv w:val="1"/>
      <w:marLeft w:val="0"/>
      <w:marRight w:val="0"/>
      <w:marTop w:val="0"/>
      <w:marBottom w:val="0"/>
      <w:divBdr>
        <w:top w:val="none" w:sz="0" w:space="0" w:color="auto"/>
        <w:left w:val="none" w:sz="0" w:space="0" w:color="auto"/>
        <w:bottom w:val="none" w:sz="0" w:space="0" w:color="auto"/>
        <w:right w:val="none" w:sz="0" w:space="0" w:color="auto"/>
      </w:divBdr>
    </w:div>
    <w:div w:id="386031925">
      <w:bodyDiv w:val="1"/>
      <w:marLeft w:val="0"/>
      <w:marRight w:val="0"/>
      <w:marTop w:val="0"/>
      <w:marBottom w:val="0"/>
      <w:divBdr>
        <w:top w:val="none" w:sz="0" w:space="0" w:color="auto"/>
        <w:left w:val="none" w:sz="0" w:space="0" w:color="auto"/>
        <w:bottom w:val="none" w:sz="0" w:space="0" w:color="auto"/>
        <w:right w:val="none" w:sz="0" w:space="0" w:color="auto"/>
      </w:divBdr>
    </w:div>
    <w:div w:id="388577428">
      <w:bodyDiv w:val="1"/>
      <w:marLeft w:val="0"/>
      <w:marRight w:val="0"/>
      <w:marTop w:val="0"/>
      <w:marBottom w:val="0"/>
      <w:divBdr>
        <w:top w:val="none" w:sz="0" w:space="0" w:color="auto"/>
        <w:left w:val="none" w:sz="0" w:space="0" w:color="auto"/>
        <w:bottom w:val="none" w:sz="0" w:space="0" w:color="auto"/>
        <w:right w:val="none" w:sz="0" w:space="0" w:color="auto"/>
      </w:divBdr>
    </w:div>
    <w:div w:id="389503505">
      <w:bodyDiv w:val="1"/>
      <w:marLeft w:val="0"/>
      <w:marRight w:val="0"/>
      <w:marTop w:val="0"/>
      <w:marBottom w:val="0"/>
      <w:divBdr>
        <w:top w:val="none" w:sz="0" w:space="0" w:color="auto"/>
        <w:left w:val="none" w:sz="0" w:space="0" w:color="auto"/>
        <w:bottom w:val="none" w:sz="0" w:space="0" w:color="auto"/>
        <w:right w:val="none" w:sz="0" w:space="0" w:color="auto"/>
      </w:divBdr>
    </w:div>
    <w:div w:id="392043521">
      <w:bodyDiv w:val="1"/>
      <w:marLeft w:val="0"/>
      <w:marRight w:val="0"/>
      <w:marTop w:val="0"/>
      <w:marBottom w:val="0"/>
      <w:divBdr>
        <w:top w:val="none" w:sz="0" w:space="0" w:color="auto"/>
        <w:left w:val="none" w:sz="0" w:space="0" w:color="auto"/>
        <w:bottom w:val="none" w:sz="0" w:space="0" w:color="auto"/>
        <w:right w:val="none" w:sz="0" w:space="0" w:color="auto"/>
      </w:divBdr>
    </w:div>
    <w:div w:id="393429826">
      <w:bodyDiv w:val="1"/>
      <w:marLeft w:val="0"/>
      <w:marRight w:val="0"/>
      <w:marTop w:val="0"/>
      <w:marBottom w:val="0"/>
      <w:divBdr>
        <w:top w:val="none" w:sz="0" w:space="0" w:color="auto"/>
        <w:left w:val="none" w:sz="0" w:space="0" w:color="auto"/>
        <w:bottom w:val="none" w:sz="0" w:space="0" w:color="auto"/>
        <w:right w:val="none" w:sz="0" w:space="0" w:color="auto"/>
      </w:divBdr>
    </w:div>
    <w:div w:id="397439628">
      <w:bodyDiv w:val="1"/>
      <w:marLeft w:val="0"/>
      <w:marRight w:val="0"/>
      <w:marTop w:val="0"/>
      <w:marBottom w:val="0"/>
      <w:divBdr>
        <w:top w:val="none" w:sz="0" w:space="0" w:color="auto"/>
        <w:left w:val="none" w:sz="0" w:space="0" w:color="auto"/>
        <w:bottom w:val="none" w:sz="0" w:space="0" w:color="auto"/>
        <w:right w:val="none" w:sz="0" w:space="0" w:color="auto"/>
      </w:divBdr>
    </w:div>
    <w:div w:id="402289792">
      <w:bodyDiv w:val="1"/>
      <w:marLeft w:val="0"/>
      <w:marRight w:val="0"/>
      <w:marTop w:val="0"/>
      <w:marBottom w:val="0"/>
      <w:divBdr>
        <w:top w:val="none" w:sz="0" w:space="0" w:color="auto"/>
        <w:left w:val="none" w:sz="0" w:space="0" w:color="auto"/>
        <w:bottom w:val="none" w:sz="0" w:space="0" w:color="auto"/>
        <w:right w:val="none" w:sz="0" w:space="0" w:color="auto"/>
      </w:divBdr>
    </w:div>
    <w:div w:id="404032283">
      <w:bodyDiv w:val="1"/>
      <w:marLeft w:val="0"/>
      <w:marRight w:val="0"/>
      <w:marTop w:val="0"/>
      <w:marBottom w:val="0"/>
      <w:divBdr>
        <w:top w:val="none" w:sz="0" w:space="0" w:color="auto"/>
        <w:left w:val="none" w:sz="0" w:space="0" w:color="auto"/>
        <w:bottom w:val="none" w:sz="0" w:space="0" w:color="auto"/>
        <w:right w:val="none" w:sz="0" w:space="0" w:color="auto"/>
      </w:divBdr>
    </w:div>
    <w:div w:id="407844715">
      <w:bodyDiv w:val="1"/>
      <w:marLeft w:val="0"/>
      <w:marRight w:val="0"/>
      <w:marTop w:val="0"/>
      <w:marBottom w:val="0"/>
      <w:divBdr>
        <w:top w:val="none" w:sz="0" w:space="0" w:color="auto"/>
        <w:left w:val="none" w:sz="0" w:space="0" w:color="auto"/>
        <w:bottom w:val="none" w:sz="0" w:space="0" w:color="auto"/>
        <w:right w:val="none" w:sz="0" w:space="0" w:color="auto"/>
      </w:divBdr>
    </w:div>
    <w:div w:id="410469277">
      <w:bodyDiv w:val="1"/>
      <w:marLeft w:val="0"/>
      <w:marRight w:val="0"/>
      <w:marTop w:val="0"/>
      <w:marBottom w:val="0"/>
      <w:divBdr>
        <w:top w:val="none" w:sz="0" w:space="0" w:color="auto"/>
        <w:left w:val="none" w:sz="0" w:space="0" w:color="auto"/>
        <w:bottom w:val="none" w:sz="0" w:space="0" w:color="auto"/>
        <w:right w:val="none" w:sz="0" w:space="0" w:color="auto"/>
      </w:divBdr>
    </w:div>
    <w:div w:id="411129086">
      <w:bodyDiv w:val="1"/>
      <w:marLeft w:val="0"/>
      <w:marRight w:val="0"/>
      <w:marTop w:val="0"/>
      <w:marBottom w:val="0"/>
      <w:divBdr>
        <w:top w:val="none" w:sz="0" w:space="0" w:color="auto"/>
        <w:left w:val="none" w:sz="0" w:space="0" w:color="auto"/>
        <w:bottom w:val="none" w:sz="0" w:space="0" w:color="auto"/>
        <w:right w:val="none" w:sz="0" w:space="0" w:color="auto"/>
      </w:divBdr>
    </w:div>
    <w:div w:id="413013822">
      <w:bodyDiv w:val="1"/>
      <w:marLeft w:val="0"/>
      <w:marRight w:val="0"/>
      <w:marTop w:val="0"/>
      <w:marBottom w:val="0"/>
      <w:divBdr>
        <w:top w:val="none" w:sz="0" w:space="0" w:color="auto"/>
        <w:left w:val="none" w:sz="0" w:space="0" w:color="auto"/>
        <w:bottom w:val="none" w:sz="0" w:space="0" w:color="auto"/>
        <w:right w:val="none" w:sz="0" w:space="0" w:color="auto"/>
      </w:divBdr>
      <w:divsChild>
        <w:div w:id="858470381">
          <w:marLeft w:val="0"/>
          <w:marRight w:val="0"/>
          <w:marTop w:val="0"/>
          <w:marBottom w:val="0"/>
          <w:divBdr>
            <w:top w:val="none" w:sz="0" w:space="0" w:color="auto"/>
            <w:left w:val="none" w:sz="0" w:space="0" w:color="auto"/>
            <w:bottom w:val="none" w:sz="0" w:space="0" w:color="auto"/>
            <w:right w:val="none" w:sz="0" w:space="0" w:color="auto"/>
          </w:divBdr>
          <w:divsChild>
            <w:div w:id="2135367296">
              <w:marLeft w:val="0"/>
              <w:marRight w:val="0"/>
              <w:marTop w:val="0"/>
              <w:marBottom w:val="0"/>
              <w:divBdr>
                <w:top w:val="none" w:sz="0" w:space="0" w:color="auto"/>
                <w:left w:val="none" w:sz="0" w:space="0" w:color="auto"/>
                <w:bottom w:val="none" w:sz="0" w:space="0" w:color="auto"/>
                <w:right w:val="none" w:sz="0" w:space="0" w:color="auto"/>
              </w:divBdr>
              <w:divsChild>
                <w:div w:id="14985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6528">
      <w:bodyDiv w:val="1"/>
      <w:marLeft w:val="0"/>
      <w:marRight w:val="0"/>
      <w:marTop w:val="0"/>
      <w:marBottom w:val="0"/>
      <w:divBdr>
        <w:top w:val="none" w:sz="0" w:space="0" w:color="auto"/>
        <w:left w:val="none" w:sz="0" w:space="0" w:color="auto"/>
        <w:bottom w:val="none" w:sz="0" w:space="0" w:color="auto"/>
        <w:right w:val="none" w:sz="0" w:space="0" w:color="auto"/>
      </w:divBdr>
    </w:div>
    <w:div w:id="417991074">
      <w:bodyDiv w:val="1"/>
      <w:marLeft w:val="0"/>
      <w:marRight w:val="0"/>
      <w:marTop w:val="0"/>
      <w:marBottom w:val="0"/>
      <w:divBdr>
        <w:top w:val="none" w:sz="0" w:space="0" w:color="auto"/>
        <w:left w:val="none" w:sz="0" w:space="0" w:color="auto"/>
        <w:bottom w:val="none" w:sz="0" w:space="0" w:color="auto"/>
        <w:right w:val="none" w:sz="0" w:space="0" w:color="auto"/>
      </w:divBdr>
    </w:div>
    <w:div w:id="422843075">
      <w:bodyDiv w:val="1"/>
      <w:marLeft w:val="0"/>
      <w:marRight w:val="0"/>
      <w:marTop w:val="0"/>
      <w:marBottom w:val="0"/>
      <w:divBdr>
        <w:top w:val="none" w:sz="0" w:space="0" w:color="auto"/>
        <w:left w:val="none" w:sz="0" w:space="0" w:color="auto"/>
        <w:bottom w:val="none" w:sz="0" w:space="0" w:color="auto"/>
        <w:right w:val="none" w:sz="0" w:space="0" w:color="auto"/>
      </w:divBdr>
    </w:div>
    <w:div w:id="430515410">
      <w:bodyDiv w:val="1"/>
      <w:marLeft w:val="0"/>
      <w:marRight w:val="0"/>
      <w:marTop w:val="0"/>
      <w:marBottom w:val="0"/>
      <w:divBdr>
        <w:top w:val="none" w:sz="0" w:space="0" w:color="auto"/>
        <w:left w:val="none" w:sz="0" w:space="0" w:color="auto"/>
        <w:bottom w:val="none" w:sz="0" w:space="0" w:color="auto"/>
        <w:right w:val="none" w:sz="0" w:space="0" w:color="auto"/>
      </w:divBdr>
    </w:div>
    <w:div w:id="434374014">
      <w:bodyDiv w:val="1"/>
      <w:marLeft w:val="0"/>
      <w:marRight w:val="0"/>
      <w:marTop w:val="0"/>
      <w:marBottom w:val="0"/>
      <w:divBdr>
        <w:top w:val="none" w:sz="0" w:space="0" w:color="auto"/>
        <w:left w:val="none" w:sz="0" w:space="0" w:color="auto"/>
        <w:bottom w:val="none" w:sz="0" w:space="0" w:color="auto"/>
        <w:right w:val="none" w:sz="0" w:space="0" w:color="auto"/>
      </w:divBdr>
    </w:div>
    <w:div w:id="434519412">
      <w:bodyDiv w:val="1"/>
      <w:marLeft w:val="0"/>
      <w:marRight w:val="0"/>
      <w:marTop w:val="0"/>
      <w:marBottom w:val="0"/>
      <w:divBdr>
        <w:top w:val="none" w:sz="0" w:space="0" w:color="auto"/>
        <w:left w:val="none" w:sz="0" w:space="0" w:color="auto"/>
        <w:bottom w:val="none" w:sz="0" w:space="0" w:color="auto"/>
        <w:right w:val="none" w:sz="0" w:space="0" w:color="auto"/>
      </w:divBdr>
    </w:div>
    <w:div w:id="451444268">
      <w:bodyDiv w:val="1"/>
      <w:marLeft w:val="0"/>
      <w:marRight w:val="0"/>
      <w:marTop w:val="0"/>
      <w:marBottom w:val="0"/>
      <w:divBdr>
        <w:top w:val="none" w:sz="0" w:space="0" w:color="auto"/>
        <w:left w:val="none" w:sz="0" w:space="0" w:color="auto"/>
        <w:bottom w:val="none" w:sz="0" w:space="0" w:color="auto"/>
        <w:right w:val="none" w:sz="0" w:space="0" w:color="auto"/>
      </w:divBdr>
    </w:div>
    <w:div w:id="453326720">
      <w:bodyDiv w:val="1"/>
      <w:marLeft w:val="0"/>
      <w:marRight w:val="0"/>
      <w:marTop w:val="0"/>
      <w:marBottom w:val="0"/>
      <w:divBdr>
        <w:top w:val="none" w:sz="0" w:space="0" w:color="auto"/>
        <w:left w:val="none" w:sz="0" w:space="0" w:color="auto"/>
        <w:bottom w:val="none" w:sz="0" w:space="0" w:color="auto"/>
        <w:right w:val="none" w:sz="0" w:space="0" w:color="auto"/>
      </w:divBdr>
    </w:div>
    <w:div w:id="454518801">
      <w:bodyDiv w:val="1"/>
      <w:marLeft w:val="0"/>
      <w:marRight w:val="0"/>
      <w:marTop w:val="0"/>
      <w:marBottom w:val="0"/>
      <w:divBdr>
        <w:top w:val="none" w:sz="0" w:space="0" w:color="auto"/>
        <w:left w:val="none" w:sz="0" w:space="0" w:color="auto"/>
        <w:bottom w:val="none" w:sz="0" w:space="0" w:color="auto"/>
        <w:right w:val="none" w:sz="0" w:space="0" w:color="auto"/>
      </w:divBdr>
    </w:div>
    <w:div w:id="456335276">
      <w:bodyDiv w:val="1"/>
      <w:marLeft w:val="0"/>
      <w:marRight w:val="0"/>
      <w:marTop w:val="0"/>
      <w:marBottom w:val="0"/>
      <w:divBdr>
        <w:top w:val="none" w:sz="0" w:space="0" w:color="auto"/>
        <w:left w:val="none" w:sz="0" w:space="0" w:color="auto"/>
        <w:bottom w:val="none" w:sz="0" w:space="0" w:color="auto"/>
        <w:right w:val="none" w:sz="0" w:space="0" w:color="auto"/>
      </w:divBdr>
    </w:div>
    <w:div w:id="457339660">
      <w:bodyDiv w:val="1"/>
      <w:marLeft w:val="0"/>
      <w:marRight w:val="0"/>
      <w:marTop w:val="0"/>
      <w:marBottom w:val="0"/>
      <w:divBdr>
        <w:top w:val="none" w:sz="0" w:space="0" w:color="auto"/>
        <w:left w:val="none" w:sz="0" w:space="0" w:color="auto"/>
        <w:bottom w:val="none" w:sz="0" w:space="0" w:color="auto"/>
        <w:right w:val="none" w:sz="0" w:space="0" w:color="auto"/>
      </w:divBdr>
    </w:div>
    <w:div w:id="463738712">
      <w:bodyDiv w:val="1"/>
      <w:marLeft w:val="0"/>
      <w:marRight w:val="0"/>
      <w:marTop w:val="0"/>
      <w:marBottom w:val="0"/>
      <w:divBdr>
        <w:top w:val="none" w:sz="0" w:space="0" w:color="auto"/>
        <w:left w:val="none" w:sz="0" w:space="0" w:color="auto"/>
        <w:bottom w:val="none" w:sz="0" w:space="0" w:color="auto"/>
        <w:right w:val="none" w:sz="0" w:space="0" w:color="auto"/>
      </w:divBdr>
    </w:div>
    <w:div w:id="463739638">
      <w:bodyDiv w:val="1"/>
      <w:marLeft w:val="0"/>
      <w:marRight w:val="0"/>
      <w:marTop w:val="0"/>
      <w:marBottom w:val="0"/>
      <w:divBdr>
        <w:top w:val="none" w:sz="0" w:space="0" w:color="auto"/>
        <w:left w:val="none" w:sz="0" w:space="0" w:color="auto"/>
        <w:bottom w:val="none" w:sz="0" w:space="0" w:color="auto"/>
        <w:right w:val="none" w:sz="0" w:space="0" w:color="auto"/>
      </w:divBdr>
    </w:div>
    <w:div w:id="469637285">
      <w:bodyDiv w:val="1"/>
      <w:marLeft w:val="0"/>
      <w:marRight w:val="0"/>
      <w:marTop w:val="0"/>
      <w:marBottom w:val="0"/>
      <w:divBdr>
        <w:top w:val="none" w:sz="0" w:space="0" w:color="auto"/>
        <w:left w:val="none" w:sz="0" w:space="0" w:color="auto"/>
        <w:bottom w:val="none" w:sz="0" w:space="0" w:color="auto"/>
        <w:right w:val="none" w:sz="0" w:space="0" w:color="auto"/>
      </w:divBdr>
    </w:div>
    <w:div w:id="471412749">
      <w:bodyDiv w:val="1"/>
      <w:marLeft w:val="0"/>
      <w:marRight w:val="0"/>
      <w:marTop w:val="0"/>
      <w:marBottom w:val="0"/>
      <w:divBdr>
        <w:top w:val="none" w:sz="0" w:space="0" w:color="auto"/>
        <w:left w:val="none" w:sz="0" w:space="0" w:color="auto"/>
        <w:bottom w:val="none" w:sz="0" w:space="0" w:color="auto"/>
        <w:right w:val="none" w:sz="0" w:space="0" w:color="auto"/>
      </w:divBdr>
    </w:div>
    <w:div w:id="474373390">
      <w:bodyDiv w:val="1"/>
      <w:marLeft w:val="0"/>
      <w:marRight w:val="0"/>
      <w:marTop w:val="0"/>
      <w:marBottom w:val="0"/>
      <w:divBdr>
        <w:top w:val="none" w:sz="0" w:space="0" w:color="auto"/>
        <w:left w:val="none" w:sz="0" w:space="0" w:color="auto"/>
        <w:bottom w:val="none" w:sz="0" w:space="0" w:color="auto"/>
        <w:right w:val="none" w:sz="0" w:space="0" w:color="auto"/>
      </w:divBdr>
    </w:div>
    <w:div w:id="475610933">
      <w:bodyDiv w:val="1"/>
      <w:marLeft w:val="0"/>
      <w:marRight w:val="0"/>
      <w:marTop w:val="0"/>
      <w:marBottom w:val="0"/>
      <w:divBdr>
        <w:top w:val="none" w:sz="0" w:space="0" w:color="auto"/>
        <w:left w:val="none" w:sz="0" w:space="0" w:color="auto"/>
        <w:bottom w:val="none" w:sz="0" w:space="0" w:color="auto"/>
        <w:right w:val="none" w:sz="0" w:space="0" w:color="auto"/>
      </w:divBdr>
    </w:div>
    <w:div w:id="482697694">
      <w:bodyDiv w:val="1"/>
      <w:marLeft w:val="0"/>
      <w:marRight w:val="0"/>
      <w:marTop w:val="0"/>
      <w:marBottom w:val="0"/>
      <w:divBdr>
        <w:top w:val="none" w:sz="0" w:space="0" w:color="auto"/>
        <w:left w:val="none" w:sz="0" w:space="0" w:color="auto"/>
        <w:bottom w:val="none" w:sz="0" w:space="0" w:color="auto"/>
        <w:right w:val="none" w:sz="0" w:space="0" w:color="auto"/>
      </w:divBdr>
    </w:div>
    <w:div w:id="488326581">
      <w:bodyDiv w:val="1"/>
      <w:marLeft w:val="0"/>
      <w:marRight w:val="0"/>
      <w:marTop w:val="0"/>
      <w:marBottom w:val="0"/>
      <w:divBdr>
        <w:top w:val="none" w:sz="0" w:space="0" w:color="auto"/>
        <w:left w:val="none" w:sz="0" w:space="0" w:color="auto"/>
        <w:bottom w:val="none" w:sz="0" w:space="0" w:color="auto"/>
        <w:right w:val="none" w:sz="0" w:space="0" w:color="auto"/>
      </w:divBdr>
    </w:div>
    <w:div w:id="491458630">
      <w:bodyDiv w:val="1"/>
      <w:marLeft w:val="0"/>
      <w:marRight w:val="0"/>
      <w:marTop w:val="0"/>
      <w:marBottom w:val="0"/>
      <w:divBdr>
        <w:top w:val="none" w:sz="0" w:space="0" w:color="auto"/>
        <w:left w:val="none" w:sz="0" w:space="0" w:color="auto"/>
        <w:bottom w:val="none" w:sz="0" w:space="0" w:color="auto"/>
        <w:right w:val="none" w:sz="0" w:space="0" w:color="auto"/>
      </w:divBdr>
    </w:div>
    <w:div w:id="493760168">
      <w:bodyDiv w:val="1"/>
      <w:marLeft w:val="0"/>
      <w:marRight w:val="0"/>
      <w:marTop w:val="0"/>
      <w:marBottom w:val="0"/>
      <w:divBdr>
        <w:top w:val="none" w:sz="0" w:space="0" w:color="auto"/>
        <w:left w:val="none" w:sz="0" w:space="0" w:color="auto"/>
        <w:bottom w:val="none" w:sz="0" w:space="0" w:color="auto"/>
        <w:right w:val="none" w:sz="0" w:space="0" w:color="auto"/>
      </w:divBdr>
    </w:div>
    <w:div w:id="494801046">
      <w:bodyDiv w:val="1"/>
      <w:marLeft w:val="0"/>
      <w:marRight w:val="0"/>
      <w:marTop w:val="0"/>
      <w:marBottom w:val="0"/>
      <w:divBdr>
        <w:top w:val="none" w:sz="0" w:space="0" w:color="auto"/>
        <w:left w:val="none" w:sz="0" w:space="0" w:color="auto"/>
        <w:bottom w:val="none" w:sz="0" w:space="0" w:color="auto"/>
        <w:right w:val="none" w:sz="0" w:space="0" w:color="auto"/>
      </w:divBdr>
    </w:div>
    <w:div w:id="504169204">
      <w:bodyDiv w:val="1"/>
      <w:marLeft w:val="0"/>
      <w:marRight w:val="0"/>
      <w:marTop w:val="0"/>
      <w:marBottom w:val="0"/>
      <w:divBdr>
        <w:top w:val="none" w:sz="0" w:space="0" w:color="auto"/>
        <w:left w:val="none" w:sz="0" w:space="0" w:color="auto"/>
        <w:bottom w:val="none" w:sz="0" w:space="0" w:color="auto"/>
        <w:right w:val="none" w:sz="0" w:space="0" w:color="auto"/>
      </w:divBdr>
    </w:div>
    <w:div w:id="507522564">
      <w:bodyDiv w:val="1"/>
      <w:marLeft w:val="0"/>
      <w:marRight w:val="0"/>
      <w:marTop w:val="0"/>
      <w:marBottom w:val="0"/>
      <w:divBdr>
        <w:top w:val="none" w:sz="0" w:space="0" w:color="auto"/>
        <w:left w:val="none" w:sz="0" w:space="0" w:color="auto"/>
        <w:bottom w:val="none" w:sz="0" w:space="0" w:color="auto"/>
        <w:right w:val="none" w:sz="0" w:space="0" w:color="auto"/>
      </w:divBdr>
    </w:div>
    <w:div w:id="508446029">
      <w:bodyDiv w:val="1"/>
      <w:marLeft w:val="0"/>
      <w:marRight w:val="0"/>
      <w:marTop w:val="0"/>
      <w:marBottom w:val="0"/>
      <w:divBdr>
        <w:top w:val="none" w:sz="0" w:space="0" w:color="auto"/>
        <w:left w:val="none" w:sz="0" w:space="0" w:color="auto"/>
        <w:bottom w:val="none" w:sz="0" w:space="0" w:color="auto"/>
        <w:right w:val="none" w:sz="0" w:space="0" w:color="auto"/>
      </w:divBdr>
    </w:div>
    <w:div w:id="510683597">
      <w:bodyDiv w:val="1"/>
      <w:marLeft w:val="0"/>
      <w:marRight w:val="0"/>
      <w:marTop w:val="0"/>
      <w:marBottom w:val="0"/>
      <w:divBdr>
        <w:top w:val="none" w:sz="0" w:space="0" w:color="auto"/>
        <w:left w:val="none" w:sz="0" w:space="0" w:color="auto"/>
        <w:bottom w:val="none" w:sz="0" w:space="0" w:color="auto"/>
        <w:right w:val="none" w:sz="0" w:space="0" w:color="auto"/>
      </w:divBdr>
    </w:div>
    <w:div w:id="512913068">
      <w:bodyDiv w:val="1"/>
      <w:marLeft w:val="0"/>
      <w:marRight w:val="0"/>
      <w:marTop w:val="0"/>
      <w:marBottom w:val="0"/>
      <w:divBdr>
        <w:top w:val="none" w:sz="0" w:space="0" w:color="auto"/>
        <w:left w:val="none" w:sz="0" w:space="0" w:color="auto"/>
        <w:bottom w:val="none" w:sz="0" w:space="0" w:color="auto"/>
        <w:right w:val="none" w:sz="0" w:space="0" w:color="auto"/>
      </w:divBdr>
    </w:div>
    <w:div w:id="513957868">
      <w:bodyDiv w:val="1"/>
      <w:marLeft w:val="0"/>
      <w:marRight w:val="0"/>
      <w:marTop w:val="0"/>
      <w:marBottom w:val="0"/>
      <w:divBdr>
        <w:top w:val="none" w:sz="0" w:space="0" w:color="auto"/>
        <w:left w:val="none" w:sz="0" w:space="0" w:color="auto"/>
        <w:bottom w:val="none" w:sz="0" w:space="0" w:color="auto"/>
        <w:right w:val="none" w:sz="0" w:space="0" w:color="auto"/>
      </w:divBdr>
    </w:div>
    <w:div w:id="514535951">
      <w:bodyDiv w:val="1"/>
      <w:marLeft w:val="0"/>
      <w:marRight w:val="0"/>
      <w:marTop w:val="0"/>
      <w:marBottom w:val="0"/>
      <w:divBdr>
        <w:top w:val="none" w:sz="0" w:space="0" w:color="auto"/>
        <w:left w:val="none" w:sz="0" w:space="0" w:color="auto"/>
        <w:bottom w:val="none" w:sz="0" w:space="0" w:color="auto"/>
        <w:right w:val="none" w:sz="0" w:space="0" w:color="auto"/>
      </w:divBdr>
    </w:div>
    <w:div w:id="521088044">
      <w:bodyDiv w:val="1"/>
      <w:marLeft w:val="0"/>
      <w:marRight w:val="0"/>
      <w:marTop w:val="0"/>
      <w:marBottom w:val="0"/>
      <w:divBdr>
        <w:top w:val="none" w:sz="0" w:space="0" w:color="auto"/>
        <w:left w:val="none" w:sz="0" w:space="0" w:color="auto"/>
        <w:bottom w:val="none" w:sz="0" w:space="0" w:color="auto"/>
        <w:right w:val="none" w:sz="0" w:space="0" w:color="auto"/>
      </w:divBdr>
    </w:div>
    <w:div w:id="527529767">
      <w:bodyDiv w:val="1"/>
      <w:marLeft w:val="0"/>
      <w:marRight w:val="0"/>
      <w:marTop w:val="0"/>
      <w:marBottom w:val="0"/>
      <w:divBdr>
        <w:top w:val="none" w:sz="0" w:space="0" w:color="auto"/>
        <w:left w:val="none" w:sz="0" w:space="0" w:color="auto"/>
        <w:bottom w:val="none" w:sz="0" w:space="0" w:color="auto"/>
        <w:right w:val="none" w:sz="0" w:space="0" w:color="auto"/>
      </w:divBdr>
    </w:div>
    <w:div w:id="528222379">
      <w:bodyDiv w:val="1"/>
      <w:marLeft w:val="0"/>
      <w:marRight w:val="0"/>
      <w:marTop w:val="0"/>
      <w:marBottom w:val="0"/>
      <w:divBdr>
        <w:top w:val="none" w:sz="0" w:space="0" w:color="auto"/>
        <w:left w:val="none" w:sz="0" w:space="0" w:color="auto"/>
        <w:bottom w:val="none" w:sz="0" w:space="0" w:color="auto"/>
        <w:right w:val="none" w:sz="0" w:space="0" w:color="auto"/>
      </w:divBdr>
    </w:div>
    <w:div w:id="534150689">
      <w:bodyDiv w:val="1"/>
      <w:marLeft w:val="0"/>
      <w:marRight w:val="0"/>
      <w:marTop w:val="0"/>
      <w:marBottom w:val="0"/>
      <w:divBdr>
        <w:top w:val="none" w:sz="0" w:space="0" w:color="auto"/>
        <w:left w:val="none" w:sz="0" w:space="0" w:color="auto"/>
        <w:bottom w:val="none" w:sz="0" w:space="0" w:color="auto"/>
        <w:right w:val="none" w:sz="0" w:space="0" w:color="auto"/>
      </w:divBdr>
      <w:divsChild>
        <w:div w:id="1466117364">
          <w:marLeft w:val="0"/>
          <w:marRight w:val="0"/>
          <w:marTop w:val="0"/>
          <w:marBottom w:val="0"/>
          <w:divBdr>
            <w:top w:val="none" w:sz="0" w:space="0" w:color="auto"/>
            <w:left w:val="none" w:sz="0" w:space="0" w:color="auto"/>
            <w:bottom w:val="none" w:sz="0" w:space="0" w:color="auto"/>
            <w:right w:val="none" w:sz="0" w:space="0" w:color="auto"/>
          </w:divBdr>
          <w:divsChild>
            <w:div w:id="1609968795">
              <w:marLeft w:val="0"/>
              <w:marRight w:val="0"/>
              <w:marTop w:val="0"/>
              <w:marBottom w:val="0"/>
              <w:divBdr>
                <w:top w:val="none" w:sz="0" w:space="0" w:color="auto"/>
                <w:left w:val="none" w:sz="0" w:space="0" w:color="auto"/>
                <w:bottom w:val="none" w:sz="0" w:space="0" w:color="auto"/>
                <w:right w:val="none" w:sz="0" w:space="0" w:color="auto"/>
              </w:divBdr>
              <w:divsChild>
                <w:div w:id="10993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5705">
      <w:bodyDiv w:val="1"/>
      <w:marLeft w:val="0"/>
      <w:marRight w:val="0"/>
      <w:marTop w:val="0"/>
      <w:marBottom w:val="0"/>
      <w:divBdr>
        <w:top w:val="none" w:sz="0" w:space="0" w:color="auto"/>
        <w:left w:val="none" w:sz="0" w:space="0" w:color="auto"/>
        <w:bottom w:val="none" w:sz="0" w:space="0" w:color="auto"/>
        <w:right w:val="none" w:sz="0" w:space="0" w:color="auto"/>
      </w:divBdr>
    </w:div>
    <w:div w:id="536357759">
      <w:bodyDiv w:val="1"/>
      <w:marLeft w:val="0"/>
      <w:marRight w:val="0"/>
      <w:marTop w:val="0"/>
      <w:marBottom w:val="0"/>
      <w:divBdr>
        <w:top w:val="none" w:sz="0" w:space="0" w:color="auto"/>
        <w:left w:val="none" w:sz="0" w:space="0" w:color="auto"/>
        <w:bottom w:val="none" w:sz="0" w:space="0" w:color="auto"/>
        <w:right w:val="none" w:sz="0" w:space="0" w:color="auto"/>
      </w:divBdr>
    </w:div>
    <w:div w:id="537399040">
      <w:bodyDiv w:val="1"/>
      <w:marLeft w:val="0"/>
      <w:marRight w:val="0"/>
      <w:marTop w:val="0"/>
      <w:marBottom w:val="0"/>
      <w:divBdr>
        <w:top w:val="none" w:sz="0" w:space="0" w:color="auto"/>
        <w:left w:val="none" w:sz="0" w:space="0" w:color="auto"/>
        <w:bottom w:val="none" w:sz="0" w:space="0" w:color="auto"/>
        <w:right w:val="none" w:sz="0" w:space="0" w:color="auto"/>
      </w:divBdr>
    </w:div>
    <w:div w:id="540098493">
      <w:bodyDiv w:val="1"/>
      <w:marLeft w:val="0"/>
      <w:marRight w:val="0"/>
      <w:marTop w:val="0"/>
      <w:marBottom w:val="0"/>
      <w:divBdr>
        <w:top w:val="none" w:sz="0" w:space="0" w:color="auto"/>
        <w:left w:val="none" w:sz="0" w:space="0" w:color="auto"/>
        <w:bottom w:val="none" w:sz="0" w:space="0" w:color="auto"/>
        <w:right w:val="none" w:sz="0" w:space="0" w:color="auto"/>
      </w:divBdr>
    </w:div>
    <w:div w:id="540435295">
      <w:bodyDiv w:val="1"/>
      <w:marLeft w:val="0"/>
      <w:marRight w:val="0"/>
      <w:marTop w:val="0"/>
      <w:marBottom w:val="0"/>
      <w:divBdr>
        <w:top w:val="none" w:sz="0" w:space="0" w:color="auto"/>
        <w:left w:val="none" w:sz="0" w:space="0" w:color="auto"/>
        <w:bottom w:val="none" w:sz="0" w:space="0" w:color="auto"/>
        <w:right w:val="none" w:sz="0" w:space="0" w:color="auto"/>
      </w:divBdr>
    </w:div>
    <w:div w:id="542210027">
      <w:bodyDiv w:val="1"/>
      <w:marLeft w:val="0"/>
      <w:marRight w:val="0"/>
      <w:marTop w:val="0"/>
      <w:marBottom w:val="0"/>
      <w:divBdr>
        <w:top w:val="none" w:sz="0" w:space="0" w:color="auto"/>
        <w:left w:val="none" w:sz="0" w:space="0" w:color="auto"/>
        <w:bottom w:val="none" w:sz="0" w:space="0" w:color="auto"/>
        <w:right w:val="none" w:sz="0" w:space="0" w:color="auto"/>
      </w:divBdr>
    </w:div>
    <w:div w:id="545607283">
      <w:bodyDiv w:val="1"/>
      <w:marLeft w:val="0"/>
      <w:marRight w:val="0"/>
      <w:marTop w:val="0"/>
      <w:marBottom w:val="0"/>
      <w:divBdr>
        <w:top w:val="none" w:sz="0" w:space="0" w:color="auto"/>
        <w:left w:val="none" w:sz="0" w:space="0" w:color="auto"/>
        <w:bottom w:val="none" w:sz="0" w:space="0" w:color="auto"/>
        <w:right w:val="none" w:sz="0" w:space="0" w:color="auto"/>
      </w:divBdr>
      <w:divsChild>
        <w:div w:id="163252642">
          <w:marLeft w:val="0"/>
          <w:marRight w:val="0"/>
          <w:marTop w:val="0"/>
          <w:marBottom w:val="0"/>
          <w:divBdr>
            <w:top w:val="none" w:sz="0" w:space="0" w:color="auto"/>
            <w:left w:val="none" w:sz="0" w:space="0" w:color="auto"/>
            <w:bottom w:val="none" w:sz="0" w:space="0" w:color="auto"/>
            <w:right w:val="none" w:sz="0" w:space="0" w:color="auto"/>
          </w:divBdr>
          <w:divsChild>
            <w:div w:id="966424374">
              <w:marLeft w:val="0"/>
              <w:marRight w:val="0"/>
              <w:marTop w:val="0"/>
              <w:marBottom w:val="0"/>
              <w:divBdr>
                <w:top w:val="none" w:sz="0" w:space="0" w:color="auto"/>
                <w:left w:val="none" w:sz="0" w:space="0" w:color="auto"/>
                <w:bottom w:val="none" w:sz="0" w:space="0" w:color="auto"/>
                <w:right w:val="none" w:sz="0" w:space="0" w:color="auto"/>
              </w:divBdr>
              <w:divsChild>
                <w:div w:id="15054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93131">
      <w:bodyDiv w:val="1"/>
      <w:marLeft w:val="0"/>
      <w:marRight w:val="0"/>
      <w:marTop w:val="0"/>
      <w:marBottom w:val="0"/>
      <w:divBdr>
        <w:top w:val="none" w:sz="0" w:space="0" w:color="auto"/>
        <w:left w:val="none" w:sz="0" w:space="0" w:color="auto"/>
        <w:bottom w:val="none" w:sz="0" w:space="0" w:color="auto"/>
        <w:right w:val="none" w:sz="0" w:space="0" w:color="auto"/>
      </w:divBdr>
    </w:div>
    <w:div w:id="551429545">
      <w:bodyDiv w:val="1"/>
      <w:marLeft w:val="0"/>
      <w:marRight w:val="0"/>
      <w:marTop w:val="0"/>
      <w:marBottom w:val="0"/>
      <w:divBdr>
        <w:top w:val="none" w:sz="0" w:space="0" w:color="auto"/>
        <w:left w:val="none" w:sz="0" w:space="0" w:color="auto"/>
        <w:bottom w:val="none" w:sz="0" w:space="0" w:color="auto"/>
        <w:right w:val="none" w:sz="0" w:space="0" w:color="auto"/>
      </w:divBdr>
    </w:div>
    <w:div w:id="553934259">
      <w:bodyDiv w:val="1"/>
      <w:marLeft w:val="0"/>
      <w:marRight w:val="0"/>
      <w:marTop w:val="0"/>
      <w:marBottom w:val="0"/>
      <w:divBdr>
        <w:top w:val="none" w:sz="0" w:space="0" w:color="auto"/>
        <w:left w:val="none" w:sz="0" w:space="0" w:color="auto"/>
        <w:bottom w:val="none" w:sz="0" w:space="0" w:color="auto"/>
        <w:right w:val="none" w:sz="0" w:space="0" w:color="auto"/>
      </w:divBdr>
    </w:div>
    <w:div w:id="558522160">
      <w:bodyDiv w:val="1"/>
      <w:marLeft w:val="0"/>
      <w:marRight w:val="0"/>
      <w:marTop w:val="0"/>
      <w:marBottom w:val="0"/>
      <w:divBdr>
        <w:top w:val="none" w:sz="0" w:space="0" w:color="auto"/>
        <w:left w:val="none" w:sz="0" w:space="0" w:color="auto"/>
        <w:bottom w:val="none" w:sz="0" w:space="0" w:color="auto"/>
        <w:right w:val="none" w:sz="0" w:space="0" w:color="auto"/>
      </w:divBdr>
    </w:div>
    <w:div w:id="566109549">
      <w:bodyDiv w:val="1"/>
      <w:marLeft w:val="0"/>
      <w:marRight w:val="0"/>
      <w:marTop w:val="0"/>
      <w:marBottom w:val="0"/>
      <w:divBdr>
        <w:top w:val="none" w:sz="0" w:space="0" w:color="auto"/>
        <w:left w:val="none" w:sz="0" w:space="0" w:color="auto"/>
        <w:bottom w:val="none" w:sz="0" w:space="0" w:color="auto"/>
        <w:right w:val="none" w:sz="0" w:space="0" w:color="auto"/>
      </w:divBdr>
    </w:div>
    <w:div w:id="567887437">
      <w:bodyDiv w:val="1"/>
      <w:marLeft w:val="0"/>
      <w:marRight w:val="0"/>
      <w:marTop w:val="0"/>
      <w:marBottom w:val="0"/>
      <w:divBdr>
        <w:top w:val="none" w:sz="0" w:space="0" w:color="auto"/>
        <w:left w:val="none" w:sz="0" w:space="0" w:color="auto"/>
        <w:bottom w:val="none" w:sz="0" w:space="0" w:color="auto"/>
        <w:right w:val="none" w:sz="0" w:space="0" w:color="auto"/>
      </w:divBdr>
    </w:div>
    <w:div w:id="569317063">
      <w:bodyDiv w:val="1"/>
      <w:marLeft w:val="0"/>
      <w:marRight w:val="0"/>
      <w:marTop w:val="0"/>
      <w:marBottom w:val="0"/>
      <w:divBdr>
        <w:top w:val="none" w:sz="0" w:space="0" w:color="auto"/>
        <w:left w:val="none" w:sz="0" w:space="0" w:color="auto"/>
        <w:bottom w:val="none" w:sz="0" w:space="0" w:color="auto"/>
        <w:right w:val="none" w:sz="0" w:space="0" w:color="auto"/>
      </w:divBdr>
    </w:div>
    <w:div w:id="578490838">
      <w:bodyDiv w:val="1"/>
      <w:marLeft w:val="0"/>
      <w:marRight w:val="0"/>
      <w:marTop w:val="0"/>
      <w:marBottom w:val="0"/>
      <w:divBdr>
        <w:top w:val="none" w:sz="0" w:space="0" w:color="auto"/>
        <w:left w:val="none" w:sz="0" w:space="0" w:color="auto"/>
        <w:bottom w:val="none" w:sz="0" w:space="0" w:color="auto"/>
        <w:right w:val="none" w:sz="0" w:space="0" w:color="auto"/>
      </w:divBdr>
    </w:div>
    <w:div w:id="579483675">
      <w:bodyDiv w:val="1"/>
      <w:marLeft w:val="0"/>
      <w:marRight w:val="0"/>
      <w:marTop w:val="0"/>
      <w:marBottom w:val="0"/>
      <w:divBdr>
        <w:top w:val="none" w:sz="0" w:space="0" w:color="auto"/>
        <w:left w:val="none" w:sz="0" w:space="0" w:color="auto"/>
        <w:bottom w:val="none" w:sz="0" w:space="0" w:color="auto"/>
        <w:right w:val="none" w:sz="0" w:space="0" w:color="auto"/>
      </w:divBdr>
    </w:div>
    <w:div w:id="580255822">
      <w:bodyDiv w:val="1"/>
      <w:marLeft w:val="0"/>
      <w:marRight w:val="0"/>
      <w:marTop w:val="0"/>
      <w:marBottom w:val="0"/>
      <w:divBdr>
        <w:top w:val="none" w:sz="0" w:space="0" w:color="auto"/>
        <w:left w:val="none" w:sz="0" w:space="0" w:color="auto"/>
        <w:bottom w:val="none" w:sz="0" w:space="0" w:color="auto"/>
        <w:right w:val="none" w:sz="0" w:space="0" w:color="auto"/>
      </w:divBdr>
    </w:div>
    <w:div w:id="580485110">
      <w:bodyDiv w:val="1"/>
      <w:marLeft w:val="0"/>
      <w:marRight w:val="0"/>
      <w:marTop w:val="0"/>
      <w:marBottom w:val="0"/>
      <w:divBdr>
        <w:top w:val="none" w:sz="0" w:space="0" w:color="auto"/>
        <w:left w:val="none" w:sz="0" w:space="0" w:color="auto"/>
        <w:bottom w:val="none" w:sz="0" w:space="0" w:color="auto"/>
        <w:right w:val="none" w:sz="0" w:space="0" w:color="auto"/>
      </w:divBdr>
    </w:div>
    <w:div w:id="581840941">
      <w:bodyDiv w:val="1"/>
      <w:marLeft w:val="0"/>
      <w:marRight w:val="0"/>
      <w:marTop w:val="0"/>
      <w:marBottom w:val="0"/>
      <w:divBdr>
        <w:top w:val="none" w:sz="0" w:space="0" w:color="auto"/>
        <w:left w:val="none" w:sz="0" w:space="0" w:color="auto"/>
        <w:bottom w:val="none" w:sz="0" w:space="0" w:color="auto"/>
        <w:right w:val="none" w:sz="0" w:space="0" w:color="auto"/>
      </w:divBdr>
    </w:div>
    <w:div w:id="581987274">
      <w:bodyDiv w:val="1"/>
      <w:marLeft w:val="0"/>
      <w:marRight w:val="0"/>
      <w:marTop w:val="0"/>
      <w:marBottom w:val="0"/>
      <w:divBdr>
        <w:top w:val="none" w:sz="0" w:space="0" w:color="auto"/>
        <w:left w:val="none" w:sz="0" w:space="0" w:color="auto"/>
        <w:bottom w:val="none" w:sz="0" w:space="0" w:color="auto"/>
        <w:right w:val="none" w:sz="0" w:space="0" w:color="auto"/>
      </w:divBdr>
    </w:div>
    <w:div w:id="587693541">
      <w:bodyDiv w:val="1"/>
      <w:marLeft w:val="0"/>
      <w:marRight w:val="0"/>
      <w:marTop w:val="0"/>
      <w:marBottom w:val="0"/>
      <w:divBdr>
        <w:top w:val="none" w:sz="0" w:space="0" w:color="auto"/>
        <w:left w:val="none" w:sz="0" w:space="0" w:color="auto"/>
        <w:bottom w:val="none" w:sz="0" w:space="0" w:color="auto"/>
        <w:right w:val="none" w:sz="0" w:space="0" w:color="auto"/>
      </w:divBdr>
    </w:div>
    <w:div w:id="588927765">
      <w:bodyDiv w:val="1"/>
      <w:marLeft w:val="0"/>
      <w:marRight w:val="0"/>
      <w:marTop w:val="0"/>
      <w:marBottom w:val="0"/>
      <w:divBdr>
        <w:top w:val="none" w:sz="0" w:space="0" w:color="auto"/>
        <w:left w:val="none" w:sz="0" w:space="0" w:color="auto"/>
        <w:bottom w:val="none" w:sz="0" w:space="0" w:color="auto"/>
        <w:right w:val="none" w:sz="0" w:space="0" w:color="auto"/>
      </w:divBdr>
    </w:div>
    <w:div w:id="592708390">
      <w:bodyDiv w:val="1"/>
      <w:marLeft w:val="0"/>
      <w:marRight w:val="0"/>
      <w:marTop w:val="0"/>
      <w:marBottom w:val="0"/>
      <w:divBdr>
        <w:top w:val="none" w:sz="0" w:space="0" w:color="auto"/>
        <w:left w:val="none" w:sz="0" w:space="0" w:color="auto"/>
        <w:bottom w:val="none" w:sz="0" w:space="0" w:color="auto"/>
        <w:right w:val="none" w:sz="0" w:space="0" w:color="auto"/>
      </w:divBdr>
    </w:div>
    <w:div w:id="592934993">
      <w:bodyDiv w:val="1"/>
      <w:marLeft w:val="0"/>
      <w:marRight w:val="0"/>
      <w:marTop w:val="0"/>
      <w:marBottom w:val="0"/>
      <w:divBdr>
        <w:top w:val="none" w:sz="0" w:space="0" w:color="auto"/>
        <w:left w:val="none" w:sz="0" w:space="0" w:color="auto"/>
        <w:bottom w:val="none" w:sz="0" w:space="0" w:color="auto"/>
        <w:right w:val="none" w:sz="0" w:space="0" w:color="auto"/>
      </w:divBdr>
    </w:div>
    <w:div w:id="593592037">
      <w:bodyDiv w:val="1"/>
      <w:marLeft w:val="0"/>
      <w:marRight w:val="0"/>
      <w:marTop w:val="0"/>
      <w:marBottom w:val="0"/>
      <w:divBdr>
        <w:top w:val="none" w:sz="0" w:space="0" w:color="auto"/>
        <w:left w:val="none" w:sz="0" w:space="0" w:color="auto"/>
        <w:bottom w:val="none" w:sz="0" w:space="0" w:color="auto"/>
        <w:right w:val="none" w:sz="0" w:space="0" w:color="auto"/>
      </w:divBdr>
    </w:div>
    <w:div w:id="595946591">
      <w:bodyDiv w:val="1"/>
      <w:marLeft w:val="0"/>
      <w:marRight w:val="0"/>
      <w:marTop w:val="0"/>
      <w:marBottom w:val="0"/>
      <w:divBdr>
        <w:top w:val="none" w:sz="0" w:space="0" w:color="auto"/>
        <w:left w:val="none" w:sz="0" w:space="0" w:color="auto"/>
        <w:bottom w:val="none" w:sz="0" w:space="0" w:color="auto"/>
        <w:right w:val="none" w:sz="0" w:space="0" w:color="auto"/>
      </w:divBdr>
    </w:div>
    <w:div w:id="597907018">
      <w:bodyDiv w:val="1"/>
      <w:marLeft w:val="0"/>
      <w:marRight w:val="0"/>
      <w:marTop w:val="0"/>
      <w:marBottom w:val="0"/>
      <w:divBdr>
        <w:top w:val="none" w:sz="0" w:space="0" w:color="auto"/>
        <w:left w:val="none" w:sz="0" w:space="0" w:color="auto"/>
        <w:bottom w:val="none" w:sz="0" w:space="0" w:color="auto"/>
        <w:right w:val="none" w:sz="0" w:space="0" w:color="auto"/>
      </w:divBdr>
    </w:div>
    <w:div w:id="598219474">
      <w:bodyDiv w:val="1"/>
      <w:marLeft w:val="0"/>
      <w:marRight w:val="0"/>
      <w:marTop w:val="0"/>
      <w:marBottom w:val="0"/>
      <w:divBdr>
        <w:top w:val="none" w:sz="0" w:space="0" w:color="auto"/>
        <w:left w:val="none" w:sz="0" w:space="0" w:color="auto"/>
        <w:bottom w:val="none" w:sz="0" w:space="0" w:color="auto"/>
        <w:right w:val="none" w:sz="0" w:space="0" w:color="auto"/>
      </w:divBdr>
    </w:div>
    <w:div w:id="599601503">
      <w:bodyDiv w:val="1"/>
      <w:marLeft w:val="0"/>
      <w:marRight w:val="0"/>
      <w:marTop w:val="0"/>
      <w:marBottom w:val="0"/>
      <w:divBdr>
        <w:top w:val="none" w:sz="0" w:space="0" w:color="auto"/>
        <w:left w:val="none" w:sz="0" w:space="0" w:color="auto"/>
        <w:bottom w:val="none" w:sz="0" w:space="0" w:color="auto"/>
        <w:right w:val="none" w:sz="0" w:space="0" w:color="auto"/>
      </w:divBdr>
    </w:div>
    <w:div w:id="603148410">
      <w:bodyDiv w:val="1"/>
      <w:marLeft w:val="0"/>
      <w:marRight w:val="0"/>
      <w:marTop w:val="0"/>
      <w:marBottom w:val="0"/>
      <w:divBdr>
        <w:top w:val="none" w:sz="0" w:space="0" w:color="auto"/>
        <w:left w:val="none" w:sz="0" w:space="0" w:color="auto"/>
        <w:bottom w:val="none" w:sz="0" w:space="0" w:color="auto"/>
        <w:right w:val="none" w:sz="0" w:space="0" w:color="auto"/>
      </w:divBdr>
    </w:div>
    <w:div w:id="604270018">
      <w:bodyDiv w:val="1"/>
      <w:marLeft w:val="0"/>
      <w:marRight w:val="0"/>
      <w:marTop w:val="0"/>
      <w:marBottom w:val="0"/>
      <w:divBdr>
        <w:top w:val="none" w:sz="0" w:space="0" w:color="auto"/>
        <w:left w:val="none" w:sz="0" w:space="0" w:color="auto"/>
        <w:bottom w:val="none" w:sz="0" w:space="0" w:color="auto"/>
        <w:right w:val="none" w:sz="0" w:space="0" w:color="auto"/>
      </w:divBdr>
    </w:div>
    <w:div w:id="604508547">
      <w:bodyDiv w:val="1"/>
      <w:marLeft w:val="0"/>
      <w:marRight w:val="0"/>
      <w:marTop w:val="0"/>
      <w:marBottom w:val="0"/>
      <w:divBdr>
        <w:top w:val="none" w:sz="0" w:space="0" w:color="auto"/>
        <w:left w:val="none" w:sz="0" w:space="0" w:color="auto"/>
        <w:bottom w:val="none" w:sz="0" w:space="0" w:color="auto"/>
        <w:right w:val="none" w:sz="0" w:space="0" w:color="auto"/>
      </w:divBdr>
    </w:div>
    <w:div w:id="606737721">
      <w:bodyDiv w:val="1"/>
      <w:marLeft w:val="0"/>
      <w:marRight w:val="0"/>
      <w:marTop w:val="0"/>
      <w:marBottom w:val="0"/>
      <w:divBdr>
        <w:top w:val="none" w:sz="0" w:space="0" w:color="auto"/>
        <w:left w:val="none" w:sz="0" w:space="0" w:color="auto"/>
        <w:bottom w:val="none" w:sz="0" w:space="0" w:color="auto"/>
        <w:right w:val="none" w:sz="0" w:space="0" w:color="auto"/>
      </w:divBdr>
    </w:div>
    <w:div w:id="608005334">
      <w:bodyDiv w:val="1"/>
      <w:marLeft w:val="0"/>
      <w:marRight w:val="0"/>
      <w:marTop w:val="0"/>
      <w:marBottom w:val="0"/>
      <w:divBdr>
        <w:top w:val="none" w:sz="0" w:space="0" w:color="auto"/>
        <w:left w:val="none" w:sz="0" w:space="0" w:color="auto"/>
        <w:bottom w:val="none" w:sz="0" w:space="0" w:color="auto"/>
        <w:right w:val="none" w:sz="0" w:space="0" w:color="auto"/>
      </w:divBdr>
    </w:div>
    <w:div w:id="609092137">
      <w:bodyDiv w:val="1"/>
      <w:marLeft w:val="0"/>
      <w:marRight w:val="0"/>
      <w:marTop w:val="0"/>
      <w:marBottom w:val="0"/>
      <w:divBdr>
        <w:top w:val="none" w:sz="0" w:space="0" w:color="auto"/>
        <w:left w:val="none" w:sz="0" w:space="0" w:color="auto"/>
        <w:bottom w:val="none" w:sz="0" w:space="0" w:color="auto"/>
        <w:right w:val="none" w:sz="0" w:space="0" w:color="auto"/>
      </w:divBdr>
    </w:div>
    <w:div w:id="612832163">
      <w:bodyDiv w:val="1"/>
      <w:marLeft w:val="0"/>
      <w:marRight w:val="0"/>
      <w:marTop w:val="0"/>
      <w:marBottom w:val="0"/>
      <w:divBdr>
        <w:top w:val="none" w:sz="0" w:space="0" w:color="auto"/>
        <w:left w:val="none" w:sz="0" w:space="0" w:color="auto"/>
        <w:bottom w:val="none" w:sz="0" w:space="0" w:color="auto"/>
        <w:right w:val="none" w:sz="0" w:space="0" w:color="auto"/>
      </w:divBdr>
      <w:divsChild>
        <w:div w:id="1241406691">
          <w:marLeft w:val="0"/>
          <w:marRight w:val="0"/>
          <w:marTop w:val="0"/>
          <w:marBottom w:val="0"/>
          <w:divBdr>
            <w:top w:val="none" w:sz="0" w:space="0" w:color="auto"/>
            <w:left w:val="none" w:sz="0" w:space="0" w:color="auto"/>
            <w:bottom w:val="none" w:sz="0" w:space="0" w:color="auto"/>
            <w:right w:val="none" w:sz="0" w:space="0" w:color="auto"/>
          </w:divBdr>
          <w:divsChild>
            <w:div w:id="616136181">
              <w:marLeft w:val="0"/>
              <w:marRight w:val="0"/>
              <w:marTop w:val="0"/>
              <w:marBottom w:val="0"/>
              <w:divBdr>
                <w:top w:val="none" w:sz="0" w:space="0" w:color="auto"/>
                <w:left w:val="none" w:sz="0" w:space="0" w:color="auto"/>
                <w:bottom w:val="none" w:sz="0" w:space="0" w:color="auto"/>
                <w:right w:val="none" w:sz="0" w:space="0" w:color="auto"/>
              </w:divBdr>
              <w:divsChild>
                <w:div w:id="14562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9737">
      <w:bodyDiv w:val="1"/>
      <w:marLeft w:val="0"/>
      <w:marRight w:val="0"/>
      <w:marTop w:val="0"/>
      <w:marBottom w:val="0"/>
      <w:divBdr>
        <w:top w:val="none" w:sz="0" w:space="0" w:color="auto"/>
        <w:left w:val="none" w:sz="0" w:space="0" w:color="auto"/>
        <w:bottom w:val="none" w:sz="0" w:space="0" w:color="auto"/>
        <w:right w:val="none" w:sz="0" w:space="0" w:color="auto"/>
      </w:divBdr>
    </w:div>
    <w:div w:id="616329450">
      <w:bodyDiv w:val="1"/>
      <w:marLeft w:val="0"/>
      <w:marRight w:val="0"/>
      <w:marTop w:val="0"/>
      <w:marBottom w:val="0"/>
      <w:divBdr>
        <w:top w:val="none" w:sz="0" w:space="0" w:color="auto"/>
        <w:left w:val="none" w:sz="0" w:space="0" w:color="auto"/>
        <w:bottom w:val="none" w:sz="0" w:space="0" w:color="auto"/>
        <w:right w:val="none" w:sz="0" w:space="0" w:color="auto"/>
      </w:divBdr>
    </w:div>
    <w:div w:id="621154314">
      <w:bodyDiv w:val="1"/>
      <w:marLeft w:val="0"/>
      <w:marRight w:val="0"/>
      <w:marTop w:val="0"/>
      <w:marBottom w:val="0"/>
      <w:divBdr>
        <w:top w:val="none" w:sz="0" w:space="0" w:color="auto"/>
        <w:left w:val="none" w:sz="0" w:space="0" w:color="auto"/>
        <w:bottom w:val="none" w:sz="0" w:space="0" w:color="auto"/>
        <w:right w:val="none" w:sz="0" w:space="0" w:color="auto"/>
      </w:divBdr>
    </w:div>
    <w:div w:id="626931707">
      <w:bodyDiv w:val="1"/>
      <w:marLeft w:val="0"/>
      <w:marRight w:val="0"/>
      <w:marTop w:val="0"/>
      <w:marBottom w:val="0"/>
      <w:divBdr>
        <w:top w:val="none" w:sz="0" w:space="0" w:color="auto"/>
        <w:left w:val="none" w:sz="0" w:space="0" w:color="auto"/>
        <w:bottom w:val="none" w:sz="0" w:space="0" w:color="auto"/>
        <w:right w:val="none" w:sz="0" w:space="0" w:color="auto"/>
      </w:divBdr>
    </w:div>
    <w:div w:id="628559374">
      <w:bodyDiv w:val="1"/>
      <w:marLeft w:val="0"/>
      <w:marRight w:val="0"/>
      <w:marTop w:val="0"/>
      <w:marBottom w:val="0"/>
      <w:divBdr>
        <w:top w:val="none" w:sz="0" w:space="0" w:color="auto"/>
        <w:left w:val="none" w:sz="0" w:space="0" w:color="auto"/>
        <w:bottom w:val="none" w:sz="0" w:space="0" w:color="auto"/>
        <w:right w:val="none" w:sz="0" w:space="0" w:color="auto"/>
      </w:divBdr>
    </w:div>
    <w:div w:id="629284994">
      <w:bodyDiv w:val="1"/>
      <w:marLeft w:val="0"/>
      <w:marRight w:val="0"/>
      <w:marTop w:val="0"/>
      <w:marBottom w:val="0"/>
      <w:divBdr>
        <w:top w:val="none" w:sz="0" w:space="0" w:color="auto"/>
        <w:left w:val="none" w:sz="0" w:space="0" w:color="auto"/>
        <w:bottom w:val="none" w:sz="0" w:space="0" w:color="auto"/>
        <w:right w:val="none" w:sz="0" w:space="0" w:color="auto"/>
      </w:divBdr>
    </w:div>
    <w:div w:id="631979134">
      <w:bodyDiv w:val="1"/>
      <w:marLeft w:val="0"/>
      <w:marRight w:val="0"/>
      <w:marTop w:val="0"/>
      <w:marBottom w:val="0"/>
      <w:divBdr>
        <w:top w:val="none" w:sz="0" w:space="0" w:color="auto"/>
        <w:left w:val="none" w:sz="0" w:space="0" w:color="auto"/>
        <w:bottom w:val="none" w:sz="0" w:space="0" w:color="auto"/>
        <w:right w:val="none" w:sz="0" w:space="0" w:color="auto"/>
      </w:divBdr>
    </w:div>
    <w:div w:id="635069807">
      <w:bodyDiv w:val="1"/>
      <w:marLeft w:val="0"/>
      <w:marRight w:val="0"/>
      <w:marTop w:val="0"/>
      <w:marBottom w:val="0"/>
      <w:divBdr>
        <w:top w:val="none" w:sz="0" w:space="0" w:color="auto"/>
        <w:left w:val="none" w:sz="0" w:space="0" w:color="auto"/>
        <w:bottom w:val="none" w:sz="0" w:space="0" w:color="auto"/>
        <w:right w:val="none" w:sz="0" w:space="0" w:color="auto"/>
      </w:divBdr>
    </w:div>
    <w:div w:id="636423048">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755245925">
              <w:marLeft w:val="0"/>
              <w:marRight w:val="0"/>
              <w:marTop w:val="0"/>
              <w:marBottom w:val="0"/>
              <w:divBdr>
                <w:top w:val="none" w:sz="0" w:space="0" w:color="auto"/>
                <w:left w:val="none" w:sz="0" w:space="0" w:color="auto"/>
                <w:bottom w:val="none" w:sz="0" w:space="0" w:color="auto"/>
                <w:right w:val="none" w:sz="0" w:space="0" w:color="auto"/>
              </w:divBdr>
              <w:divsChild>
                <w:div w:id="2137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4174">
      <w:bodyDiv w:val="1"/>
      <w:marLeft w:val="0"/>
      <w:marRight w:val="0"/>
      <w:marTop w:val="0"/>
      <w:marBottom w:val="0"/>
      <w:divBdr>
        <w:top w:val="none" w:sz="0" w:space="0" w:color="auto"/>
        <w:left w:val="none" w:sz="0" w:space="0" w:color="auto"/>
        <w:bottom w:val="none" w:sz="0" w:space="0" w:color="auto"/>
        <w:right w:val="none" w:sz="0" w:space="0" w:color="auto"/>
      </w:divBdr>
    </w:div>
    <w:div w:id="647125394">
      <w:bodyDiv w:val="1"/>
      <w:marLeft w:val="0"/>
      <w:marRight w:val="0"/>
      <w:marTop w:val="0"/>
      <w:marBottom w:val="0"/>
      <w:divBdr>
        <w:top w:val="none" w:sz="0" w:space="0" w:color="auto"/>
        <w:left w:val="none" w:sz="0" w:space="0" w:color="auto"/>
        <w:bottom w:val="none" w:sz="0" w:space="0" w:color="auto"/>
        <w:right w:val="none" w:sz="0" w:space="0" w:color="auto"/>
      </w:divBdr>
    </w:div>
    <w:div w:id="651370092">
      <w:bodyDiv w:val="1"/>
      <w:marLeft w:val="0"/>
      <w:marRight w:val="0"/>
      <w:marTop w:val="0"/>
      <w:marBottom w:val="0"/>
      <w:divBdr>
        <w:top w:val="none" w:sz="0" w:space="0" w:color="auto"/>
        <w:left w:val="none" w:sz="0" w:space="0" w:color="auto"/>
        <w:bottom w:val="none" w:sz="0" w:space="0" w:color="auto"/>
        <w:right w:val="none" w:sz="0" w:space="0" w:color="auto"/>
      </w:divBdr>
    </w:div>
    <w:div w:id="651643617">
      <w:bodyDiv w:val="1"/>
      <w:marLeft w:val="0"/>
      <w:marRight w:val="0"/>
      <w:marTop w:val="0"/>
      <w:marBottom w:val="0"/>
      <w:divBdr>
        <w:top w:val="none" w:sz="0" w:space="0" w:color="auto"/>
        <w:left w:val="none" w:sz="0" w:space="0" w:color="auto"/>
        <w:bottom w:val="none" w:sz="0" w:space="0" w:color="auto"/>
        <w:right w:val="none" w:sz="0" w:space="0" w:color="auto"/>
      </w:divBdr>
    </w:div>
    <w:div w:id="653097737">
      <w:bodyDiv w:val="1"/>
      <w:marLeft w:val="0"/>
      <w:marRight w:val="0"/>
      <w:marTop w:val="0"/>
      <w:marBottom w:val="0"/>
      <w:divBdr>
        <w:top w:val="none" w:sz="0" w:space="0" w:color="auto"/>
        <w:left w:val="none" w:sz="0" w:space="0" w:color="auto"/>
        <w:bottom w:val="none" w:sz="0" w:space="0" w:color="auto"/>
        <w:right w:val="none" w:sz="0" w:space="0" w:color="auto"/>
      </w:divBdr>
    </w:div>
    <w:div w:id="653870717">
      <w:bodyDiv w:val="1"/>
      <w:marLeft w:val="0"/>
      <w:marRight w:val="0"/>
      <w:marTop w:val="0"/>
      <w:marBottom w:val="0"/>
      <w:divBdr>
        <w:top w:val="none" w:sz="0" w:space="0" w:color="auto"/>
        <w:left w:val="none" w:sz="0" w:space="0" w:color="auto"/>
        <w:bottom w:val="none" w:sz="0" w:space="0" w:color="auto"/>
        <w:right w:val="none" w:sz="0" w:space="0" w:color="auto"/>
      </w:divBdr>
    </w:div>
    <w:div w:id="653950603">
      <w:bodyDiv w:val="1"/>
      <w:marLeft w:val="0"/>
      <w:marRight w:val="0"/>
      <w:marTop w:val="0"/>
      <w:marBottom w:val="0"/>
      <w:divBdr>
        <w:top w:val="none" w:sz="0" w:space="0" w:color="auto"/>
        <w:left w:val="none" w:sz="0" w:space="0" w:color="auto"/>
        <w:bottom w:val="none" w:sz="0" w:space="0" w:color="auto"/>
        <w:right w:val="none" w:sz="0" w:space="0" w:color="auto"/>
      </w:divBdr>
    </w:div>
    <w:div w:id="654184178">
      <w:bodyDiv w:val="1"/>
      <w:marLeft w:val="0"/>
      <w:marRight w:val="0"/>
      <w:marTop w:val="0"/>
      <w:marBottom w:val="0"/>
      <w:divBdr>
        <w:top w:val="none" w:sz="0" w:space="0" w:color="auto"/>
        <w:left w:val="none" w:sz="0" w:space="0" w:color="auto"/>
        <w:bottom w:val="none" w:sz="0" w:space="0" w:color="auto"/>
        <w:right w:val="none" w:sz="0" w:space="0" w:color="auto"/>
      </w:divBdr>
    </w:div>
    <w:div w:id="657920219">
      <w:bodyDiv w:val="1"/>
      <w:marLeft w:val="0"/>
      <w:marRight w:val="0"/>
      <w:marTop w:val="0"/>
      <w:marBottom w:val="0"/>
      <w:divBdr>
        <w:top w:val="none" w:sz="0" w:space="0" w:color="auto"/>
        <w:left w:val="none" w:sz="0" w:space="0" w:color="auto"/>
        <w:bottom w:val="none" w:sz="0" w:space="0" w:color="auto"/>
        <w:right w:val="none" w:sz="0" w:space="0" w:color="auto"/>
      </w:divBdr>
    </w:div>
    <w:div w:id="670647368">
      <w:bodyDiv w:val="1"/>
      <w:marLeft w:val="0"/>
      <w:marRight w:val="0"/>
      <w:marTop w:val="0"/>
      <w:marBottom w:val="0"/>
      <w:divBdr>
        <w:top w:val="none" w:sz="0" w:space="0" w:color="auto"/>
        <w:left w:val="none" w:sz="0" w:space="0" w:color="auto"/>
        <w:bottom w:val="none" w:sz="0" w:space="0" w:color="auto"/>
        <w:right w:val="none" w:sz="0" w:space="0" w:color="auto"/>
      </w:divBdr>
    </w:div>
    <w:div w:id="670984379">
      <w:bodyDiv w:val="1"/>
      <w:marLeft w:val="0"/>
      <w:marRight w:val="0"/>
      <w:marTop w:val="0"/>
      <w:marBottom w:val="0"/>
      <w:divBdr>
        <w:top w:val="none" w:sz="0" w:space="0" w:color="auto"/>
        <w:left w:val="none" w:sz="0" w:space="0" w:color="auto"/>
        <w:bottom w:val="none" w:sz="0" w:space="0" w:color="auto"/>
        <w:right w:val="none" w:sz="0" w:space="0" w:color="auto"/>
      </w:divBdr>
    </w:div>
    <w:div w:id="671763048">
      <w:bodyDiv w:val="1"/>
      <w:marLeft w:val="0"/>
      <w:marRight w:val="0"/>
      <w:marTop w:val="0"/>
      <w:marBottom w:val="0"/>
      <w:divBdr>
        <w:top w:val="none" w:sz="0" w:space="0" w:color="auto"/>
        <w:left w:val="none" w:sz="0" w:space="0" w:color="auto"/>
        <w:bottom w:val="none" w:sz="0" w:space="0" w:color="auto"/>
        <w:right w:val="none" w:sz="0" w:space="0" w:color="auto"/>
      </w:divBdr>
    </w:div>
    <w:div w:id="679088932">
      <w:bodyDiv w:val="1"/>
      <w:marLeft w:val="0"/>
      <w:marRight w:val="0"/>
      <w:marTop w:val="0"/>
      <w:marBottom w:val="0"/>
      <w:divBdr>
        <w:top w:val="none" w:sz="0" w:space="0" w:color="auto"/>
        <w:left w:val="none" w:sz="0" w:space="0" w:color="auto"/>
        <w:bottom w:val="none" w:sz="0" w:space="0" w:color="auto"/>
        <w:right w:val="none" w:sz="0" w:space="0" w:color="auto"/>
      </w:divBdr>
    </w:div>
    <w:div w:id="680399670">
      <w:bodyDiv w:val="1"/>
      <w:marLeft w:val="0"/>
      <w:marRight w:val="0"/>
      <w:marTop w:val="0"/>
      <w:marBottom w:val="0"/>
      <w:divBdr>
        <w:top w:val="none" w:sz="0" w:space="0" w:color="auto"/>
        <w:left w:val="none" w:sz="0" w:space="0" w:color="auto"/>
        <w:bottom w:val="none" w:sz="0" w:space="0" w:color="auto"/>
        <w:right w:val="none" w:sz="0" w:space="0" w:color="auto"/>
      </w:divBdr>
    </w:div>
    <w:div w:id="682320875">
      <w:bodyDiv w:val="1"/>
      <w:marLeft w:val="0"/>
      <w:marRight w:val="0"/>
      <w:marTop w:val="0"/>
      <w:marBottom w:val="0"/>
      <w:divBdr>
        <w:top w:val="none" w:sz="0" w:space="0" w:color="auto"/>
        <w:left w:val="none" w:sz="0" w:space="0" w:color="auto"/>
        <w:bottom w:val="none" w:sz="0" w:space="0" w:color="auto"/>
        <w:right w:val="none" w:sz="0" w:space="0" w:color="auto"/>
      </w:divBdr>
    </w:div>
    <w:div w:id="682391934">
      <w:bodyDiv w:val="1"/>
      <w:marLeft w:val="0"/>
      <w:marRight w:val="0"/>
      <w:marTop w:val="0"/>
      <w:marBottom w:val="0"/>
      <w:divBdr>
        <w:top w:val="none" w:sz="0" w:space="0" w:color="auto"/>
        <w:left w:val="none" w:sz="0" w:space="0" w:color="auto"/>
        <w:bottom w:val="none" w:sz="0" w:space="0" w:color="auto"/>
        <w:right w:val="none" w:sz="0" w:space="0" w:color="auto"/>
      </w:divBdr>
    </w:div>
    <w:div w:id="685642290">
      <w:bodyDiv w:val="1"/>
      <w:marLeft w:val="0"/>
      <w:marRight w:val="0"/>
      <w:marTop w:val="0"/>
      <w:marBottom w:val="0"/>
      <w:divBdr>
        <w:top w:val="none" w:sz="0" w:space="0" w:color="auto"/>
        <w:left w:val="none" w:sz="0" w:space="0" w:color="auto"/>
        <w:bottom w:val="none" w:sz="0" w:space="0" w:color="auto"/>
        <w:right w:val="none" w:sz="0" w:space="0" w:color="auto"/>
      </w:divBdr>
    </w:div>
    <w:div w:id="687635857">
      <w:bodyDiv w:val="1"/>
      <w:marLeft w:val="0"/>
      <w:marRight w:val="0"/>
      <w:marTop w:val="0"/>
      <w:marBottom w:val="0"/>
      <w:divBdr>
        <w:top w:val="none" w:sz="0" w:space="0" w:color="auto"/>
        <w:left w:val="none" w:sz="0" w:space="0" w:color="auto"/>
        <w:bottom w:val="none" w:sz="0" w:space="0" w:color="auto"/>
        <w:right w:val="none" w:sz="0" w:space="0" w:color="auto"/>
      </w:divBdr>
    </w:div>
    <w:div w:id="690566721">
      <w:bodyDiv w:val="1"/>
      <w:marLeft w:val="0"/>
      <w:marRight w:val="0"/>
      <w:marTop w:val="0"/>
      <w:marBottom w:val="0"/>
      <w:divBdr>
        <w:top w:val="none" w:sz="0" w:space="0" w:color="auto"/>
        <w:left w:val="none" w:sz="0" w:space="0" w:color="auto"/>
        <w:bottom w:val="none" w:sz="0" w:space="0" w:color="auto"/>
        <w:right w:val="none" w:sz="0" w:space="0" w:color="auto"/>
      </w:divBdr>
    </w:div>
    <w:div w:id="691810394">
      <w:bodyDiv w:val="1"/>
      <w:marLeft w:val="0"/>
      <w:marRight w:val="0"/>
      <w:marTop w:val="0"/>
      <w:marBottom w:val="0"/>
      <w:divBdr>
        <w:top w:val="none" w:sz="0" w:space="0" w:color="auto"/>
        <w:left w:val="none" w:sz="0" w:space="0" w:color="auto"/>
        <w:bottom w:val="none" w:sz="0" w:space="0" w:color="auto"/>
        <w:right w:val="none" w:sz="0" w:space="0" w:color="auto"/>
      </w:divBdr>
    </w:div>
    <w:div w:id="693071869">
      <w:bodyDiv w:val="1"/>
      <w:marLeft w:val="0"/>
      <w:marRight w:val="0"/>
      <w:marTop w:val="0"/>
      <w:marBottom w:val="0"/>
      <w:divBdr>
        <w:top w:val="none" w:sz="0" w:space="0" w:color="auto"/>
        <w:left w:val="none" w:sz="0" w:space="0" w:color="auto"/>
        <w:bottom w:val="none" w:sz="0" w:space="0" w:color="auto"/>
        <w:right w:val="none" w:sz="0" w:space="0" w:color="auto"/>
      </w:divBdr>
    </w:div>
    <w:div w:id="693308023">
      <w:bodyDiv w:val="1"/>
      <w:marLeft w:val="0"/>
      <w:marRight w:val="0"/>
      <w:marTop w:val="0"/>
      <w:marBottom w:val="0"/>
      <w:divBdr>
        <w:top w:val="none" w:sz="0" w:space="0" w:color="auto"/>
        <w:left w:val="none" w:sz="0" w:space="0" w:color="auto"/>
        <w:bottom w:val="none" w:sz="0" w:space="0" w:color="auto"/>
        <w:right w:val="none" w:sz="0" w:space="0" w:color="auto"/>
      </w:divBdr>
    </w:div>
    <w:div w:id="693575123">
      <w:bodyDiv w:val="1"/>
      <w:marLeft w:val="0"/>
      <w:marRight w:val="0"/>
      <w:marTop w:val="0"/>
      <w:marBottom w:val="0"/>
      <w:divBdr>
        <w:top w:val="none" w:sz="0" w:space="0" w:color="auto"/>
        <w:left w:val="none" w:sz="0" w:space="0" w:color="auto"/>
        <w:bottom w:val="none" w:sz="0" w:space="0" w:color="auto"/>
        <w:right w:val="none" w:sz="0" w:space="0" w:color="auto"/>
      </w:divBdr>
    </w:div>
    <w:div w:id="698697398">
      <w:bodyDiv w:val="1"/>
      <w:marLeft w:val="0"/>
      <w:marRight w:val="0"/>
      <w:marTop w:val="0"/>
      <w:marBottom w:val="0"/>
      <w:divBdr>
        <w:top w:val="none" w:sz="0" w:space="0" w:color="auto"/>
        <w:left w:val="none" w:sz="0" w:space="0" w:color="auto"/>
        <w:bottom w:val="none" w:sz="0" w:space="0" w:color="auto"/>
        <w:right w:val="none" w:sz="0" w:space="0" w:color="auto"/>
      </w:divBdr>
    </w:div>
    <w:div w:id="699357642">
      <w:bodyDiv w:val="1"/>
      <w:marLeft w:val="0"/>
      <w:marRight w:val="0"/>
      <w:marTop w:val="0"/>
      <w:marBottom w:val="0"/>
      <w:divBdr>
        <w:top w:val="none" w:sz="0" w:space="0" w:color="auto"/>
        <w:left w:val="none" w:sz="0" w:space="0" w:color="auto"/>
        <w:bottom w:val="none" w:sz="0" w:space="0" w:color="auto"/>
        <w:right w:val="none" w:sz="0" w:space="0" w:color="auto"/>
      </w:divBdr>
    </w:div>
    <w:div w:id="702485436">
      <w:bodyDiv w:val="1"/>
      <w:marLeft w:val="0"/>
      <w:marRight w:val="0"/>
      <w:marTop w:val="0"/>
      <w:marBottom w:val="0"/>
      <w:divBdr>
        <w:top w:val="none" w:sz="0" w:space="0" w:color="auto"/>
        <w:left w:val="none" w:sz="0" w:space="0" w:color="auto"/>
        <w:bottom w:val="none" w:sz="0" w:space="0" w:color="auto"/>
        <w:right w:val="none" w:sz="0" w:space="0" w:color="auto"/>
      </w:divBdr>
    </w:div>
    <w:div w:id="703483752">
      <w:bodyDiv w:val="1"/>
      <w:marLeft w:val="0"/>
      <w:marRight w:val="0"/>
      <w:marTop w:val="0"/>
      <w:marBottom w:val="0"/>
      <w:divBdr>
        <w:top w:val="none" w:sz="0" w:space="0" w:color="auto"/>
        <w:left w:val="none" w:sz="0" w:space="0" w:color="auto"/>
        <w:bottom w:val="none" w:sz="0" w:space="0" w:color="auto"/>
        <w:right w:val="none" w:sz="0" w:space="0" w:color="auto"/>
      </w:divBdr>
    </w:div>
    <w:div w:id="711881367">
      <w:bodyDiv w:val="1"/>
      <w:marLeft w:val="0"/>
      <w:marRight w:val="0"/>
      <w:marTop w:val="0"/>
      <w:marBottom w:val="0"/>
      <w:divBdr>
        <w:top w:val="none" w:sz="0" w:space="0" w:color="auto"/>
        <w:left w:val="none" w:sz="0" w:space="0" w:color="auto"/>
        <w:bottom w:val="none" w:sz="0" w:space="0" w:color="auto"/>
        <w:right w:val="none" w:sz="0" w:space="0" w:color="auto"/>
      </w:divBdr>
    </w:div>
    <w:div w:id="719596669">
      <w:bodyDiv w:val="1"/>
      <w:marLeft w:val="0"/>
      <w:marRight w:val="0"/>
      <w:marTop w:val="0"/>
      <w:marBottom w:val="0"/>
      <w:divBdr>
        <w:top w:val="none" w:sz="0" w:space="0" w:color="auto"/>
        <w:left w:val="none" w:sz="0" w:space="0" w:color="auto"/>
        <w:bottom w:val="none" w:sz="0" w:space="0" w:color="auto"/>
        <w:right w:val="none" w:sz="0" w:space="0" w:color="auto"/>
      </w:divBdr>
    </w:div>
    <w:div w:id="722757029">
      <w:bodyDiv w:val="1"/>
      <w:marLeft w:val="0"/>
      <w:marRight w:val="0"/>
      <w:marTop w:val="0"/>
      <w:marBottom w:val="0"/>
      <w:divBdr>
        <w:top w:val="none" w:sz="0" w:space="0" w:color="auto"/>
        <w:left w:val="none" w:sz="0" w:space="0" w:color="auto"/>
        <w:bottom w:val="none" w:sz="0" w:space="0" w:color="auto"/>
        <w:right w:val="none" w:sz="0" w:space="0" w:color="auto"/>
      </w:divBdr>
    </w:div>
    <w:div w:id="726759362">
      <w:bodyDiv w:val="1"/>
      <w:marLeft w:val="0"/>
      <w:marRight w:val="0"/>
      <w:marTop w:val="0"/>
      <w:marBottom w:val="0"/>
      <w:divBdr>
        <w:top w:val="none" w:sz="0" w:space="0" w:color="auto"/>
        <w:left w:val="none" w:sz="0" w:space="0" w:color="auto"/>
        <w:bottom w:val="none" w:sz="0" w:space="0" w:color="auto"/>
        <w:right w:val="none" w:sz="0" w:space="0" w:color="auto"/>
      </w:divBdr>
    </w:div>
    <w:div w:id="726803560">
      <w:bodyDiv w:val="1"/>
      <w:marLeft w:val="0"/>
      <w:marRight w:val="0"/>
      <w:marTop w:val="0"/>
      <w:marBottom w:val="0"/>
      <w:divBdr>
        <w:top w:val="none" w:sz="0" w:space="0" w:color="auto"/>
        <w:left w:val="none" w:sz="0" w:space="0" w:color="auto"/>
        <w:bottom w:val="none" w:sz="0" w:space="0" w:color="auto"/>
        <w:right w:val="none" w:sz="0" w:space="0" w:color="auto"/>
      </w:divBdr>
    </w:div>
    <w:div w:id="745419537">
      <w:bodyDiv w:val="1"/>
      <w:marLeft w:val="0"/>
      <w:marRight w:val="0"/>
      <w:marTop w:val="0"/>
      <w:marBottom w:val="0"/>
      <w:divBdr>
        <w:top w:val="none" w:sz="0" w:space="0" w:color="auto"/>
        <w:left w:val="none" w:sz="0" w:space="0" w:color="auto"/>
        <w:bottom w:val="none" w:sz="0" w:space="0" w:color="auto"/>
        <w:right w:val="none" w:sz="0" w:space="0" w:color="auto"/>
      </w:divBdr>
    </w:div>
    <w:div w:id="748502859">
      <w:bodyDiv w:val="1"/>
      <w:marLeft w:val="0"/>
      <w:marRight w:val="0"/>
      <w:marTop w:val="0"/>
      <w:marBottom w:val="0"/>
      <w:divBdr>
        <w:top w:val="none" w:sz="0" w:space="0" w:color="auto"/>
        <w:left w:val="none" w:sz="0" w:space="0" w:color="auto"/>
        <w:bottom w:val="none" w:sz="0" w:space="0" w:color="auto"/>
        <w:right w:val="none" w:sz="0" w:space="0" w:color="auto"/>
      </w:divBdr>
    </w:div>
    <w:div w:id="751971100">
      <w:bodyDiv w:val="1"/>
      <w:marLeft w:val="0"/>
      <w:marRight w:val="0"/>
      <w:marTop w:val="0"/>
      <w:marBottom w:val="0"/>
      <w:divBdr>
        <w:top w:val="none" w:sz="0" w:space="0" w:color="auto"/>
        <w:left w:val="none" w:sz="0" w:space="0" w:color="auto"/>
        <w:bottom w:val="none" w:sz="0" w:space="0" w:color="auto"/>
        <w:right w:val="none" w:sz="0" w:space="0" w:color="auto"/>
      </w:divBdr>
    </w:div>
    <w:div w:id="753360921">
      <w:bodyDiv w:val="1"/>
      <w:marLeft w:val="0"/>
      <w:marRight w:val="0"/>
      <w:marTop w:val="0"/>
      <w:marBottom w:val="0"/>
      <w:divBdr>
        <w:top w:val="none" w:sz="0" w:space="0" w:color="auto"/>
        <w:left w:val="none" w:sz="0" w:space="0" w:color="auto"/>
        <w:bottom w:val="none" w:sz="0" w:space="0" w:color="auto"/>
        <w:right w:val="none" w:sz="0" w:space="0" w:color="auto"/>
      </w:divBdr>
    </w:div>
    <w:div w:id="753742640">
      <w:bodyDiv w:val="1"/>
      <w:marLeft w:val="0"/>
      <w:marRight w:val="0"/>
      <w:marTop w:val="0"/>
      <w:marBottom w:val="0"/>
      <w:divBdr>
        <w:top w:val="none" w:sz="0" w:space="0" w:color="auto"/>
        <w:left w:val="none" w:sz="0" w:space="0" w:color="auto"/>
        <w:bottom w:val="none" w:sz="0" w:space="0" w:color="auto"/>
        <w:right w:val="none" w:sz="0" w:space="0" w:color="auto"/>
      </w:divBdr>
    </w:div>
    <w:div w:id="756941827">
      <w:bodyDiv w:val="1"/>
      <w:marLeft w:val="0"/>
      <w:marRight w:val="0"/>
      <w:marTop w:val="0"/>
      <w:marBottom w:val="0"/>
      <w:divBdr>
        <w:top w:val="none" w:sz="0" w:space="0" w:color="auto"/>
        <w:left w:val="none" w:sz="0" w:space="0" w:color="auto"/>
        <w:bottom w:val="none" w:sz="0" w:space="0" w:color="auto"/>
        <w:right w:val="none" w:sz="0" w:space="0" w:color="auto"/>
      </w:divBdr>
    </w:div>
    <w:div w:id="758066340">
      <w:bodyDiv w:val="1"/>
      <w:marLeft w:val="0"/>
      <w:marRight w:val="0"/>
      <w:marTop w:val="0"/>
      <w:marBottom w:val="0"/>
      <w:divBdr>
        <w:top w:val="none" w:sz="0" w:space="0" w:color="auto"/>
        <w:left w:val="none" w:sz="0" w:space="0" w:color="auto"/>
        <w:bottom w:val="none" w:sz="0" w:space="0" w:color="auto"/>
        <w:right w:val="none" w:sz="0" w:space="0" w:color="auto"/>
      </w:divBdr>
    </w:div>
    <w:div w:id="760106598">
      <w:bodyDiv w:val="1"/>
      <w:marLeft w:val="0"/>
      <w:marRight w:val="0"/>
      <w:marTop w:val="0"/>
      <w:marBottom w:val="0"/>
      <w:divBdr>
        <w:top w:val="none" w:sz="0" w:space="0" w:color="auto"/>
        <w:left w:val="none" w:sz="0" w:space="0" w:color="auto"/>
        <w:bottom w:val="none" w:sz="0" w:space="0" w:color="auto"/>
        <w:right w:val="none" w:sz="0" w:space="0" w:color="auto"/>
      </w:divBdr>
    </w:div>
    <w:div w:id="767236916">
      <w:bodyDiv w:val="1"/>
      <w:marLeft w:val="0"/>
      <w:marRight w:val="0"/>
      <w:marTop w:val="0"/>
      <w:marBottom w:val="0"/>
      <w:divBdr>
        <w:top w:val="none" w:sz="0" w:space="0" w:color="auto"/>
        <w:left w:val="none" w:sz="0" w:space="0" w:color="auto"/>
        <w:bottom w:val="none" w:sz="0" w:space="0" w:color="auto"/>
        <w:right w:val="none" w:sz="0" w:space="0" w:color="auto"/>
      </w:divBdr>
    </w:div>
    <w:div w:id="777405880">
      <w:bodyDiv w:val="1"/>
      <w:marLeft w:val="0"/>
      <w:marRight w:val="0"/>
      <w:marTop w:val="0"/>
      <w:marBottom w:val="0"/>
      <w:divBdr>
        <w:top w:val="none" w:sz="0" w:space="0" w:color="auto"/>
        <w:left w:val="none" w:sz="0" w:space="0" w:color="auto"/>
        <w:bottom w:val="none" w:sz="0" w:space="0" w:color="auto"/>
        <w:right w:val="none" w:sz="0" w:space="0" w:color="auto"/>
      </w:divBdr>
    </w:div>
    <w:div w:id="781460446">
      <w:bodyDiv w:val="1"/>
      <w:marLeft w:val="0"/>
      <w:marRight w:val="0"/>
      <w:marTop w:val="0"/>
      <w:marBottom w:val="0"/>
      <w:divBdr>
        <w:top w:val="none" w:sz="0" w:space="0" w:color="auto"/>
        <w:left w:val="none" w:sz="0" w:space="0" w:color="auto"/>
        <w:bottom w:val="none" w:sz="0" w:space="0" w:color="auto"/>
        <w:right w:val="none" w:sz="0" w:space="0" w:color="auto"/>
      </w:divBdr>
    </w:div>
    <w:div w:id="787158818">
      <w:bodyDiv w:val="1"/>
      <w:marLeft w:val="0"/>
      <w:marRight w:val="0"/>
      <w:marTop w:val="0"/>
      <w:marBottom w:val="0"/>
      <w:divBdr>
        <w:top w:val="none" w:sz="0" w:space="0" w:color="auto"/>
        <w:left w:val="none" w:sz="0" w:space="0" w:color="auto"/>
        <w:bottom w:val="none" w:sz="0" w:space="0" w:color="auto"/>
        <w:right w:val="none" w:sz="0" w:space="0" w:color="auto"/>
      </w:divBdr>
    </w:div>
    <w:div w:id="789013453">
      <w:bodyDiv w:val="1"/>
      <w:marLeft w:val="0"/>
      <w:marRight w:val="0"/>
      <w:marTop w:val="0"/>
      <w:marBottom w:val="0"/>
      <w:divBdr>
        <w:top w:val="none" w:sz="0" w:space="0" w:color="auto"/>
        <w:left w:val="none" w:sz="0" w:space="0" w:color="auto"/>
        <w:bottom w:val="none" w:sz="0" w:space="0" w:color="auto"/>
        <w:right w:val="none" w:sz="0" w:space="0" w:color="auto"/>
      </w:divBdr>
    </w:div>
    <w:div w:id="792793901">
      <w:bodyDiv w:val="1"/>
      <w:marLeft w:val="0"/>
      <w:marRight w:val="0"/>
      <w:marTop w:val="0"/>
      <w:marBottom w:val="0"/>
      <w:divBdr>
        <w:top w:val="none" w:sz="0" w:space="0" w:color="auto"/>
        <w:left w:val="none" w:sz="0" w:space="0" w:color="auto"/>
        <w:bottom w:val="none" w:sz="0" w:space="0" w:color="auto"/>
        <w:right w:val="none" w:sz="0" w:space="0" w:color="auto"/>
      </w:divBdr>
    </w:div>
    <w:div w:id="795023301">
      <w:bodyDiv w:val="1"/>
      <w:marLeft w:val="0"/>
      <w:marRight w:val="0"/>
      <w:marTop w:val="0"/>
      <w:marBottom w:val="0"/>
      <w:divBdr>
        <w:top w:val="none" w:sz="0" w:space="0" w:color="auto"/>
        <w:left w:val="none" w:sz="0" w:space="0" w:color="auto"/>
        <w:bottom w:val="none" w:sz="0" w:space="0" w:color="auto"/>
        <w:right w:val="none" w:sz="0" w:space="0" w:color="auto"/>
      </w:divBdr>
    </w:div>
    <w:div w:id="804271189">
      <w:bodyDiv w:val="1"/>
      <w:marLeft w:val="0"/>
      <w:marRight w:val="0"/>
      <w:marTop w:val="0"/>
      <w:marBottom w:val="0"/>
      <w:divBdr>
        <w:top w:val="none" w:sz="0" w:space="0" w:color="auto"/>
        <w:left w:val="none" w:sz="0" w:space="0" w:color="auto"/>
        <w:bottom w:val="none" w:sz="0" w:space="0" w:color="auto"/>
        <w:right w:val="none" w:sz="0" w:space="0" w:color="auto"/>
      </w:divBdr>
    </w:div>
    <w:div w:id="810319572">
      <w:bodyDiv w:val="1"/>
      <w:marLeft w:val="0"/>
      <w:marRight w:val="0"/>
      <w:marTop w:val="0"/>
      <w:marBottom w:val="0"/>
      <w:divBdr>
        <w:top w:val="none" w:sz="0" w:space="0" w:color="auto"/>
        <w:left w:val="none" w:sz="0" w:space="0" w:color="auto"/>
        <w:bottom w:val="none" w:sz="0" w:space="0" w:color="auto"/>
        <w:right w:val="none" w:sz="0" w:space="0" w:color="auto"/>
      </w:divBdr>
    </w:div>
    <w:div w:id="814681098">
      <w:bodyDiv w:val="1"/>
      <w:marLeft w:val="0"/>
      <w:marRight w:val="0"/>
      <w:marTop w:val="0"/>
      <w:marBottom w:val="0"/>
      <w:divBdr>
        <w:top w:val="none" w:sz="0" w:space="0" w:color="auto"/>
        <w:left w:val="none" w:sz="0" w:space="0" w:color="auto"/>
        <w:bottom w:val="none" w:sz="0" w:space="0" w:color="auto"/>
        <w:right w:val="none" w:sz="0" w:space="0" w:color="auto"/>
      </w:divBdr>
    </w:div>
    <w:div w:id="815990567">
      <w:bodyDiv w:val="1"/>
      <w:marLeft w:val="0"/>
      <w:marRight w:val="0"/>
      <w:marTop w:val="0"/>
      <w:marBottom w:val="0"/>
      <w:divBdr>
        <w:top w:val="none" w:sz="0" w:space="0" w:color="auto"/>
        <w:left w:val="none" w:sz="0" w:space="0" w:color="auto"/>
        <w:bottom w:val="none" w:sz="0" w:space="0" w:color="auto"/>
        <w:right w:val="none" w:sz="0" w:space="0" w:color="auto"/>
      </w:divBdr>
    </w:div>
    <w:div w:id="820076456">
      <w:bodyDiv w:val="1"/>
      <w:marLeft w:val="0"/>
      <w:marRight w:val="0"/>
      <w:marTop w:val="0"/>
      <w:marBottom w:val="0"/>
      <w:divBdr>
        <w:top w:val="none" w:sz="0" w:space="0" w:color="auto"/>
        <w:left w:val="none" w:sz="0" w:space="0" w:color="auto"/>
        <w:bottom w:val="none" w:sz="0" w:space="0" w:color="auto"/>
        <w:right w:val="none" w:sz="0" w:space="0" w:color="auto"/>
      </w:divBdr>
    </w:div>
    <w:div w:id="823468499">
      <w:bodyDiv w:val="1"/>
      <w:marLeft w:val="0"/>
      <w:marRight w:val="0"/>
      <w:marTop w:val="0"/>
      <w:marBottom w:val="0"/>
      <w:divBdr>
        <w:top w:val="none" w:sz="0" w:space="0" w:color="auto"/>
        <w:left w:val="none" w:sz="0" w:space="0" w:color="auto"/>
        <w:bottom w:val="none" w:sz="0" w:space="0" w:color="auto"/>
        <w:right w:val="none" w:sz="0" w:space="0" w:color="auto"/>
      </w:divBdr>
    </w:div>
    <w:div w:id="825242225">
      <w:bodyDiv w:val="1"/>
      <w:marLeft w:val="0"/>
      <w:marRight w:val="0"/>
      <w:marTop w:val="0"/>
      <w:marBottom w:val="0"/>
      <w:divBdr>
        <w:top w:val="none" w:sz="0" w:space="0" w:color="auto"/>
        <w:left w:val="none" w:sz="0" w:space="0" w:color="auto"/>
        <w:bottom w:val="none" w:sz="0" w:space="0" w:color="auto"/>
        <w:right w:val="none" w:sz="0" w:space="0" w:color="auto"/>
      </w:divBdr>
    </w:div>
    <w:div w:id="826171512">
      <w:bodyDiv w:val="1"/>
      <w:marLeft w:val="0"/>
      <w:marRight w:val="0"/>
      <w:marTop w:val="0"/>
      <w:marBottom w:val="0"/>
      <w:divBdr>
        <w:top w:val="none" w:sz="0" w:space="0" w:color="auto"/>
        <w:left w:val="none" w:sz="0" w:space="0" w:color="auto"/>
        <w:bottom w:val="none" w:sz="0" w:space="0" w:color="auto"/>
        <w:right w:val="none" w:sz="0" w:space="0" w:color="auto"/>
      </w:divBdr>
    </w:div>
    <w:div w:id="829715919">
      <w:bodyDiv w:val="1"/>
      <w:marLeft w:val="0"/>
      <w:marRight w:val="0"/>
      <w:marTop w:val="0"/>
      <w:marBottom w:val="0"/>
      <w:divBdr>
        <w:top w:val="none" w:sz="0" w:space="0" w:color="auto"/>
        <w:left w:val="none" w:sz="0" w:space="0" w:color="auto"/>
        <w:bottom w:val="none" w:sz="0" w:space="0" w:color="auto"/>
        <w:right w:val="none" w:sz="0" w:space="0" w:color="auto"/>
      </w:divBdr>
    </w:div>
    <w:div w:id="832647692">
      <w:bodyDiv w:val="1"/>
      <w:marLeft w:val="0"/>
      <w:marRight w:val="0"/>
      <w:marTop w:val="0"/>
      <w:marBottom w:val="0"/>
      <w:divBdr>
        <w:top w:val="none" w:sz="0" w:space="0" w:color="auto"/>
        <w:left w:val="none" w:sz="0" w:space="0" w:color="auto"/>
        <w:bottom w:val="none" w:sz="0" w:space="0" w:color="auto"/>
        <w:right w:val="none" w:sz="0" w:space="0" w:color="auto"/>
      </w:divBdr>
    </w:div>
    <w:div w:id="833572685">
      <w:bodyDiv w:val="1"/>
      <w:marLeft w:val="0"/>
      <w:marRight w:val="0"/>
      <w:marTop w:val="0"/>
      <w:marBottom w:val="0"/>
      <w:divBdr>
        <w:top w:val="none" w:sz="0" w:space="0" w:color="auto"/>
        <w:left w:val="none" w:sz="0" w:space="0" w:color="auto"/>
        <w:bottom w:val="none" w:sz="0" w:space="0" w:color="auto"/>
        <w:right w:val="none" w:sz="0" w:space="0" w:color="auto"/>
      </w:divBdr>
    </w:div>
    <w:div w:id="835652140">
      <w:bodyDiv w:val="1"/>
      <w:marLeft w:val="0"/>
      <w:marRight w:val="0"/>
      <w:marTop w:val="0"/>
      <w:marBottom w:val="0"/>
      <w:divBdr>
        <w:top w:val="none" w:sz="0" w:space="0" w:color="auto"/>
        <w:left w:val="none" w:sz="0" w:space="0" w:color="auto"/>
        <w:bottom w:val="none" w:sz="0" w:space="0" w:color="auto"/>
        <w:right w:val="none" w:sz="0" w:space="0" w:color="auto"/>
      </w:divBdr>
    </w:div>
    <w:div w:id="844244110">
      <w:bodyDiv w:val="1"/>
      <w:marLeft w:val="0"/>
      <w:marRight w:val="0"/>
      <w:marTop w:val="0"/>
      <w:marBottom w:val="0"/>
      <w:divBdr>
        <w:top w:val="none" w:sz="0" w:space="0" w:color="auto"/>
        <w:left w:val="none" w:sz="0" w:space="0" w:color="auto"/>
        <w:bottom w:val="none" w:sz="0" w:space="0" w:color="auto"/>
        <w:right w:val="none" w:sz="0" w:space="0" w:color="auto"/>
      </w:divBdr>
    </w:div>
    <w:div w:id="844826501">
      <w:bodyDiv w:val="1"/>
      <w:marLeft w:val="0"/>
      <w:marRight w:val="0"/>
      <w:marTop w:val="0"/>
      <w:marBottom w:val="0"/>
      <w:divBdr>
        <w:top w:val="none" w:sz="0" w:space="0" w:color="auto"/>
        <w:left w:val="none" w:sz="0" w:space="0" w:color="auto"/>
        <w:bottom w:val="none" w:sz="0" w:space="0" w:color="auto"/>
        <w:right w:val="none" w:sz="0" w:space="0" w:color="auto"/>
      </w:divBdr>
    </w:div>
    <w:div w:id="846135414">
      <w:bodyDiv w:val="1"/>
      <w:marLeft w:val="0"/>
      <w:marRight w:val="0"/>
      <w:marTop w:val="0"/>
      <w:marBottom w:val="0"/>
      <w:divBdr>
        <w:top w:val="none" w:sz="0" w:space="0" w:color="auto"/>
        <w:left w:val="none" w:sz="0" w:space="0" w:color="auto"/>
        <w:bottom w:val="none" w:sz="0" w:space="0" w:color="auto"/>
        <w:right w:val="none" w:sz="0" w:space="0" w:color="auto"/>
      </w:divBdr>
    </w:div>
    <w:div w:id="851148401">
      <w:bodyDiv w:val="1"/>
      <w:marLeft w:val="0"/>
      <w:marRight w:val="0"/>
      <w:marTop w:val="0"/>
      <w:marBottom w:val="0"/>
      <w:divBdr>
        <w:top w:val="none" w:sz="0" w:space="0" w:color="auto"/>
        <w:left w:val="none" w:sz="0" w:space="0" w:color="auto"/>
        <w:bottom w:val="none" w:sz="0" w:space="0" w:color="auto"/>
        <w:right w:val="none" w:sz="0" w:space="0" w:color="auto"/>
      </w:divBdr>
    </w:div>
    <w:div w:id="855464749">
      <w:bodyDiv w:val="1"/>
      <w:marLeft w:val="0"/>
      <w:marRight w:val="0"/>
      <w:marTop w:val="0"/>
      <w:marBottom w:val="0"/>
      <w:divBdr>
        <w:top w:val="none" w:sz="0" w:space="0" w:color="auto"/>
        <w:left w:val="none" w:sz="0" w:space="0" w:color="auto"/>
        <w:bottom w:val="none" w:sz="0" w:space="0" w:color="auto"/>
        <w:right w:val="none" w:sz="0" w:space="0" w:color="auto"/>
      </w:divBdr>
    </w:div>
    <w:div w:id="857889562">
      <w:bodyDiv w:val="1"/>
      <w:marLeft w:val="0"/>
      <w:marRight w:val="0"/>
      <w:marTop w:val="0"/>
      <w:marBottom w:val="0"/>
      <w:divBdr>
        <w:top w:val="none" w:sz="0" w:space="0" w:color="auto"/>
        <w:left w:val="none" w:sz="0" w:space="0" w:color="auto"/>
        <w:bottom w:val="none" w:sz="0" w:space="0" w:color="auto"/>
        <w:right w:val="none" w:sz="0" w:space="0" w:color="auto"/>
      </w:divBdr>
    </w:div>
    <w:div w:id="861168752">
      <w:bodyDiv w:val="1"/>
      <w:marLeft w:val="0"/>
      <w:marRight w:val="0"/>
      <w:marTop w:val="0"/>
      <w:marBottom w:val="0"/>
      <w:divBdr>
        <w:top w:val="none" w:sz="0" w:space="0" w:color="auto"/>
        <w:left w:val="none" w:sz="0" w:space="0" w:color="auto"/>
        <w:bottom w:val="none" w:sz="0" w:space="0" w:color="auto"/>
        <w:right w:val="none" w:sz="0" w:space="0" w:color="auto"/>
      </w:divBdr>
      <w:divsChild>
        <w:div w:id="1022824851">
          <w:marLeft w:val="0"/>
          <w:marRight w:val="0"/>
          <w:marTop w:val="0"/>
          <w:marBottom w:val="0"/>
          <w:divBdr>
            <w:top w:val="none" w:sz="0" w:space="0" w:color="auto"/>
            <w:left w:val="none" w:sz="0" w:space="0" w:color="auto"/>
            <w:bottom w:val="none" w:sz="0" w:space="0" w:color="auto"/>
            <w:right w:val="none" w:sz="0" w:space="0" w:color="auto"/>
          </w:divBdr>
          <w:divsChild>
            <w:div w:id="1238054550">
              <w:marLeft w:val="0"/>
              <w:marRight w:val="0"/>
              <w:marTop w:val="0"/>
              <w:marBottom w:val="0"/>
              <w:divBdr>
                <w:top w:val="none" w:sz="0" w:space="0" w:color="auto"/>
                <w:left w:val="none" w:sz="0" w:space="0" w:color="auto"/>
                <w:bottom w:val="none" w:sz="0" w:space="0" w:color="auto"/>
                <w:right w:val="none" w:sz="0" w:space="0" w:color="auto"/>
              </w:divBdr>
              <w:divsChild>
                <w:div w:id="1895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4430">
      <w:bodyDiv w:val="1"/>
      <w:marLeft w:val="0"/>
      <w:marRight w:val="0"/>
      <w:marTop w:val="0"/>
      <w:marBottom w:val="0"/>
      <w:divBdr>
        <w:top w:val="none" w:sz="0" w:space="0" w:color="auto"/>
        <w:left w:val="none" w:sz="0" w:space="0" w:color="auto"/>
        <w:bottom w:val="none" w:sz="0" w:space="0" w:color="auto"/>
        <w:right w:val="none" w:sz="0" w:space="0" w:color="auto"/>
      </w:divBdr>
    </w:div>
    <w:div w:id="867913231">
      <w:bodyDiv w:val="1"/>
      <w:marLeft w:val="0"/>
      <w:marRight w:val="0"/>
      <w:marTop w:val="0"/>
      <w:marBottom w:val="0"/>
      <w:divBdr>
        <w:top w:val="none" w:sz="0" w:space="0" w:color="auto"/>
        <w:left w:val="none" w:sz="0" w:space="0" w:color="auto"/>
        <w:bottom w:val="none" w:sz="0" w:space="0" w:color="auto"/>
        <w:right w:val="none" w:sz="0" w:space="0" w:color="auto"/>
      </w:divBdr>
    </w:div>
    <w:div w:id="868493297">
      <w:bodyDiv w:val="1"/>
      <w:marLeft w:val="0"/>
      <w:marRight w:val="0"/>
      <w:marTop w:val="0"/>
      <w:marBottom w:val="0"/>
      <w:divBdr>
        <w:top w:val="none" w:sz="0" w:space="0" w:color="auto"/>
        <w:left w:val="none" w:sz="0" w:space="0" w:color="auto"/>
        <w:bottom w:val="none" w:sz="0" w:space="0" w:color="auto"/>
        <w:right w:val="none" w:sz="0" w:space="0" w:color="auto"/>
      </w:divBdr>
    </w:div>
    <w:div w:id="871302840">
      <w:bodyDiv w:val="1"/>
      <w:marLeft w:val="0"/>
      <w:marRight w:val="0"/>
      <w:marTop w:val="0"/>
      <w:marBottom w:val="0"/>
      <w:divBdr>
        <w:top w:val="none" w:sz="0" w:space="0" w:color="auto"/>
        <w:left w:val="none" w:sz="0" w:space="0" w:color="auto"/>
        <w:bottom w:val="none" w:sz="0" w:space="0" w:color="auto"/>
        <w:right w:val="none" w:sz="0" w:space="0" w:color="auto"/>
      </w:divBdr>
    </w:div>
    <w:div w:id="874276348">
      <w:bodyDiv w:val="1"/>
      <w:marLeft w:val="0"/>
      <w:marRight w:val="0"/>
      <w:marTop w:val="0"/>
      <w:marBottom w:val="0"/>
      <w:divBdr>
        <w:top w:val="none" w:sz="0" w:space="0" w:color="auto"/>
        <w:left w:val="none" w:sz="0" w:space="0" w:color="auto"/>
        <w:bottom w:val="none" w:sz="0" w:space="0" w:color="auto"/>
        <w:right w:val="none" w:sz="0" w:space="0" w:color="auto"/>
      </w:divBdr>
    </w:div>
    <w:div w:id="879442755">
      <w:bodyDiv w:val="1"/>
      <w:marLeft w:val="0"/>
      <w:marRight w:val="0"/>
      <w:marTop w:val="0"/>
      <w:marBottom w:val="0"/>
      <w:divBdr>
        <w:top w:val="none" w:sz="0" w:space="0" w:color="auto"/>
        <w:left w:val="none" w:sz="0" w:space="0" w:color="auto"/>
        <w:bottom w:val="none" w:sz="0" w:space="0" w:color="auto"/>
        <w:right w:val="none" w:sz="0" w:space="0" w:color="auto"/>
      </w:divBdr>
    </w:div>
    <w:div w:id="883181010">
      <w:bodyDiv w:val="1"/>
      <w:marLeft w:val="0"/>
      <w:marRight w:val="0"/>
      <w:marTop w:val="0"/>
      <w:marBottom w:val="0"/>
      <w:divBdr>
        <w:top w:val="none" w:sz="0" w:space="0" w:color="auto"/>
        <w:left w:val="none" w:sz="0" w:space="0" w:color="auto"/>
        <w:bottom w:val="none" w:sz="0" w:space="0" w:color="auto"/>
        <w:right w:val="none" w:sz="0" w:space="0" w:color="auto"/>
      </w:divBdr>
    </w:div>
    <w:div w:id="886063821">
      <w:bodyDiv w:val="1"/>
      <w:marLeft w:val="0"/>
      <w:marRight w:val="0"/>
      <w:marTop w:val="0"/>
      <w:marBottom w:val="0"/>
      <w:divBdr>
        <w:top w:val="none" w:sz="0" w:space="0" w:color="auto"/>
        <w:left w:val="none" w:sz="0" w:space="0" w:color="auto"/>
        <w:bottom w:val="none" w:sz="0" w:space="0" w:color="auto"/>
        <w:right w:val="none" w:sz="0" w:space="0" w:color="auto"/>
      </w:divBdr>
    </w:div>
    <w:div w:id="886332803">
      <w:bodyDiv w:val="1"/>
      <w:marLeft w:val="0"/>
      <w:marRight w:val="0"/>
      <w:marTop w:val="0"/>
      <w:marBottom w:val="0"/>
      <w:divBdr>
        <w:top w:val="none" w:sz="0" w:space="0" w:color="auto"/>
        <w:left w:val="none" w:sz="0" w:space="0" w:color="auto"/>
        <w:bottom w:val="none" w:sz="0" w:space="0" w:color="auto"/>
        <w:right w:val="none" w:sz="0" w:space="0" w:color="auto"/>
      </w:divBdr>
    </w:div>
    <w:div w:id="886726439">
      <w:bodyDiv w:val="1"/>
      <w:marLeft w:val="0"/>
      <w:marRight w:val="0"/>
      <w:marTop w:val="0"/>
      <w:marBottom w:val="0"/>
      <w:divBdr>
        <w:top w:val="none" w:sz="0" w:space="0" w:color="auto"/>
        <w:left w:val="none" w:sz="0" w:space="0" w:color="auto"/>
        <w:bottom w:val="none" w:sz="0" w:space="0" w:color="auto"/>
        <w:right w:val="none" w:sz="0" w:space="0" w:color="auto"/>
      </w:divBdr>
    </w:div>
    <w:div w:id="888154727">
      <w:bodyDiv w:val="1"/>
      <w:marLeft w:val="0"/>
      <w:marRight w:val="0"/>
      <w:marTop w:val="0"/>
      <w:marBottom w:val="0"/>
      <w:divBdr>
        <w:top w:val="none" w:sz="0" w:space="0" w:color="auto"/>
        <w:left w:val="none" w:sz="0" w:space="0" w:color="auto"/>
        <w:bottom w:val="none" w:sz="0" w:space="0" w:color="auto"/>
        <w:right w:val="none" w:sz="0" w:space="0" w:color="auto"/>
      </w:divBdr>
    </w:div>
    <w:div w:id="888878758">
      <w:bodyDiv w:val="1"/>
      <w:marLeft w:val="0"/>
      <w:marRight w:val="0"/>
      <w:marTop w:val="0"/>
      <w:marBottom w:val="0"/>
      <w:divBdr>
        <w:top w:val="none" w:sz="0" w:space="0" w:color="auto"/>
        <w:left w:val="none" w:sz="0" w:space="0" w:color="auto"/>
        <w:bottom w:val="none" w:sz="0" w:space="0" w:color="auto"/>
        <w:right w:val="none" w:sz="0" w:space="0" w:color="auto"/>
      </w:divBdr>
    </w:div>
    <w:div w:id="892034562">
      <w:bodyDiv w:val="1"/>
      <w:marLeft w:val="0"/>
      <w:marRight w:val="0"/>
      <w:marTop w:val="0"/>
      <w:marBottom w:val="0"/>
      <w:divBdr>
        <w:top w:val="none" w:sz="0" w:space="0" w:color="auto"/>
        <w:left w:val="none" w:sz="0" w:space="0" w:color="auto"/>
        <w:bottom w:val="none" w:sz="0" w:space="0" w:color="auto"/>
        <w:right w:val="none" w:sz="0" w:space="0" w:color="auto"/>
      </w:divBdr>
    </w:div>
    <w:div w:id="894046509">
      <w:bodyDiv w:val="1"/>
      <w:marLeft w:val="0"/>
      <w:marRight w:val="0"/>
      <w:marTop w:val="0"/>
      <w:marBottom w:val="0"/>
      <w:divBdr>
        <w:top w:val="none" w:sz="0" w:space="0" w:color="auto"/>
        <w:left w:val="none" w:sz="0" w:space="0" w:color="auto"/>
        <w:bottom w:val="none" w:sz="0" w:space="0" w:color="auto"/>
        <w:right w:val="none" w:sz="0" w:space="0" w:color="auto"/>
      </w:divBdr>
    </w:div>
    <w:div w:id="905333714">
      <w:bodyDiv w:val="1"/>
      <w:marLeft w:val="0"/>
      <w:marRight w:val="0"/>
      <w:marTop w:val="0"/>
      <w:marBottom w:val="0"/>
      <w:divBdr>
        <w:top w:val="none" w:sz="0" w:space="0" w:color="auto"/>
        <w:left w:val="none" w:sz="0" w:space="0" w:color="auto"/>
        <w:bottom w:val="none" w:sz="0" w:space="0" w:color="auto"/>
        <w:right w:val="none" w:sz="0" w:space="0" w:color="auto"/>
      </w:divBdr>
    </w:div>
    <w:div w:id="907574023">
      <w:bodyDiv w:val="1"/>
      <w:marLeft w:val="0"/>
      <w:marRight w:val="0"/>
      <w:marTop w:val="0"/>
      <w:marBottom w:val="0"/>
      <w:divBdr>
        <w:top w:val="none" w:sz="0" w:space="0" w:color="auto"/>
        <w:left w:val="none" w:sz="0" w:space="0" w:color="auto"/>
        <w:bottom w:val="none" w:sz="0" w:space="0" w:color="auto"/>
        <w:right w:val="none" w:sz="0" w:space="0" w:color="auto"/>
      </w:divBdr>
    </w:div>
    <w:div w:id="907811125">
      <w:bodyDiv w:val="1"/>
      <w:marLeft w:val="0"/>
      <w:marRight w:val="0"/>
      <w:marTop w:val="0"/>
      <w:marBottom w:val="0"/>
      <w:divBdr>
        <w:top w:val="none" w:sz="0" w:space="0" w:color="auto"/>
        <w:left w:val="none" w:sz="0" w:space="0" w:color="auto"/>
        <w:bottom w:val="none" w:sz="0" w:space="0" w:color="auto"/>
        <w:right w:val="none" w:sz="0" w:space="0" w:color="auto"/>
      </w:divBdr>
    </w:div>
    <w:div w:id="908033164">
      <w:bodyDiv w:val="1"/>
      <w:marLeft w:val="0"/>
      <w:marRight w:val="0"/>
      <w:marTop w:val="0"/>
      <w:marBottom w:val="0"/>
      <w:divBdr>
        <w:top w:val="none" w:sz="0" w:space="0" w:color="auto"/>
        <w:left w:val="none" w:sz="0" w:space="0" w:color="auto"/>
        <w:bottom w:val="none" w:sz="0" w:space="0" w:color="auto"/>
        <w:right w:val="none" w:sz="0" w:space="0" w:color="auto"/>
      </w:divBdr>
    </w:div>
    <w:div w:id="909925111">
      <w:bodyDiv w:val="1"/>
      <w:marLeft w:val="0"/>
      <w:marRight w:val="0"/>
      <w:marTop w:val="0"/>
      <w:marBottom w:val="0"/>
      <w:divBdr>
        <w:top w:val="none" w:sz="0" w:space="0" w:color="auto"/>
        <w:left w:val="none" w:sz="0" w:space="0" w:color="auto"/>
        <w:bottom w:val="none" w:sz="0" w:space="0" w:color="auto"/>
        <w:right w:val="none" w:sz="0" w:space="0" w:color="auto"/>
      </w:divBdr>
    </w:div>
    <w:div w:id="911233291">
      <w:bodyDiv w:val="1"/>
      <w:marLeft w:val="0"/>
      <w:marRight w:val="0"/>
      <w:marTop w:val="0"/>
      <w:marBottom w:val="0"/>
      <w:divBdr>
        <w:top w:val="none" w:sz="0" w:space="0" w:color="auto"/>
        <w:left w:val="none" w:sz="0" w:space="0" w:color="auto"/>
        <w:bottom w:val="none" w:sz="0" w:space="0" w:color="auto"/>
        <w:right w:val="none" w:sz="0" w:space="0" w:color="auto"/>
      </w:divBdr>
    </w:div>
    <w:div w:id="912861149">
      <w:bodyDiv w:val="1"/>
      <w:marLeft w:val="0"/>
      <w:marRight w:val="0"/>
      <w:marTop w:val="0"/>
      <w:marBottom w:val="0"/>
      <w:divBdr>
        <w:top w:val="none" w:sz="0" w:space="0" w:color="auto"/>
        <w:left w:val="none" w:sz="0" w:space="0" w:color="auto"/>
        <w:bottom w:val="none" w:sz="0" w:space="0" w:color="auto"/>
        <w:right w:val="none" w:sz="0" w:space="0" w:color="auto"/>
      </w:divBdr>
    </w:div>
    <w:div w:id="913006349">
      <w:bodyDiv w:val="1"/>
      <w:marLeft w:val="0"/>
      <w:marRight w:val="0"/>
      <w:marTop w:val="0"/>
      <w:marBottom w:val="0"/>
      <w:divBdr>
        <w:top w:val="none" w:sz="0" w:space="0" w:color="auto"/>
        <w:left w:val="none" w:sz="0" w:space="0" w:color="auto"/>
        <w:bottom w:val="none" w:sz="0" w:space="0" w:color="auto"/>
        <w:right w:val="none" w:sz="0" w:space="0" w:color="auto"/>
      </w:divBdr>
    </w:div>
    <w:div w:id="913977883">
      <w:bodyDiv w:val="1"/>
      <w:marLeft w:val="0"/>
      <w:marRight w:val="0"/>
      <w:marTop w:val="0"/>
      <w:marBottom w:val="0"/>
      <w:divBdr>
        <w:top w:val="none" w:sz="0" w:space="0" w:color="auto"/>
        <w:left w:val="none" w:sz="0" w:space="0" w:color="auto"/>
        <w:bottom w:val="none" w:sz="0" w:space="0" w:color="auto"/>
        <w:right w:val="none" w:sz="0" w:space="0" w:color="auto"/>
      </w:divBdr>
    </w:div>
    <w:div w:id="921180353">
      <w:bodyDiv w:val="1"/>
      <w:marLeft w:val="0"/>
      <w:marRight w:val="0"/>
      <w:marTop w:val="0"/>
      <w:marBottom w:val="0"/>
      <w:divBdr>
        <w:top w:val="none" w:sz="0" w:space="0" w:color="auto"/>
        <w:left w:val="none" w:sz="0" w:space="0" w:color="auto"/>
        <w:bottom w:val="none" w:sz="0" w:space="0" w:color="auto"/>
        <w:right w:val="none" w:sz="0" w:space="0" w:color="auto"/>
      </w:divBdr>
    </w:div>
    <w:div w:id="921453844">
      <w:bodyDiv w:val="1"/>
      <w:marLeft w:val="0"/>
      <w:marRight w:val="0"/>
      <w:marTop w:val="0"/>
      <w:marBottom w:val="0"/>
      <w:divBdr>
        <w:top w:val="none" w:sz="0" w:space="0" w:color="auto"/>
        <w:left w:val="none" w:sz="0" w:space="0" w:color="auto"/>
        <w:bottom w:val="none" w:sz="0" w:space="0" w:color="auto"/>
        <w:right w:val="none" w:sz="0" w:space="0" w:color="auto"/>
      </w:divBdr>
    </w:div>
    <w:div w:id="921984418">
      <w:bodyDiv w:val="1"/>
      <w:marLeft w:val="0"/>
      <w:marRight w:val="0"/>
      <w:marTop w:val="0"/>
      <w:marBottom w:val="0"/>
      <w:divBdr>
        <w:top w:val="none" w:sz="0" w:space="0" w:color="auto"/>
        <w:left w:val="none" w:sz="0" w:space="0" w:color="auto"/>
        <w:bottom w:val="none" w:sz="0" w:space="0" w:color="auto"/>
        <w:right w:val="none" w:sz="0" w:space="0" w:color="auto"/>
      </w:divBdr>
    </w:div>
    <w:div w:id="924846515">
      <w:bodyDiv w:val="1"/>
      <w:marLeft w:val="0"/>
      <w:marRight w:val="0"/>
      <w:marTop w:val="0"/>
      <w:marBottom w:val="0"/>
      <w:divBdr>
        <w:top w:val="none" w:sz="0" w:space="0" w:color="auto"/>
        <w:left w:val="none" w:sz="0" w:space="0" w:color="auto"/>
        <w:bottom w:val="none" w:sz="0" w:space="0" w:color="auto"/>
        <w:right w:val="none" w:sz="0" w:space="0" w:color="auto"/>
      </w:divBdr>
    </w:div>
    <w:div w:id="925069691">
      <w:bodyDiv w:val="1"/>
      <w:marLeft w:val="0"/>
      <w:marRight w:val="0"/>
      <w:marTop w:val="0"/>
      <w:marBottom w:val="0"/>
      <w:divBdr>
        <w:top w:val="none" w:sz="0" w:space="0" w:color="auto"/>
        <w:left w:val="none" w:sz="0" w:space="0" w:color="auto"/>
        <w:bottom w:val="none" w:sz="0" w:space="0" w:color="auto"/>
        <w:right w:val="none" w:sz="0" w:space="0" w:color="auto"/>
      </w:divBdr>
    </w:div>
    <w:div w:id="925921502">
      <w:bodyDiv w:val="1"/>
      <w:marLeft w:val="0"/>
      <w:marRight w:val="0"/>
      <w:marTop w:val="0"/>
      <w:marBottom w:val="0"/>
      <w:divBdr>
        <w:top w:val="none" w:sz="0" w:space="0" w:color="auto"/>
        <w:left w:val="none" w:sz="0" w:space="0" w:color="auto"/>
        <w:bottom w:val="none" w:sz="0" w:space="0" w:color="auto"/>
        <w:right w:val="none" w:sz="0" w:space="0" w:color="auto"/>
      </w:divBdr>
      <w:divsChild>
        <w:div w:id="979648004">
          <w:marLeft w:val="0"/>
          <w:marRight w:val="0"/>
          <w:marTop w:val="0"/>
          <w:marBottom w:val="0"/>
          <w:divBdr>
            <w:top w:val="none" w:sz="0" w:space="0" w:color="auto"/>
            <w:left w:val="none" w:sz="0" w:space="0" w:color="auto"/>
            <w:bottom w:val="none" w:sz="0" w:space="0" w:color="auto"/>
            <w:right w:val="none" w:sz="0" w:space="0" w:color="auto"/>
          </w:divBdr>
          <w:divsChild>
            <w:div w:id="1523587946">
              <w:marLeft w:val="0"/>
              <w:marRight w:val="0"/>
              <w:marTop w:val="0"/>
              <w:marBottom w:val="0"/>
              <w:divBdr>
                <w:top w:val="none" w:sz="0" w:space="0" w:color="auto"/>
                <w:left w:val="none" w:sz="0" w:space="0" w:color="auto"/>
                <w:bottom w:val="none" w:sz="0" w:space="0" w:color="auto"/>
                <w:right w:val="none" w:sz="0" w:space="0" w:color="auto"/>
              </w:divBdr>
              <w:divsChild>
                <w:div w:id="9027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4318">
      <w:bodyDiv w:val="1"/>
      <w:marLeft w:val="0"/>
      <w:marRight w:val="0"/>
      <w:marTop w:val="0"/>
      <w:marBottom w:val="0"/>
      <w:divBdr>
        <w:top w:val="none" w:sz="0" w:space="0" w:color="auto"/>
        <w:left w:val="none" w:sz="0" w:space="0" w:color="auto"/>
        <w:bottom w:val="none" w:sz="0" w:space="0" w:color="auto"/>
        <w:right w:val="none" w:sz="0" w:space="0" w:color="auto"/>
      </w:divBdr>
    </w:div>
    <w:div w:id="935022871">
      <w:bodyDiv w:val="1"/>
      <w:marLeft w:val="0"/>
      <w:marRight w:val="0"/>
      <w:marTop w:val="0"/>
      <w:marBottom w:val="0"/>
      <w:divBdr>
        <w:top w:val="none" w:sz="0" w:space="0" w:color="auto"/>
        <w:left w:val="none" w:sz="0" w:space="0" w:color="auto"/>
        <w:bottom w:val="none" w:sz="0" w:space="0" w:color="auto"/>
        <w:right w:val="none" w:sz="0" w:space="0" w:color="auto"/>
      </w:divBdr>
    </w:div>
    <w:div w:id="937449732">
      <w:bodyDiv w:val="1"/>
      <w:marLeft w:val="0"/>
      <w:marRight w:val="0"/>
      <w:marTop w:val="0"/>
      <w:marBottom w:val="0"/>
      <w:divBdr>
        <w:top w:val="none" w:sz="0" w:space="0" w:color="auto"/>
        <w:left w:val="none" w:sz="0" w:space="0" w:color="auto"/>
        <w:bottom w:val="none" w:sz="0" w:space="0" w:color="auto"/>
        <w:right w:val="none" w:sz="0" w:space="0" w:color="auto"/>
      </w:divBdr>
    </w:div>
    <w:div w:id="942609990">
      <w:bodyDiv w:val="1"/>
      <w:marLeft w:val="0"/>
      <w:marRight w:val="0"/>
      <w:marTop w:val="0"/>
      <w:marBottom w:val="0"/>
      <w:divBdr>
        <w:top w:val="none" w:sz="0" w:space="0" w:color="auto"/>
        <w:left w:val="none" w:sz="0" w:space="0" w:color="auto"/>
        <w:bottom w:val="none" w:sz="0" w:space="0" w:color="auto"/>
        <w:right w:val="none" w:sz="0" w:space="0" w:color="auto"/>
      </w:divBdr>
    </w:div>
    <w:div w:id="943726006">
      <w:bodyDiv w:val="1"/>
      <w:marLeft w:val="0"/>
      <w:marRight w:val="0"/>
      <w:marTop w:val="0"/>
      <w:marBottom w:val="0"/>
      <w:divBdr>
        <w:top w:val="none" w:sz="0" w:space="0" w:color="auto"/>
        <w:left w:val="none" w:sz="0" w:space="0" w:color="auto"/>
        <w:bottom w:val="none" w:sz="0" w:space="0" w:color="auto"/>
        <w:right w:val="none" w:sz="0" w:space="0" w:color="auto"/>
      </w:divBdr>
    </w:div>
    <w:div w:id="953174699">
      <w:bodyDiv w:val="1"/>
      <w:marLeft w:val="0"/>
      <w:marRight w:val="0"/>
      <w:marTop w:val="0"/>
      <w:marBottom w:val="0"/>
      <w:divBdr>
        <w:top w:val="none" w:sz="0" w:space="0" w:color="auto"/>
        <w:left w:val="none" w:sz="0" w:space="0" w:color="auto"/>
        <w:bottom w:val="none" w:sz="0" w:space="0" w:color="auto"/>
        <w:right w:val="none" w:sz="0" w:space="0" w:color="auto"/>
      </w:divBdr>
    </w:div>
    <w:div w:id="954411125">
      <w:bodyDiv w:val="1"/>
      <w:marLeft w:val="0"/>
      <w:marRight w:val="0"/>
      <w:marTop w:val="0"/>
      <w:marBottom w:val="0"/>
      <w:divBdr>
        <w:top w:val="none" w:sz="0" w:space="0" w:color="auto"/>
        <w:left w:val="none" w:sz="0" w:space="0" w:color="auto"/>
        <w:bottom w:val="none" w:sz="0" w:space="0" w:color="auto"/>
        <w:right w:val="none" w:sz="0" w:space="0" w:color="auto"/>
      </w:divBdr>
    </w:div>
    <w:div w:id="954672827">
      <w:bodyDiv w:val="1"/>
      <w:marLeft w:val="0"/>
      <w:marRight w:val="0"/>
      <w:marTop w:val="0"/>
      <w:marBottom w:val="0"/>
      <w:divBdr>
        <w:top w:val="none" w:sz="0" w:space="0" w:color="auto"/>
        <w:left w:val="none" w:sz="0" w:space="0" w:color="auto"/>
        <w:bottom w:val="none" w:sz="0" w:space="0" w:color="auto"/>
        <w:right w:val="none" w:sz="0" w:space="0" w:color="auto"/>
      </w:divBdr>
    </w:div>
    <w:div w:id="955721042">
      <w:bodyDiv w:val="1"/>
      <w:marLeft w:val="0"/>
      <w:marRight w:val="0"/>
      <w:marTop w:val="0"/>
      <w:marBottom w:val="0"/>
      <w:divBdr>
        <w:top w:val="none" w:sz="0" w:space="0" w:color="auto"/>
        <w:left w:val="none" w:sz="0" w:space="0" w:color="auto"/>
        <w:bottom w:val="none" w:sz="0" w:space="0" w:color="auto"/>
        <w:right w:val="none" w:sz="0" w:space="0" w:color="auto"/>
      </w:divBdr>
    </w:div>
    <w:div w:id="957103506">
      <w:bodyDiv w:val="1"/>
      <w:marLeft w:val="0"/>
      <w:marRight w:val="0"/>
      <w:marTop w:val="0"/>
      <w:marBottom w:val="0"/>
      <w:divBdr>
        <w:top w:val="none" w:sz="0" w:space="0" w:color="auto"/>
        <w:left w:val="none" w:sz="0" w:space="0" w:color="auto"/>
        <w:bottom w:val="none" w:sz="0" w:space="0" w:color="auto"/>
        <w:right w:val="none" w:sz="0" w:space="0" w:color="auto"/>
      </w:divBdr>
    </w:div>
    <w:div w:id="957178286">
      <w:bodyDiv w:val="1"/>
      <w:marLeft w:val="0"/>
      <w:marRight w:val="0"/>
      <w:marTop w:val="0"/>
      <w:marBottom w:val="0"/>
      <w:divBdr>
        <w:top w:val="none" w:sz="0" w:space="0" w:color="auto"/>
        <w:left w:val="none" w:sz="0" w:space="0" w:color="auto"/>
        <w:bottom w:val="none" w:sz="0" w:space="0" w:color="auto"/>
        <w:right w:val="none" w:sz="0" w:space="0" w:color="auto"/>
      </w:divBdr>
    </w:div>
    <w:div w:id="957839088">
      <w:bodyDiv w:val="1"/>
      <w:marLeft w:val="0"/>
      <w:marRight w:val="0"/>
      <w:marTop w:val="0"/>
      <w:marBottom w:val="0"/>
      <w:divBdr>
        <w:top w:val="none" w:sz="0" w:space="0" w:color="auto"/>
        <w:left w:val="none" w:sz="0" w:space="0" w:color="auto"/>
        <w:bottom w:val="none" w:sz="0" w:space="0" w:color="auto"/>
        <w:right w:val="none" w:sz="0" w:space="0" w:color="auto"/>
      </w:divBdr>
    </w:div>
    <w:div w:id="958416113">
      <w:bodyDiv w:val="1"/>
      <w:marLeft w:val="0"/>
      <w:marRight w:val="0"/>
      <w:marTop w:val="0"/>
      <w:marBottom w:val="0"/>
      <w:divBdr>
        <w:top w:val="none" w:sz="0" w:space="0" w:color="auto"/>
        <w:left w:val="none" w:sz="0" w:space="0" w:color="auto"/>
        <w:bottom w:val="none" w:sz="0" w:space="0" w:color="auto"/>
        <w:right w:val="none" w:sz="0" w:space="0" w:color="auto"/>
      </w:divBdr>
    </w:div>
    <w:div w:id="968434165">
      <w:bodyDiv w:val="1"/>
      <w:marLeft w:val="0"/>
      <w:marRight w:val="0"/>
      <w:marTop w:val="0"/>
      <w:marBottom w:val="0"/>
      <w:divBdr>
        <w:top w:val="none" w:sz="0" w:space="0" w:color="auto"/>
        <w:left w:val="none" w:sz="0" w:space="0" w:color="auto"/>
        <w:bottom w:val="none" w:sz="0" w:space="0" w:color="auto"/>
        <w:right w:val="none" w:sz="0" w:space="0" w:color="auto"/>
      </w:divBdr>
    </w:div>
    <w:div w:id="971180025">
      <w:bodyDiv w:val="1"/>
      <w:marLeft w:val="0"/>
      <w:marRight w:val="0"/>
      <w:marTop w:val="0"/>
      <w:marBottom w:val="0"/>
      <w:divBdr>
        <w:top w:val="none" w:sz="0" w:space="0" w:color="auto"/>
        <w:left w:val="none" w:sz="0" w:space="0" w:color="auto"/>
        <w:bottom w:val="none" w:sz="0" w:space="0" w:color="auto"/>
        <w:right w:val="none" w:sz="0" w:space="0" w:color="auto"/>
      </w:divBdr>
    </w:div>
    <w:div w:id="976225134">
      <w:bodyDiv w:val="1"/>
      <w:marLeft w:val="0"/>
      <w:marRight w:val="0"/>
      <w:marTop w:val="0"/>
      <w:marBottom w:val="0"/>
      <w:divBdr>
        <w:top w:val="none" w:sz="0" w:space="0" w:color="auto"/>
        <w:left w:val="none" w:sz="0" w:space="0" w:color="auto"/>
        <w:bottom w:val="none" w:sz="0" w:space="0" w:color="auto"/>
        <w:right w:val="none" w:sz="0" w:space="0" w:color="auto"/>
      </w:divBdr>
    </w:div>
    <w:div w:id="980158470">
      <w:bodyDiv w:val="1"/>
      <w:marLeft w:val="0"/>
      <w:marRight w:val="0"/>
      <w:marTop w:val="0"/>
      <w:marBottom w:val="0"/>
      <w:divBdr>
        <w:top w:val="none" w:sz="0" w:space="0" w:color="auto"/>
        <w:left w:val="none" w:sz="0" w:space="0" w:color="auto"/>
        <w:bottom w:val="none" w:sz="0" w:space="0" w:color="auto"/>
        <w:right w:val="none" w:sz="0" w:space="0" w:color="auto"/>
      </w:divBdr>
    </w:div>
    <w:div w:id="983391256">
      <w:bodyDiv w:val="1"/>
      <w:marLeft w:val="0"/>
      <w:marRight w:val="0"/>
      <w:marTop w:val="0"/>
      <w:marBottom w:val="0"/>
      <w:divBdr>
        <w:top w:val="none" w:sz="0" w:space="0" w:color="auto"/>
        <w:left w:val="none" w:sz="0" w:space="0" w:color="auto"/>
        <w:bottom w:val="none" w:sz="0" w:space="0" w:color="auto"/>
        <w:right w:val="none" w:sz="0" w:space="0" w:color="auto"/>
      </w:divBdr>
    </w:div>
    <w:div w:id="983855979">
      <w:bodyDiv w:val="1"/>
      <w:marLeft w:val="0"/>
      <w:marRight w:val="0"/>
      <w:marTop w:val="0"/>
      <w:marBottom w:val="0"/>
      <w:divBdr>
        <w:top w:val="none" w:sz="0" w:space="0" w:color="auto"/>
        <w:left w:val="none" w:sz="0" w:space="0" w:color="auto"/>
        <w:bottom w:val="none" w:sz="0" w:space="0" w:color="auto"/>
        <w:right w:val="none" w:sz="0" w:space="0" w:color="auto"/>
      </w:divBdr>
    </w:div>
    <w:div w:id="987052606">
      <w:bodyDiv w:val="1"/>
      <w:marLeft w:val="0"/>
      <w:marRight w:val="0"/>
      <w:marTop w:val="0"/>
      <w:marBottom w:val="0"/>
      <w:divBdr>
        <w:top w:val="none" w:sz="0" w:space="0" w:color="auto"/>
        <w:left w:val="none" w:sz="0" w:space="0" w:color="auto"/>
        <w:bottom w:val="none" w:sz="0" w:space="0" w:color="auto"/>
        <w:right w:val="none" w:sz="0" w:space="0" w:color="auto"/>
      </w:divBdr>
    </w:div>
    <w:div w:id="992029134">
      <w:bodyDiv w:val="1"/>
      <w:marLeft w:val="0"/>
      <w:marRight w:val="0"/>
      <w:marTop w:val="0"/>
      <w:marBottom w:val="0"/>
      <w:divBdr>
        <w:top w:val="none" w:sz="0" w:space="0" w:color="auto"/>
        <w:left w:val="none" w:sz="0" w:space="0" w:color="auto"/>
        <w:bottom w:val="none" w:sz="0" w:space="0" w:color="auto"/>
        <w:right w:val="none" w:sz="0" w:space="0" w:color="auto"/>
      </w:divBdr>
    </w:div>
    <w:div w:id="993067714">
      <w:bodyDiv w:val="1"/>
      <w:marLeft w:val="0"/>
      <w:marRight w:val="0"/>
      <w:marTop w:val="0"/>
      <w:marBottom w:val="0"/>
      <w:divBdr>
        <w:top w:val="none" w:sz="0" w:space="0" w:color="auto"/>
        <w:left w:val="none" w:sz="0" w:space="0" w:color="auto"/>
        <w:bottom w:val="none" w:sz="0" w:space="0" w:color="auto"/>
        <w:right w:val="none" w:sz="0" w:space="0" w:color="auto"/>
      </w:divBdr>
    </w:div>
    <w:div w:id="994726046">
      <w:bodyDiv w:val="1"/>
      <w:marLeft w:val="0"/>
      <w:marRight w:val="0"/>
      <w:marTop w:val="0"/>
      <w:marBottom w:val="0"/>
      <w:divBdr>
        <w:top w:val="none" w:sz="0" w:space="0" w:color="auto"/>
        <w:left w:val="none" w:sz="0" w:space="0" w:color="auto"/>
        <w:bottom w:val="none" w:sz="0" w:space="0" w:color="auto"/>
        <w:right w:val="none" w:sz="0" w:space="0" w:color="auto"/>
      </w:divBdr>
    </w:div>
    <w:div w:id="996761285">
      <w:bodyDiv w:val="1"/>
      <w:marLeft w:val="0"/>
      <w:marRight w:val="0"/>
      <w:marTop w:val="0"/>
      <w:marBottom w:val="0"/>
      <w:divBdr>
        <w:top w:val="none" w:sz="0" w:space="0" w:color="auto"/>
        <w:left w:val="none" w:sz="0" w:space="0" w:color="auto"/>
        <w:bottom w:val="none" w:sz="0" w:space="0" w:color="auto"/>
        <w:right w:val="none" w:sz="0" w:space="0" w:color="auto"/>
      </w:divBdr>
    </w:div>
    <w:div w:id="997610557">
      <w:bodyDiv w:val="1"/>
      <w:marLeft w:val="0"/>
      <w:marRight w:val="0"/>
      <w:marTop w:val="0"/>
      <w:marBottom w:val="0"/>
      <w:divBdr>
        <w:top w:val="none" w:sz="0" w:space="0" w:color="auto"/>
        <w:left w:val="none" w:sz="0" w:space="0" w:color="auto"/>
        <w:bottom w:val="none" w:sz="0" w:space="0" w:color="auto"/>
        <w:right w:val="none" w:sz="0" w:space="0" w:color="auto"/>
      </w:divBdr>
    </w:div>
    <w:div w:id="999308708">
      <w:bodyDiv w:val="1"/>
      <w:marLeft w:val="0"/>
      <w:marRight w:val="0"/>
      <w:marTop w:val="0"/>
      <w:marBottom w:val="0"/>
      <w:divBdr>
        <w:top w:val="none" w:sz="0" w:space="0" w:color="auto"/>
        <w:left w:val="none" w:sz="0" w:space="0" w:color="auto"/>
        <w:bottom w:val="none" w:sz="0" w:space="0" w:color="auto"/>
        <w:right w:val="none" w:sz="0" w:space="0" w:color="auto"/>
      </w:divBdr>
    </w:div>
    <w:div w:id="1000810143">
      <w:bodyDiv w:val="1"/>
      <w:marLeft w:val="0"/>
      <w:marRight w:val="0"/>
      <w:marTop w:val="0"/>
      <w:marBottom w:val="0"/>
      <w:divBdr>
        <w:top w:val="none" w:sz="0" w:space="0" w:color="auto"/>
        <w:left w:val="none" w:sz="0" w:space="0" w:color="auto"/>
        <w:bottom w:val="none" w:sz="0" w:space="0" w:color="auto"/>
        <w:right w:val="none" w:sz="0" w:space="0" w:color="auto"/>
      </w:divBdr>
    </w:div>
    <w:div w:id="1001355610">
      <w:bodyDiv w:val="1"/>
      <w:marLeft w:val="0"/>
      <w:marRight w:val="0"/>
      <w:marTop w:val="0"/>
      <w:marBottom w:val="0"/>
      <w:divBdr>
        <w:top w:val="none" w:sz="0" w:space="0" w:color="auto"/>
        <w:left w:val="none" w:sz="0" w:space="0" w:color="auto"/>
        <w:bottom w:val="none" w:sz="0" w:space="0" w:color="auto"/>
        <w:right w:val="none" w:sz="0" w:space="0" w:color="auto"/>
      </w:divBdr>
    </w:div>
    <w:div w:id="1001853746">
      <w:bodyDiv w:val="1"/>
      <w:marLeft w:val="0"/>
      <w:marRight w:val="0"/>
      <w:marTop w:val="0"/>
      <w:marBottom w:val="0"/>
      <w:divBdr>
        <w:top w:val="none" w:sz="0" w:space="0" w:color="auto"/>
        <w:left w:val="none" w:sz="0" w:space="0" w:color="auto"/>
        <w:bottom w:val="none" w:sz="0" w:space="0" w:color="auto"/>
        <w:right w:val="none" w:sz="0" w:space="0" w:color="auto"/>
      </w:divBdr>
    </w:div>
    <w:div w:id="1003552881">
      <w:bodyDiv w:val="1"/>
      <w:marLeft w:val="0"/>
      <w:marRight w:val="0"/>
      <w:marTop w:val="0"/>
      <w:marBottom w:val="0"/>
      <w:divBdr>
        <w:top w:val="none" w:sz="0" w:space="0" w:color="auto"/>
        <w:left w:val="none" w:sz="0" w:space="0" w:color="auto"/>
        <w:bottom w:val="none" w:sz="0" w:space="0" w:color="auto"/>
        <w:right w:val="none" w:sz="0" w:space="0" w:color="auto"/>
      </w:divBdr>
    </w:div>
    <w:div w:id="1003778148">
      <w:bodyDiv w:val="1"/>
      <w:marLeft w:val="0"/>
      <w:marRight w:val="0"/>
      <w:marTop w:val="0"/>
      <w:marBottom w:val="0"/>
      <w:divBdr>
        <w:top w:val="none" w:sz="0" w:space="0" w:color="auto"/>
        <w:left w:val="none" w:sz="0" w:space="0" w:color="auto"/>
        <w:bottom w:val="none" w:sz="0" w:space="0" w:color="auto"/>
        <w:right w:val="none" w:sz="0" w:space="0" w:color="auto"/>
      </w:divBdr>
    </w:div>
    <w:div w:id="1010526258">
      <w:bodyDiv w:val="1"/>
      <w:marLeft w:val="0"/>
      <w:marRight w:val="0"/>
      <w:marTop w:val="0"/>
      <w:marBottom w:val="0"/>
      <w:divBdr>
        <w:top w:val="none" w:sz="0" w:space="0" w:color="auto"/>
        <w:left w:val="none" w:sz="0" w:space="0" w:color="auto"/>
        <w:bottom w:val="none" w:sz="0" w:space="0" w:color="auto"/>
        <w:right w:val="none" w:sz="0" w:space="0" w:color="auto"/>
      </w:divBdr>
    </w:div>
    <w:div w:id="1014840735">
      <w:bodyDiv w:val="1"/>
      <w:marLeft w:val="0"/>
      <w:marRight w:val="0"/>
      <w:marTop w:val="0"/>
      <w:marBottom w:val="0"/>
      <w:divBdr>
        <w:top w:val="none" w:sz="0" w:space="0" w:color="auto"/>
        <w:left w:val="none" w:sz="0" w:space="0" w:color="auto"/>
        <w:bottom w:val="none" w:sz="0" w:space="0" w:color="auto"/>
        <w:right w:val="none" w:sz="0" w:space="0" w:color="auto"/>
      </w:divBdr>
    </w:div>
    <w:div w:id="1019313964">
      <w:bodyDiv w:val="1"/>
      <w:marLeft w:val="0"/>
      <w:marRight w:val="0"/>
      <w:marTop w:val="0"/>
      <w:marBottom w:val="0"/>
      <w:divBdr>
        <w:top w:val="none" w:sz="0" w:space="0" w:color="auto"/>
        <w:left w:val="none" w:sz="0" w:space="0" w:color="auto"/>
        <w:bottom w:val="none" w:sz="0" w:space="0" w:color="auto"/>
        <w:right w:val="none" w:sz="0" w:space="0" w:color="auto"/>
      </w:divBdr>
    </w:div>
    <w:div w:id="1022048327">
      <w:bodyDiv w:val="1"/>
      <w:marLeft w:val="0"/>
      <w:marRight w:val="0"/>
      <w:marTop w:val="0"/>
      <w:marBottom w:val="0"/>
      <w:divBdr>
        <w:top w:val="none" w:sz="0" w:space="0" w:color="auto"/>
        <w:left w:val="none" w:sz="0" w:space="0" w:color="auto"/>
        <w:bottom w:val="none" w:sz="0" w:space="0" w:color="auto"/>
        <w:right w:val="none" w:sz="0" w:space="0" w:color="auto"/>
      </w:divBdr>
    </w:div>
    <w:div w:id="1024399728">
      <w:bodyDiv w:val="1"/>
      <w:marLeft w:val="0"/>
      <w:marRight w:val="0"/>
      <w:marTop w:val="0"/>
      <w:marBottom w:val="0"/>
      <w:divBdr>
        <w:top w:val="none" w:sz="0" w:space="0" w:color="auto"/>
        <w:left w:val="none" w:sz="0" w:space="0" w:color="auto"/>
        <w:bottom w:val="none" w:sz="0" w:space="0" w:color="auto"/>
        <w:right w:val="none" w:sz="0" w:space="0" w:color="auto"/>
      </w:divBdr>
    </w:div>
    <w:div w:id="1027751346">
      <w:bodyDiv w:val="1"/>
      <w:marLeft w:val="0"/>
      <w:marRight w:val="0"/>
      <w:marTop w:val="0"/>
      <w:marBottom w:val="0"/>
      <w:divBdr>
        <w:top w:val="none" w:sz="0" w:space="0" w:color="auto"/>
        <w:left w:val="none" w:sz="0" w:space="0" w:color="auto"/>
        <w:bottom w:val="none" w:sz="0" w:space="0" w:color="auto"/>
        <w:right w:val="none" w:sz="0" w:space="0" w:color="auto"/>
      </w:divBdr>
    </w:div>
    <w:div w:id="1028025073">
      <w:bodyDiv w:val="1"/>
      <w:marLeft w:val="0"/>
      <w:marRight w:val="0"/>
      <w:marTop w:val="0"/>
      <w:marBottom w:val="0"/>
      <w:divBdr>
        <w:top w:val="none" w:sz="0" w:space="0" w:color="auto"/>
        <w:left w:val="none" w:sz="0" w:space="0" w:color="auto"/>
        <w:bottom w:val="none" w:sz="0" w:space="0" w:color="auto"/>
        <w:right w:val="none" w:sz="0" w:space="0" w:color="auto"/>
      </w:divBdr>
    </w:div>
    <w:div w:id="1029070128">
      <w:bodyDiv w:val="1"/>
      <w:marLeft w:val="0"/>
      <w:marRight w:val="0"/>
      <w:marTop w:val="0"/>
      <w:marBottom w:val="0"/>
      <w:divBdr>
        <w:top w:val="none" w:sz="0" w:space="0" w:color="auto"/>
        <w:left w:val="none" w:sz="0" w:space="0" w:color="auto"/>
        <w:bottom w:val="none" w:sz="0" w:space="0" w:color="auto"/>
        <w:right w:val="none" w:sz="0" w:space="0" w:color="auto"/>
      </w:divBdr>
    </w:div>
    <w:div w:id="1032153825">
      <w:bodyDiv w:val="1"/>
      <w:marLeft w:val="0"/>
      <w:marRight w:val="0"/>
      <w:marTop w:val="0"/>
      <w:marBottom w:val="0"/>
      <w:divBdr>
        <w:top w:val="none" w:sz="0" w:space="0" w:color="auto"/>
        <w:left w:val="none" w:sz="0" w:space="0" w:color="auto"/>
        <w:bottom w:val="none" w:sz="0" w:space="0" w:color="auto"/>
        <w:right w:val="none" w:sz="0" w:space="0" w:color="auto"/>
      </w:divBdr>
    </w:div>
    <w:div w:id="1035891940">
      <w:bodyDiv w:val="1"/>
      <w:marLeft w:val="0"/>
      <w:marRight w:val="0"/>
      <w:marTop w:val="0"/>
      <w:marBottom w:val="0"/>
      <w:divBdr>
        <w:top w:val="none" w:sz="0" w:space="0" w:color="auto"/>
        <w:left w:val="none" w:sz="0" w:space="0" w:color="auto"/>
        <w:bottom w:val="none" w:sz="0" w:space="0" w:color="auto"/>
        <w:right w:val="none" w:sz="0" w:space="0" w:color="auto"/>
      </w:divBdr>
    </w:div>
    <w:div w:id="1036200032">
      <w:bodyDiv w:val="1"/>
      <w:marLeft w:val="0"/>
      <w:marRight w:val="0"/>
      <w:marTop w:val="0"/>
      <w:marBottom w:val="0"/>
      <w:divBdr>
        <w:top w:val="none" w:sz="0" w:space="0" w:color="auto"/>
        <w:left w:val="none" w:sz="0" w:space="0" w:color="auto"/>
        <w:bottom w:val="none" w:sz="0" w:space="0" w:color="auto"/>
        <w:right w:val="none" w:sz="0" w:space="0" w:color="auto"/>
      </w:divBdr>
    </w:div>
    <w:div w:id="1036269798">
      <w:bodyDiv w:val="1"/>
      <w:marLeft w:val="0"/>
      <w:marRight w:val="0"/>
      <w:marTop w:val="0"/>
      <w:marBottom w:val="0"/>
      <w:divBdr>
        <w:top w:val="none" w:sz="0" w:space="0" w:color="auto"/>
        <w:left w:val="none" w:sz="0" w:space="0" w:color="auto"/>
        <w:bottom w:val="none" w:sz="0" w:space="0" w:color="auto"/>
        <w:right w:val="none" w:sz="0" w:space="0" w:color="auto"/>
      </w:divBdr>
    </w:div>
    <w:div w:id="1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113134565">
          <w:marLeft w:val="0"/>
          <w:marRight w:val="0"/>
          <w:marTop w:val="0"/>
          <w:marBottom w:val="0"/>
          <w:divBdr>
            <w:top w:val="none" w:sz="0" w:space="0" w:color="auto"/>
            <w:left w:val="none" w:sz="0" w:space="0" w:color="auto"/>
            <w:bottom w:val="none" w:sz="0" w:space="0" w:color="auto"/>
            <w:right w:val="none" w:sz="0" w:space="0" w:color="auto"/>
          </w:divBdr>
          <w:divsChild>
            <w:div w:id="2028867679">
              <w:marLeft w:val="0"/>
              <w:marRight w:val="0"/>
              <w:marTop w:val="0"/>
              <w:marBottom w:val="0"/>
              <w:divBdr>
                <w:top w:val="none" w:sz="0" w:space="0" w:color="auto"/>
                <w:left w:val="none" w:sz="0" w:space="0" w:color="auto"/>
                <w:bottom w:val="none" w:sz="0" w:space="0" w:color="auto"/>
                <w:right w:val="none" w:sz="0" w:space="0" w:color="auto"/>
              </w:divBdr>
              <w:divsChild>
                <w:div w:id="19869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6312">
      <w:bodyDiv w:val="1"/>
      <w:marLeft w:val="0"/>
      <w:marRight w:val="0"/>
      <w:marTop w:val="0"/>
      <w:marBottom w:val="0"/>
      <w:divBdr>
        <w:top w:val="none" w:sz="0" w:space="0" w:color="auto"/>
        <w:left w:val="none" w:sz="0" w:space="0" w:color="auto"/>
        <w:bottom w:val="none" w:sz="0" w:space="0" w:color="auto"/>
        <w:right w:val="none" w:sz="0" w:space="0" w:color="auto"/>
      </w:divBdr>
    </w:div>
    <w:div w:id="1044213759">
      <w:bodyDiv w:val="1"/>
      <w:marLeft w:val="0"/>
      <w:marRight w:val="0"/>
      <w:marTop w:val="0"/>
      <w:marBottom w:val="0"/>
      <w:divBdr>
        <w:top w:val="none" w:sz="0" w:space="0" w:color="auto"/>
        <w:left w:val="none" w:sz="0" w:space="0" w:color="auto"/>
        <w:bottom w:val="none" w:sz="0" w:space="0" w:color="auto"/>
        <w:right w:val="none" w:sz="0" w:space="0" w:color="auto"/>
      </w:divBdr>
    </w:div>
    <w:div w:id="1044718605">
      <w:bodyDiv w:val="1"/>
      <w:marLeft w:val="0"/>
      <w:marRight w:val="0"/>
      <w:marTop w:val="0"/>
      <w:marBottom w:val="0"/>
      <w:divBdr>
        <w:top w:val="none" w:sz="0" w:space="0" w:color="auto"/>
        <w:left w:val="none" w:sz="0" w:space="0" w:color="auto"/>
        <w:bottom w:val="none" w:sz="0" w:space="0" w:color="auto"/>
        <w:right w:val="none" w:sz="0" w:space="0" w:color="auto"/>
      </w:divBdr>
      <w:divsChild>
        <w:div w:id="146895388">
          <w:marLeft w:val="0"/>
          <w:marRight w:val="0"/>
          <w:marTop w:val="0"/>
          <w:marBottom w:val="0"/>
          <w:divBdr>
            <w:top w:val="none" w:sz="0" w:space="0" w:color="auto"/>
            <w:left w:val="none" w:sz="0" w:space="0" w:color="auto"/>
            <w:bottom w:val="none" w:sz="0" w:space="0" w:color="auto"/>
            <w:right w:val="none" w:sz="0" w:space="0" w:color="auto"/>
          </w:divBdr>
          <w:divsChild>
            <w:div w:id="1418820944">
              <w:marLeft w:val="0"/>
              <w:marRight w:val="0"/>
              <w:marTop w:val="0"/>
              <w:marBottom w:val="0"/>
              <w:divBdr>
                <w:top w:val="none" w:sz="0" w:space="0" w:color="auto"/>
                <w:left w:val="none" w:sz="0" w:space="0" w:color="auto"/>
                <w:bottom w:val="none" w:sz="0" w:space="0" w:color="auto"/>
                <w:right w:val="none" w:sz="0" w:space="0" w:color="auto"/>
              </w:divBdr>
              <w:divsChild>
                <w:div w:id="16792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715">
      <w:bodyDiv w:val="1"/>
      <w:marLeft w:val="0"/>
      <w:marRight w:val="0"/>
      <w:marTop w:val="0"/>
      <w:marBottom w:val="0"/>
      <w:divBdr>
        <w:top w:val="none" w:sz="0" w:space="0" w:color="auto"/>
        <w:left w:val="none" w:sz="0" w:space="0" w:color="auto"/>
        <w:bottom w:val="none" w:sz="0" w:space="0" w:color="auto"/>
        <w:right w:val="none" w:sz="0" w:space="0" w:color="auto"/>
      </w:divBdr>
    </w:div>
    <w:div w:id="1048996421">
      <w:bodyDiv w:val="1"/>
      <w:marLeft w:val="0"/>
      <w:marRight w:val="0"/>
      <w:marTop w:val="0"/>
      <w:marBottom w:val="0"/>
      <w:divBdr>
        <w:top w:val="none" w:sz="0" w:space="0" w:color="auto"/>
        <w:left w:val="none" w:sz="0" w:space="0" w:color="auto"/>
        <w:bottom w:val="none" w:sz="0" w:space="0" w:color="auto"/>
        <w:right w:val="none" w:sz="0" w:space="0" w:color="auto"/>
      </w:divBdr>
    </w:div>
    <w:div w:id="1049305905">
      <w:bodyDiv w:val="1"/>
      <w:marLeft w:val="0"/>
      <w:marRight w:val="0"/>
      <w:marTop w:val="0"/>
      <w:marBottom w:val="0"/>
      <w:divBdr>
        <w:top w:val="none" w:sz="0" w:space="0" w:color="auto"/>
        <w:left w:val="none" w:sz="0" w:space="0" w:color="auto"/>
        <w:bottom w:val="none" w:sz="0" w:space="0" w:color="auto"/>
        <w:right w:val="none" w:sz="0" w:space="0" w:color="auto"/>
      </w:divBdr>
    </w:div>
    <w:div w:id="1050424433">
      <w:bodyDiv w:val="1"/>
      <w:marLeft w:val="0"/>
      <w:marRight w:val="0"/>
      <w:marTop w:val="0"/>
      <w:marBottom w:val="0"/>
      <w:divBdr>
        <w:top w:val="none" w:sz="0" w:space="0" w:color="auto"/>
        <w:left w:val="none" w:sz="0" w:space="0" w:color="auto"/>
        <w:bottom w:val="none" w:sz="0" w:space="0" w:color="auto"/>
        <w:right w:val="none" w:sz="0" w:space="0" w:color="auto"/>
      </w:divBdr>
    </w:div>
    <w:div w:id="1051656840">
      <w:bodyDiv w:val="1"/>
      <w:marLeft w:val="0"/>
      <w:marRight w:val="0"/>
      <w:marTop w:val="0"/>
      <w:marBottom w:val="0"/>
      <w:divBdr>
        <w:top w:val="none" w:sz="0" w:space="0" w:color="auto"/>
        <w:left w:val="none" w:sz="0" w:space="0" w:color="auto"/>
        <w:bottom w:val="none" w:sz="0" w:space="0" w:color="auto"/>
        <w:right w:val="none" w:sz="0" w:space="0" w:color="auto"/>
      </w:divBdr>
    </w:div>
    <w:div w:id="1053163748">
      <w:bodyDiv w:val="1"/>
      <w:marLeft w:val="0"/>
      <w:marRight w:val="0"/>
      <w:marTop w:val="0"/>
      <w:marBottom w:val="0"/>
      <w:divBdr>
        <w:top w:val="none" w:sz="0" w:space="0" w:color="auto"/>
        <w:left w:val="none" w:sz="0" w:space="0" w:color="auto"/>
        <w:bottom w:val="none" w:sz="0" w:space="0" w:color="auto"/>
        <w:right w:val="none" w:sz="0" w:space="0" w:color="auto"/>
      </w:divBdr>
    </w:div>
    <w:div w:id="1053235762">
      <w:bodyDiv w:val="1"/>
      <w:marLeft w:val="0"/>
      <w:marRight w:val="0"/>
      <w:marTop w:val="0"/>
      <w:marBottom w:val="0"/>
      <w:divBdr>
        <w:top w:val="none" w:sz="0" w:space="0" w:color="auto"/>
        <w:left w:val="none" w:sz="0" w:space="0" w:color="auto"/>
        <w:bottom w:val="none" w:sz="0" w:space="0" w:color="auto"/>
        <w:right w:val="none" w:sz="0" w:space="0" w:color="auto"/>
      </w:divBdr>
    </w:div>
    <w:div w:id="1069117451">
      <w:bodyDiv w:val="1"/>
      <w:marLeft w:val="0"/>
      <w:marRight w:val="0"/>
      <w:marTop w:val="0"/>
      <w:marBottom w:val="0"/>
      <w:divBdr>
        <w:top w:val="none" w:sz="0" w:space="0" w:color="auto"/>
        <w:left w:val="none" w:sz="0" w:space="0" w:color="auto"/>
        <w:bottom w:val="none" w:sz="0" w:space="0" w:color="auto"/>
        <w:right w:val="none" w:sz="0" w:space="0" w:color="auto"/>
      </w:divBdr>
    </w:div>
    <w:div w:id="1071269588">
      <w:bodyDiv w:val="1"/>
      <w:marLeft w:val="0"/>
      <w:marRight w:val="0"/>
      <w:marTop w:val="0"/>
      <w:marBottom w:val="0"/>
      <w:divBdr>
        <w:top w:val="none" w:sz="0" w:space="0" w:color="auto"/>
        <w:left w:val="none" w:sz="0" w:space="0" w:color="auto"/>
        <w:bottom w:val="none" w:sz="0" w:space="0" w:color="auto"/>
        <w:right w:val="none" w:sz="0" w:space="0" w:color="auto"/>
      </w:divBdr>
    </w:div>
    <w:div w:id="1073315696">
      <w:bodyDiv w:val="1"/>
      <w:marLeft w:val="0"/>
      <w:marRight w:val="0"/>
      <w:marTop w:val="0"/>
      <w:marBottom w:val="0"/>
      <w:divBdr>
        <w:top w:val="none" w:sz="0" w:space="0" w:color="auto"/>
        <w:left w:val="none" w:sz="0" w:space="0" w:color="auto"/>
        <w:bottom w:val="none" w:sz="0" w:space="0" w:color="auto"/>
        <w:right w:val="none" w:sz="0" w:space="0" w:color="auto"/>
      </w:divBdr>
    </w:div>
    <w:div w:id="1076517106">
      <w:bodyDiv w:val="1"/>
      <w:marLeft w:val="0"/>
      <w:marRight w:val="0"/>
      <w:marTop w:val="0"/>
      <w:marBottom w:val="0"/>
      <w:divBdr>
        <w:top w:val="none" w:sz="0" w:space="0" w:color="auto"/>
        <w:left w:val="none" w:sz="0" w:space="0" w:color="auto"/>
        <w:bottom w:val="none" w:sz="0" w:space="0" w:color="auto"/>
        <w:right w:val="none" w:sz="0" w:space="0" w:color="auto"/>
      </w:divBdr>
    </w:div>
    <w:div w:id="1076779005">
      <w:bodyDiv w:val="1"/>
      <w:marLeft w:val="0"/>
      <w:marRight w:val="0"/>
      <w:marTop w:val="0"/>
      <w:marBottom w:val="0"/>
      <w:divBdr>
        <w:top w:val="none" w:sz="0" w:space="0" w:color="auto"/>
        <w:left w:val="none" w:sz="0" w:space="0" w:color="auto"/>
        <w:bottom w:val="none" w:sz="0" w:space="0" w:color="auto"/>
        <w:right w:val="none" w:sz="0" w:space="0" w:color="auto"/>
      </w:divBdr>
    </w:div>
    <w:div w:id="1078599417">
      <w:bodyDiv w:val="1"/>
      <w:marLeft w:val="0"/>
      <w:marRight w:val="0"/>
      <w:marTop w:val="0"/>
      <w:marBottom w:val="0"/>
      <w:divBdr>
        <w:top w:val="none" w:sz="0" w:space="0" w:color="auto"/>
        <w:left w:val="none" w:sz="0" w:space="0" w:color="auto"/>
        <w:bottom w:val="none" w:sz="0" w:space="0" w:color="auto"/>
        <w:right w:val="none" w:sz="0" w:space="0" w:color="auto"/>
      </w:divBdr>
    </w:div>
    <w:div w:id="1087193437">
      <w:bodyDiv w:val="1"/>
      <w:marLeft w:val="0"/>
      <w:marRight w:val="0"/>
      <w:marTop w:val="0"/>
      <w:marBottom w:val="0"/>
      <w:divBdr>
        <w:top w:val="none" w:sz="0" w:space="0" w:color="auto"/>
        <w:left w:val="none" w:sz="0" w:space="0" w:color="auto"/>
        <w:bottom w:val="none" w:sz="0" w:space="0" w:color="auto"/>
        <w:right w:val="none" w:sz="0" w:space="0" w:color="auto"/>
      </w:divBdr>
    </w:div>
    <w:div w:id="1091896630">
      <w:bodyDiv w:val="1"/>
      <w:marLeft w:val="0"/>
      <w:marRight w:val="0"/>
      <w:marTop w:val="0"/>
      <w:marBottom w:val="0"/>
      <w:divBdr>
        <w:top w:val="none" w:sz="0" w:space="0" w:color="auto"/>
        <w:left w:val="none" w:sz="0" w:space="0" w:color="auto"/>
        <w:bottom w:val="none" w:sz="0" w:space="0" w:color="auto"/>
        <w:right w:val="none" w:sz="0" w:space="0" w:color="auto"/>
      </w:divBdr>
    </w:div>
    <w:div w:id="1092511091">
      <w:bodyDiv w:val="1"/>
      <w:marLeft w:val="0"/>
      <w:marRight w:val="0"/>
      <w:marTop w:val="0"/>
      <w:marBottom w:val="0"/>
      <w:divBdr>
        <w:top w:val="none" w:sz="0" w:space="0" w:color="auto"/>
        <w:left w:val="none" w:sz="0" w:space="0" w:color="auto"/>
        <w:bottom w:val="none" w:sz="0" w:space="0" w:color="auto"/>
        <w:right w:val="none" w:sz="0" w:space="0" w:color="auto"/>
      </w:divBdr>
    </w:div>
    <w:div w:id="1095202202">
      <w:bodyDiv w:val="1"/>
      <w:marLeft w:val="0"/>
      <w:marRight w:val="0"/>
      <w:marTop w:val="0"/>
      <w:marBottom w:val="0"/>
      <w:divBdr>
        <w:top w:val="none" w:sz="0" w:space="0" w:color="auto"/>
        <w:left w:val="none" w:sz="0" w:space="0" w:color="auto"/>
        <w:bottom w:val="none" w:sz="0" w:space="0" w:color="auto"/>
        <w:right w:val="none" w:sz="0" w:space="0" w:color="auto"/>
      </w:divBdr>
    </w:div>
    <w:div w:id="1097214740">
      <w:bodyDiv w:val="1"/>
      <w:marLeft w:val="0"/>
      <w:marRight w:val="0"/>
      <w:marTop w:val="0"/>
      <w:marBottom w:val="0"/>
      <w:divBdr>
        <w:top w:val="none" w:sz="0" w:space="0" w:color="auto"/>
        <w:left w:val="none" w:sz="0" w:space="0" w:color="auto"/>
        <w:bottom w:val="none" w:sz="0" w:space="0" w:color="auto"/>
        <w:right w:val="none" w:sz="0" w:space="0" w:color="auto"/>
      </w:divBdr>
    </w:div>
    <w:div w:id="1097826210">
      <w:bodyDiv w:val="1"/>
      <w:marLeft w:val="0"/>
      <w:marRight w:val="0"/>
      <w:marTop w:val="0"/>
      <w:marBottom w:val="0"/>
      <w:divBdr>
        <w:top w:val="none" w:sz="0" w:space="0" w:color="auto"/>
        <w:left w:val="none" w:sz="0" w:space="0" w:color="auto"/>
        <w:bottom w:val="none" w:sz="0" w:space="0" w:color="auto"/>
        <w:right w:val="none" w:sz="0" w:space="0" w:color="auto"/>
      </w:divBdr>
    </w:div>
    <w:div w:id="1102604985">
      <w:bodyDiv w:val="1"/>
      <w:marLeft w:val="0"/>
      <w:marRight w:val="0"/>
      <w:marTop w:val="0"/>
      <w:marBottom w:val="0"/>
      <w:divBdr>
        <w:top w:val="none" w:sz="0" w:space="0" w:color="auto"/>
        <w:left w:val="none" w:sz="0" w:space="0" w:color="auto"/>
        <w:bottom w:val="none" w:sz="0" w:space="0" w:color="auto"/>
        <w:right w:val="none" w:sz="0" w:space="0" w:color="auto"/>
      </w:divBdr>
    </w:div>
    <w:div w:id="1104037562">
      <w:bodyDiv w:val="1"/>
      <w:marLeft w:val="0"/>
      <w:marRight w:val="0"/>
      <w:marTop w:val="0"/>
      <w:marBottom w:val="0"/>
      <w:divBdr>
        <w:top w:val="none" w:sz="0" w:space="0" w:color="auto"/>
        <w:left w:val="none" w:sz="0" w:space="0" w:color="auto"/>
        <w:bottom w:val="none" w:sz="0" w:space="0" w:color="auto"/>
        <w:right w:val="none" w:sz="0" w:space="0" w:color="auto"/>
      </w:divBdr>
    </w:div>
    <w:div w:id="1105879405">
      <w:bodyDiv w:val="1"/>
      <w:marLeft w:val="0"/>
      <w:marRight w:val="0"/>
      <w:marTop w:val="0"/>
      <w:marBottom w:val="0"/>
      <w:divBdr>
        <w:top w:val="none" w:sz="0" w:space="0" w:color="auto"/>
        <w:left w:val="none" w:sz="0" w:space="0" w:color="auto"/>
        <w:bottom w:val="none" w:sz="0" w:space="0" w:color="auto"/>
        <w:right w:val="none" w:sz="0" w:space="0" w:color="auto"/>
      </w:divBdr>
    </w:div>
    <w:div w:id="1117331338">
      <w:bodyDiv w:val="1"/>
      <w:marLeft w:val="0"/>
      <w:marRight w:val="0"/>
      <w:marTop w:val="0"/>
      <w:marBottom w:val="0"/>
      <w:divBdr>
        <w:top w:val="none" w:sz="0" w:space="0" w:color="auto"/>
        <w:left w:val="none" w:sz="0" w:space="0" w:color="auto"/>
        <w:bottom w:val="none" w:sz="0" w:space="0" w:color="auto"/>
        <w:right w:val="none" w:sz="0" w:space="0" w:color="auto"/>
      </w:divBdr>
    </w:div>
    <w:div w:id="1119059774">
      <w:bodyDiv w:val="1"/>
      <w:marLeft w:val="0"/>
      <w:marRight w:val="0"/>
      <w:marTop w:val="0"/>
      <w:marBottom w:val="0"/>
      <w:divBdr>
        <w:top w:val="none" w:sz="0" w:space="0" w:color="auto"/>
        <w:left w:val="none" w:sz="0" w:space="0" w:color="auto"/>
        <w:bottom w:val="none" w:sz="0" w:space="0" w:color="auto"/>
        <w:right w:val="none" w:sz="0" w:space="0" w:color="auto"/>
      </w:divBdr>
    </w:div>
    <w:div w:id="1121462406">
      <w:bodyDiv w:val="1"/>
      <w:marLeft w:val="0"/>
      <w:marRight w:val="0"/>
      <w:marTop w:val="0"/>
      <w:marBottom w:val="0"/>
      <w:divBdr>
        <w:top w:val="none" w:sz="0" w:space="0" w:color="auto"/>
        <w:left w:val="none" w:sz="0" w:space="0" w:color="auto"/>
        <w:bottom w:val="none" w:sz="0" w:space="0" w:color="auto"/>
        <w:right w:val="none" w:sz="0" w:space="0" w:color="auto"/>
      </w:divBdr>
    </w:div>
    <w:div w:id="1122066776">
      <w:bodyDiv w:val="1"/>
      <w:marLeft w:val="0"/>
      <w:marRight w:val="0"/>
      <w:marTop w:val="0"/>
      <w:marBottom w:val="0"/>
      <w:divBdr>
        <w:top w:val="none" w:sz="0" w:space="0" w:color="auto"/>
        <w:left w:val="none" w:sz="0" w:space="0" w:color="auto"/>
        <w:bottom w:val="none" w:sz="0" w:space="0" w:color="auto"/>
        <w:right w:val="none" w:sz="0" w:space="0" w:color="auto"/>
      </w:divBdr>
    </w:div>
    <w:div w:id="1122919640">
      <w:bodyDiv w:val="1"/>
      <w:marLeft w:val="0"/>
      <w:marRight w:val="0"/>
      <w:marTop w:val="0"/>
      <w:marBottom w:val="0"/>
      <w:divBdr>
        <w:top w:val="none" w:sz="0" w:space="0" w:color="auto"/>
        <w:left w:val="none" w:sz="0" w:space="0" w:color="auto"/>
        <w:bottom w:val="none" w:sz="0" w:space="0" w:color="auto"/>
        <w:right w:val="none" w:sz="0" w:space="0" w:color="auto"/>
      </w:divBdr>
      <w:divsChild>
        <w:div w:id="820392678">
          <w:marLeft w:val="0"/>
          <w:marRight w:val="0"/>
          <w:marTop w:val="0"/>
          <w:marBottom w:val="0"/>
          <w:divBdr>
            <w:top w:val="none" w:sz="0" w:space="0" w:color="auto"/>
            <w:left w:val="none" w:sz="0" w:space="0" w:color="auto"/>
            <w:bottom w:val="none" w:sz="0" w:space="0" w:color="auto"/>
            <w:right w:val="none" w:sz="0" w:space="0" w:color="auto"/>
          </w:divBdr>
          <w:divsChild>
            <w:div w:id="588850493">
              <w:marLeft w:val="0"/>
              <w:marRight w:val="0"/>
              <w:marTop w:val="0"/>
              <w:marBottom w:val="0"/>
              <w:divBdr>
                <w:top w:val="none" w:sz="0" w:space="0" w:color="auto"/>
                <w:left w:val="none" w:sz="0" w:space="0" w:color="auto"/>
                <w:bottom w:val="none" w:sz="0" w:space="0" w:color="auto"/>
                <w:right w:val="none" w:sz="0" w:space="0" w:color="auto"/>
              </w:divBdr>
              <w:divsChild>
                <w:div w:id="809518846">
                  <w:marLeft w:val="0"/>
                  <w:marRight w:val="0"/>
                  <w:marTop w:val="0"/>
                  <w:marBottom w:val="0"/>
                  <w:divBdr>
                    <w:top w:val="none" w:sz="0" w:space="0" w:color="auto"/>
                    <w:left w:val="none" w:sz="0" w:space="0" w:color="auto"/>
                    <w:bottom w:val="none" w:sz="0" w:space="0" w:color="auto"/>
                    <w:right w:val="none" w:sz="0" w:space="0" w:color="auto"/>
                  </w:divBdr>
                  <w:divsChild>
                    <w:div w:id="20333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5720">
      <w:bodyDiv w:val="1"/>
      <w:marLeft w:val="0"/>
      <w:marRight w:val="0"/>
      <w:marTop w:val="0"/>
      <w:marBottom w:val="0"/>
      <w:divBdr>
        <w:top w:val="none" w:sz="0" w:space="0" w:color="auto"/>
        <w:left w:val="none" w:sz="0" w:space="0" w:color="auto"/>
        <w:bottom w:val="none" w:sz="0" w:space="0" w:color="auto"/>
        <w:right w:val="none" w:sz="0" w:space="0" w:color="auto"/>
      </w:divBdr>
    </w:div>
    <w:div w:id="1128160865">
      <w:bodyDiv w:val="1"/>
      <w:marLeft w:val="0"/>
      <w:marRight w:val="0"/>
      <w:marTop w:val="0"/>
      <w:marBottom w:val="0"/>
      <w:divBdr>
        <w:top w:val="none" w:sz="0" w:space="0" w:color="auto"/>
        <w:left w:val="none" w:sz="0" w:space="0" w:color="auto"/>
        <w:bottom w:val="none" w:sz="0" w:space="0" w:color="auto"/>
        <w:right w:val="none" w:sz="0" w:space="0" w:color="auto"/>
      </w:divBdr>
    </w:div>
    <w:div w:id="1128281658">
      <w:bodyDiv w:val="1"/>
      <w:marLeft w:val="0"/>
      <w:marRight w:val="0"/>
      <w:marTop w:val="0"/>
      <w:marBottom w:val="0"/>
      <w:divBdr>
        <w:top w:val="none" w:sz="0" w:space="0" w:color="auto"/>
        <w:left w:val="none" w:sz="0" w:space="0" w:color="auto"/>
        <w:bottom w:val="none" w:sz="0" w:space="0" w:color="auto"/>
        <w:right w:val="none" w:sz="0" w:space="0" w:color="auto"/>
      </w:divBdr>
    </w:div>
    <w:div w:id="1128399753">
      <w:bodyDiv w:val="1"/>
      <w:marLeft w:val="0"/>
      <w:marRight w:val="0"/>
      <w:marTop w:val="0"/>
      <w:marBottom w:val="0"/>
      <w:divBdr>
        <w:top w:val="none" w:sz="0" w:space="0" w:color="auto"/>
        <w:left w:val="none" w:sz="0" w:space="0" w:color="auto"/>
        <w:bottom w:val="none" w:sz="0" w:space="0" w:color="auto"/>
        <w:right w:val="none" w:sz="0" w:space="0" w:color="auto"/>
      </w:divBdr>
    </w:div>
    <w:div w:id="1129981384">
      <w:bodyDiv w:val="1"/>
      <w:marLeft w:val="0"/>
      <w:marRight w:val="0"/>
      <w:marTop w:val="0"/>
      <w:marBottom w:val="0"/>
      <w:divBdr>
        <w:top w:val="none" w:sz="0" w:space="0" w:color="auto"/>
        <w:left w:val="none" w:sz="0" w:space="0" w:color="auto"/>
        <w:bottom w:val="none" w:sz="0" w:space="0" w:color="auto"/>
        <w:right w:val="none" w:sz="0" w:space="0" w:color="auto"/>
      </w:divBdr>
    </w:div>
    <w:div w:id="1130981558">
      <w:bodyDiv w:val="1"/>
      <w:marLeft w:val="0"/>
      <w:marRight w:val="0"/>
      <w:marTop w:val="0"/>
      <w:marBottom w:val="0"/>
      <w:divBdr>
        <w:top w:val="none" w:sz="0" w:space="0" w:color="auto"/>
        <w:left w:val="none" w:sz="0" w:space="0" w:color="auto"/>
        <w:bottom w:val="none" w:sz="0" w:space="0" w:color="auto"/>
        <w:right w:val="none" w:sz="0" w:space="0" w:color="auto"/>
      </w:divBdr>
    </w:div>
    <w:div w:id="1133207881">
      <w:bodyDiv w:val="1"/>
      <w:marLeft w:val="0"/>
      <w:marRight w:val="0"/>
      <w:marTop w:val="0"/>
      <w:marBottom w:val="0"/>
      <w:divBdr>
        <w:top w:val="none" w:sz="0" w:space="0" w:color="auto"/>
        <w:left w:val="none" w:sz="0" w:space="0" w:color="auto"/>
        <w:bottom w:val="none" w:sz="0" w:space="0" w:color="auto"/>
        <w:right w:val="none" w:sz="0" w:space="0" w:color="auto"/>
      </w:divBdr>
    </w:div>
    <w:div w:id="1133525903">
      <w:bodyDiv w:val="1"/>
      <w:marLeft w:val="0"/>
      <w:marRight w:val="0"/>
      <w:marTop w:val="0"/>
      <w:marBottom w:val="0"/>
      <w:divBdr>
        <w:top w:val="none" w:sz="0" w:space="0" w:color="auto"/>
        <w:left w:val="none" w:sz="0" w:space="0" w:color="auto"/>
        <w:bottom w:val="none" w:sz="0" w:space="0" w:color="auto"/>
        <w:right w:val="none" w:sz="0" w:space="0" w:color="auto"/>
      </w:divBdr>
    </w:div>
    <w:div w:id="1137843515">
      <w:bodyDiv w:val="1"/>
      <w:marLeft w:val="0"/>
      <w:marRight w:val="0"/>
      <w:marTop w:val="0"/>
      <w:marBottom w:val="0"/>
      <w:divBdr>
        <w:top w:val="none" w:sz="0" w:space="0" w:color="auto"/>
        <w:left w:val="none" w:sz="0" w:space="0" w:color="auto"/>
        <w:bottom w:val="none" w:sz="0" w:space="0" w:color="auto"/>
        <w:right w:val="none" w:sz="0" w:space="0" w:color="auto"/>
      </w:divBdr>
    </w:div>
    <w:div w:id="1139299644">
      <w:bodyDiv w:val="1"/>
      <w:marLeft w:val="0"/>
      <w:marRight w:val="0"/>
      <w:marTop w:val="0"/>
      <w:marBottom w:val="0"/>
      <w:divBdr>
        <w:top w:val="none" w:sz="0" w:space="0" w:color="auto"/>
        <w:left w:val="none" w:sz="0" w:space="0" w:color="auto"/>
        <w:bottom w:val="none" w:sz="0" w:space="0" w:color="auto"/>
        <w:right w:val="none" w:sz="0" w:space="0" w:color="auto"/>
      </w:divBdr>
    </w:div>
    <w:div w:id="1141461161">
      <w:bodyDiv w:val="1"/>
      <w:marLeft w:val="0"/>
      <w:marRight w:val="0"/>
      <w:marTop w:val="0"/>
      <w:marBottom w:val="0"/>
      <w:divBdr>
        <w:top w:val="none" w:sz="0" w:space="0" w:color="auto"/>
        <w:left w:val="none" w:sz="0" w:space="0" w:color="auto"/>
        <w:bottom w:val="none" w:sz="0" w:space="0" w:color="auto"/>
        <w:right w:val="none" w:sz="0" w:space="0" w:color="auto"/>
      </w:divBdr>
      <w:divsChild>
        <w:div w:id="795441863">
          <w:marLeft w:val="0"/>
          <w:marRight w:val="0"/>
          <w:marTop w:val="0"/>
          <w:marBottom w:val="0"/>
          <w:divBdr>
            <w:top w:val="none" w:sz="0" w:space="0" w:color="auto"/>
            <w:left w:val="none" w:sz="0" w:space="0" w:color="auto"/>
            <w:bottom w:val="none" w:sz="0" w:space="0" w:color="auto"/>
            <w:right w:val="none" w:sz="0" w:space="0" w:color="auto"/>
          </w:divBdr>
          <w:divsChild>
            <w:div w:id="2090302674">
              <w:marLeft w:val="0"/>
              <w:marRight w:val="0"/>
              <w:marTop w:val="0"/>
              <w:marBottom w:val="0"/>
              <w:divBdr>
                <w:top w:val="none" w:sz="0" w:space="0" w:color="auto"/>
                <w:left w:val="none" w:sz="0" w:space="0" w:color="auto"/>
                <w:bottom w:val="none" w:sz="0" w:space="0" w:color="auto"/>
                <w:right w:val="none" w:sz="0" w:space="0" w:color="auto"/>
              </w:divBdr>
              <w:divsChild>
                <w:div w:id="15149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09863">
      <w:bodyDiv w:val="1"/>
      <w:marLeft w:val="0"/>
      <w:marRight w:val="0"/>
      <w:marTop w:val="0"/>
      <w:marBottom w:val="0"/>
      <w:divBdr>
        <w:top w:val="none" w:sz="0" w:space="0" w:color="auto"/>
        <w:left w:val="none" w:sz="0" w:space="0" w:color="auto"/>
        <w:bottom w:val="none" w:sz="0" w:space="0" w:color="auto"/>
        <w:right w:val="none" w:sz="0" w:space="0" w:color="auto"/>
      </w:divBdr>
    </w:div>
    <w:div w:id="1149053334">
      <w:bodyDiv w:val="1"/>
      <w:marLeft w:val="0"/>
      <w:marRight w:val="0"/>
      <w:marTop w:val="0"/>
      <w:marBottom w:val="0"/>
      <w:divBdr>
        <w:top w:val="none" w:sz="0" w:space="0" w:color="auto"/>
        <w:left w:val="none" w:sz="0" w:space="0" w:color="auto"/>
        <w:bottom w:val="none" w:sz="0" w:space="0" w:color="auto"/>
        <w:right w:val="none" w:sz="0" w:space="0" w:color="auto"/>
      </w:divBdr>
    </w:div>
    <w:div w:id="1152524392">
      <w:bodyDiv w:val="1"/>
      <w:marLeft w:val="0"/>
      <w:marRight w:val="0"/>
      <w:marTop w:val="0"/>
      <w:marBottom w:val="0"/>
      <w:divBdr>
        <w:top w:val="none" w:sz="0" w:space="0" w:color="auto"/>
        <w:left w:val="none" w:sz="0" w:space="0" w:color="auto"/>
        <w:bottom w:val="none" w:sz="0" w:space="0" w:color="auto"/>
        <w:right w:val="none" w:sz="0" w:space="0" w:color="auto"/>
      </w:divBdr>
    </w:div>
    <w:div w:id="1152793290">
      <w:bodyDiv w:val="1"/>
      <w:marLeft w:val="0"/>
      <w:marRight w:val="0"/>
      <w:marTop w:val="0"/>
      <w:marBottom w:val="0"/>
      <w:divBdr>
        <w:top w:val="none" w:sz="0" w:space="0" w:color="auto"/>
        <w:left w:val="none" w:sz="0" w:space="0" w:color="auto"/>
        <w:bottom w:val="none" w:sz="0" w:space="0" w:color="auto"/>
        <w:right w:val="none" w:sz="0" w:space="0" w:color="auto"/>
      </w:divBdr>
    </w:div>
    <w:div w:id="1162238918">
      <w:bodyDiv w:val="1"/>
      <w:marLeft w:val="0"/>
      <w:marRight w:val="0"/>
      <w:marTop w:val="0"/>
      <w:marBottom w:val="0"/>
      <w:divBdr>
        <w:top w:val="none" w:sz="0" w:space="0" w:color="auto"/>
        <w:left w:val="none" w:sz="0" w:space="0" w:color="auto"/>
        <w:bottom w:val="none" w:sz="0" w:space="0" w:color="auto"/>
        <w:right w:val="none" w:sz="0" w:space="0" w:color="auto"/>
      </w:divBdr>
    </w:div>
    <w:div w:id="1165049057">
      <w:bodyDiv w:val="1"/>
      <w:marLeft w:val="0"/>
      <w:marRight w:val="0"/>
      <w:marTop w:val="0"/>
      <w:marBottom w:val="0"/>
      <w:divBdr>
        <w:top w:val="none" w:sz="0" w:space="0" w:color="auto"/>
        <w:left w:val="none" w:sz="0" w:space="0" w:color="auto"/>
        <w:bottom w:val="none" w:sz="0" w:space="0" w:color="auto"/>
        <w:right w:val="none" w:sz="0" w:space="0" w:color="auto"/>
      </w:divBdr>
    </w:div>
    <w:div w:id="1165899114">
      <w:bodyDiv w:val="1"/>
      <w:marLeft w:val="0"/>
      <w:marRight w:val="0"/>
      <w:marTop w:val="0"/>
      <w:marBottom w:val="0"/>
      <w:divBdr>
        <w:top w:val="none" w:sz="0" w:space="0" w:color="auto"/>
        <w:left w:val="none" w:sz="0" w:space="0" w:color="auto"/>
        <w:bottom w:val="none" w:sz="0" w:space="0" w:color="auto"/>
        <w:right w:val="none" w:sz="0" w:space="0" w:color="auto"/>
      </w:divBdr>
    </w:div>
    <w:div w:id="1169441413">
      <w:bodyDiv w:val="1"/>
      <w:marLeft w:val="0"/>
      <w:marRight w:val="0"/>
      <w:marTop w:val="0"/>
      <w:marBottom w:val="0"/>
      <w:divBdr>
        <w:top w:val="none" w:sz="0" w:space="0" w:color="auto"/>
        <w:left w:val="none" w:sz="0" w:space="0" w:color="auto"/>
        <w:bottom w:val="none" w:sz="0" w:space="0" w:color="auto"/>
        <w:right w:val="none" w:sz="0" w:space="0" w:color="auto"/>
      </w:divBdr>
    </w:div>
    <w:div w:id="1169564496">
      <w:bodyDiv w:val="1"/>
      <w:marLeft w:val="0"/>
      <w:marRight w:val="0"/>
      <w:marTop w:val="0"/>
      <w:marBottom w:val="0"/>
      <w:divBdr>
        <w:top w:val="none" w:sz="0" w:space="0" w:color="auto"/>
        <w:left w:val="none" w:sz="0" w:space="0" w:color="auto"/>
        <w:bottom w:val="none" w:sz="0" w:space="0" w:color="auto"/>
        <w:right w:val="none" w:sz="0" w:space="0" w:color="auto"/>
      </w:divBdr>
    </w:div>
    <w:div w:id="1170410892">
      <w:bodyDiv w:val="1"/>
      <w:marLeft w:val="0"/>
      <w:marRight w:val="0"/>
      <w:marTop w:val="0"/>
      <w:marBottom w:val="0"/>
      <w:divBdr>
        <w:top w:val="none" w:sz="0" w:space="0" w:color="auto"/>
        <w:left w:val="none" w:sz="0" w:space="0" w:color="auto"/>
        <w:bottom w:val="none" w:sz="0" w:space="0" w:color="auto"/>
        <w:right w:val="none" w:sz="0" w:space="0" w:color="auto"/>
      </w:divBdr>
    </w:div>
    <w:div w:id="1172987719">
      <w:bodyDiv w:val="1"/>
      <w:marLeft w:val="0"/>
      <w:marRight w:val="0"/>
      <w:marTop w:val="0"/>
      <w:marBottom w:val="0"/>
      <w:divBdr>
        <w:top w:val="none" w:sz="0" w:space="0" w:color="auto"/>
        <w:left w:val="none" w:sz="0" w:space="0" w:color="auto"/>
        <w:bottom w:val="none" w:sz="0" w:space="0" w:color="auto"/>
        <w:right w:val="none" w:sz="0" w:space="0" w:color="auto"/>
      </w:divBdr>
    </w:div>
    <w:div w:id="1173296346">
      <w:bodyDiv w:val="1"/>
      <w:marLeft w:val="0"/>
      <w:marRight w:val="0"/>
      <w:marTop w:val="0"/>
      <w:marBottom w:val="0"/>
      <w:divBdr>
        <w:top w:val="none" w:sz="0" w:space="0" w:color="auto"/>
        <w:left w:val="none" w:sz="0" w:space="0" w:color="auto"/>
        <w:bottom w:val="none" w:sz="0" w:space="0" w:color="auto"/>
        <w:right w:val="none" w:sz="0" w:space="0" w:color="auto"/>
      </w:divBdr>
    </w:div>
    <w:div w:id="1177888771">
      <w:bodyDiv w:val="1"/>
      <w:marLeft w:val="0"/>
      <w:marRight w:val="0"/>
      <w:marTop w:val="0"/>
      <w:marBottom w:val="0"/>
      <w:divBdr>
        <w:top w:val="none" w:sz="0" w:space="0" w:color="auto"/>
        <w:left w:val="none" w:sz="0" w:space="0" w:color="auto"/>
        <w:bottom w:val="none" w:sz="0" w:space="0" w:color="auto"/>
        <w:right w:val="none" w:sz="0" w:space="0" w:color="auto"/>
      </w:divBdr>
    </w:div>
    <w:div w:id="1179661225">
      <w:bodyDiv w:val="1"/>
      <w:marLeft w:val="0"/>
      <w:marRight w:val="0"/>
      <w:marTop w:val="0"/>
      <w:marBottom w:val="0"/>
      <w:divBdr>
        <w:top w:val="none" w:sz="0" w:space="0" w:color="auto"/>
        <w:left w:val="none" w:sz="0" w:space="0" w:color="auto"/>
        <w:bottom w:val="none" w:sz="0" w:space="0" w:color="auto"/>
        <w:right w:val="none" w:sz="0" w:space="0" w:color="auto"/>
      </w:divBdr>
    </w:div>
    <w:div w:id="1188369644">
      <w:bodyDiv w:val="1"/>
      <w:marLeft w:val="0"/>
      <w:marRight w:val="0"/>
      <w:marTop w:val="0"/>
      <w:marBottom w:val="0"/>
      <w:divBdr>
        <w:top w:val="none" w:sz="0" w:space="0" w:color="auto"/>
        <w:left w:val="none" w:sz="0" w:space="0" w:color="auto"/>
        <w:bottom w:val="none" w:sz="0" w:space="0" w:color="auto"/>
        <w:right w:val="none" w:sz="0" w:space="0" w:color="auto"/>
      </w:divBdr>
    </w:div>
    <w:div w:id="1188980380">
      <w:bodyDiv w:val="1"/>
      <w:marLeft w:val="0"/>
      <w:marRight w:val="0"/>
      <w:marTop w:val="0"/>
      <w:marBottom w:val="0"/>
      <w:divBdr>
        <w:top w:val="none" w:sz="0" w:space="0" w:color="auto"/>
        <w:left w:val="none" w:sz="0" w:space="0" w:color="auto"/>
        <w:bottom w:val="none" w:sz="0" w:space="0" w:color="auto"/>
        <w:right w:val="none" w:sz="0" w:space="0" w:color="auto"/>
      </w:divBdr>
    </w:div>
    <w:div w:id="1193691718">
      <w:bodyDiv w:val="1"/>
      <w:marLeft w:val="0"/>
      <w:marRight w:val="0"/>
      <w:marTop w:val="0"/>
      <w:marBottom w:val="0"/>
      <w:divBdr>
        <w:top w:val="none" w:sz="0" w:space="0" w:color="auto"/>
        <w:left w:val="none" w:sz="0" w:space="0" w:color="auto"/>
        <w:bottom w:val="none" w:sz="0" w:space="0" w:color="auto"/>
        <w:right w:val="none" w:sz="0" w:space="0" w:color="auto"/>
      </w:divBdr>
    </w:div>
    <w:div w:id="1197499524">
      <w:bodyDiv w:val="1"/>
      <w:marLeft w:val="0"/>
      <w:marRight w:val="0"/>
      <w:marTop w:val="0"/>
      <w:marBottom w:val="0"/>
      <w:divBdr>
        <w:top w:val="none" w:sz="0" w:space="0" w:color="auto"/>
        <w:left w:val="none" w:sz="0" w:space="0" w:color="auto"/>
        <w:bottom w:val="none" w:sz="0" w:space="0" w:color="auto"/>
        <w:right w:val="none" w:sz="0" w:space="0" w:color="auto"/>
      </w:divBdr>
    </w:div>
    <w:div w:id="1197616637">
      <w:bodyDiv w:val="1"/>
      <w:marLeft w:val="0"/>
      <w:marRight w:val="0"/>
      <w:marTop w:val="0"/>
      <w:marBottom w:val="0"/>
      <w:divBdr>
        <w:top w:val="none" w:sz="0" w:space="0" w:color="auto"/>
        <w:left w:val="none" w:sz="0" w:space="0" w:color="auto"/>
        <w:bottom w:val="none" w:sz="0" w:space="0" w:color="auto"/>
        <w:right w:val="none" w:sz="0" w:space="0" w:color="auto"/>
      </w:divBdr>
    </w:div>
    <w:div w:id="1197890332">
      <w:bodyDiv w:val="1"/>
      <w:marLeft w:val="0"/>
      <w:marRight w:val="0"/>
      <w:marTop w:val="0"/>
      <w:marBottom w:val="0"/>
      <w:divBdr>
        <w:top w:val="none" w:sz="0" w:space="0" w:color="auto"/>
        <w:left w:val="none" w:sz="0" w:space="0" w:color="auto"/>
        <w:bottom w:val="none" w:sz="0" w:space="0" w:color="auto"/>
        <w:right w:val="none" w:sz="0" w:space="0" w:color="auto"/>
      </w:divBdr>
    </w:div>
    <w:div w:id="1204754730">
      <w:bodyDiv w:val="1"/>
      <w:marLeft w:val="0"/>
      <w:marRight w:val="0"/>
      <w:marTop w:val="0"/>
      <w:marBottom w:val="0"/>
      <w:divBdr>
        <w:top w:val="none" w:sz="0" w:space="0" w:color="auto"/>
        <w:left w:val="none" w:sz="0" w:space="0" w:color="auto"/>
        <w:bottom w:val="none" w:sz="0" w:space="0" w:color="auto"/>
        <w:right w:val="none" w:sz="0" w:space="0" w:color="auto"/>
      </w:divBdr>
    </w:div>
    <w:div w:id="1205868915">
      <w:bodyDiv w:val="1"/>
      <w:marLeft w:val="0"/>
      <w:marRight w:val="0"/>
      <w:marTop w:val="0"/>
      <w:marBottom w:val="0"/>
      <w:divBdr>
        <w:top w:val="none" w:sz="0" w:space="0" w:color="auto"/>
        <w:left w:val="none" w:sz="0" w:space="0" w:color="auto"/>
        <w:bottom w:val="none" w:sz="0" w:space="0" w:color="auto"/>
        <w:right w:val="none" w:sz="0" w:space="0" w:color="auto"/>
      </w:divBdr>
    </w:div>
    <w:div w:id="1208374326">
      <w:bodyDiv w:val="1"/>
      <w:marLeft w:val="0"/>
      <w:marRight w:val="0"/>
      <w:marTop w:val="0"/>
      <w:marBottom w:val="0"/>
      <w:divBdr>
        <w:top w:val="none" w:sz="0" w:space="0" w:color="auto"/>
        <w:left w:val="none" w:sz="0" w:space="0" w:color="auto"/>
        <w:bottom w:val="none" w:sz="0" w:space="0" w:color="auto"/>
        <w:right w:val="none" w:sz="0" w:space="0" w:color="auto"/>
      </w:divBdr>
    </w:div>
    <w:div w:id="1216969933">
      <w:bodyDiv w:val="1"/>
      <w:marLeft w:val="0"/>
      <w:marRight w:val="0"/>
      <w:marTop w:val="0"/>
      <w:marBottom w:val="0"/>
      <w:divBdr>
        <w:top w:val="none" w:sz="0" w:space="0" w:color="auto"/>
        <w:left w:val="none" w:sz="0" w:space="0" w:color="auto"/>
        <w:bottom w:val="none" w:sz="0" w:space="0" w:color="auto"/>
        <w:right w:val="none" w:sz="0" w:space="0" w:color="auto"/>
      </w:divBdr>
    </w:div>
    <w:div w:id="1219052219">
      <w:bodyDiv w:val="1"/>
      <w:marLeft w:val="0"/>
      <w:marRight w:val="0"/>
      <w:marTop w:val="0"/>
      <w:marBottom w:val="0"/>
      <w:divBdr>
        <w:top w:val="none" w:sz="0" w:space="0" w:color="auto"/>
        <w:left w:val="none" w:sz="0" w:space="0" w:color="auto"/>
        <w:bottom w:val="none" w:sz="0" w:space="0" w:color="auto"/>
        <w:right w:val="none" w:sz="0" w:space="0" w:color="auto"/>
      </w:divBdr>
    </w:div>
    <w:div w:id="1225334470">
      <w:bodyDiv w:val="1"/>
      <w:marLeft w:val="0"/>
      <w:marRight w:val="0"/>
      <w:marTop w:val="0"/>
      <w:marBottom w:val="0"/>
      <w:divBdr>
        <w:top w:val="none" w:sz="0" w:space="0" w:color="auto"/>
        <w:left w:val="none" w:sz="0" w:space="0" w:color="auto"/>
        <w:bottom w:val="none" w:sz="0" w:space="0" w:color="auto"/>
        <w:right w:val="none" w:sz="0" w:space="0" w:color="auto"/>
      </w:divBdr>
    </w:div>
    <w:div w:id="1230654311">
      <w:bodyDiv w:val="1"/>
      <w:marLeft w:val="0"/>
      <w:marRight w:val="0"/>
      <w:marTop w:val="0"/>
      <w:marBottom w:val="0"/>
      <w:divBdr>
        <w:top w:val="none" w:sz="0" w:space="0" w:color="auto"/>
        <w:left w:val="none" w:sz="0" w:space="0" w:color="auto"/>
        <w:bottom w:val="none" w:sz="0" w:space="0" w:color="auto"/>
        <w:right w:val="none" w:sz="0" w:space="0" w:color="auto"/>
      </w:divBdr>
    </w:div>
    <w:div w:id="1231043962">
      <w:bodyDiv w:val="1"/>
      <w:marLeft w:val="0"/>
      <w:marRight w:val="0"/>
      <w:marTop w:val="0"/>
      <w:marBottom w:val="0"/>
      <w:divBdr>
        <w:top w:val="none" w:sz="0" w:space="0" w:color="auto"/>
        <w:left w:val="none" w:sz="0" w:space="0" w:color="auto"/>
        <w:bottom w:val="none" w:sz="0" w:space="0" w:color="auto"/>
        <w:right w:val="none" w:sz="0" w:space="0" w:color="auto"/>
      </w:divBdr>
    </w:div>
    <w:div w:id="1233273285">
      <w:bodyDiv w:val="1"/>
      <w:marLeft w:val="0"/>
      <w:marRight w:val="0"/>
      <w:marTop w:val="0"/>
      <w:marBottom w:val="0"/>
      <w:divBdr>
        <w:top w:val="none" w:sz="0" w:space="0" w:color="auto"/>
        <w:left w:val="none" w:sz="0" w:space="0" w:color="auto"/>
        <w:bottom w:val="none" w:sz="0" w:space="0" w:color="auto"/>
        <w:right w:val="none" w:sz="0" w:space="0" w:color="auto"/>
      </w:divBdr>
    </w:div>
    <w:div w:id="1235510075">
      <w:bodyDiv w:val="1"/>
      <w:marLeft w:val="0"/>
      <w:marRight w:val="0"/>
      <w:marTop w:val="0"/>
      <w:marBottom w:val="0"/>
      <w:divBdr>
        <w:top w:val="none" w:sz="0" w:space="0" w:color="auto"/>
        <w:left w:val="none" w:sz="0" w:space="0" w:color="auto"/>
        <w:bottom w:val="none" w:sz="0" w:space="0" w:color="auto"/>
        <w:right w:val="none" w:sz="0" w:space="0" w:color="auto"/>
      </w:divBdr>
    </w:div>
    <w:div w:id="1236017573">
      <w:bodyDiv w:val="1"/>
      <w:marLeft w:val="0"/>
      <w:marRight w:val="0"/>
      <w:marTop w:val="0"/>
      <w:marBottom w:val="0"/>
      <w:divBdr>
        <w:top w:val="none" w:sz="0" w:space="0" w:color="auto"/>
        <w:left w:val="none" w:sz="0" w:space="0" w:color="auto"/>
        <w:bottom w:val="none" w:sz="0" w:space="0" w:color="auto"/>
        <w:right w:val="none" w:sz="0" w:space="0" w:color="auto"/>
      </w:divBdr>
    </w:div>
    <w:div w:id="1239288325">
      <w:bodyDiv w:val="1"/>
      <w:marLeft w:val="0"/>
      <w:marRight w:val="0"/>
      <w:marTop w:val="0"/>
      <w:marBottom w:val="0"/>
      <w:divBdr>
        <w:top w:val="none" w:sz="0" w:space="0" w:color="auto"/>
        <w:left w:val="none" w:sz="0" w:space="0" w:color="auto"/>
        <w:bottom w:val="none" w:sz="0" w:space="0" w:color="auto"/>
        <w:right w:val="none" w:sz="0" w:space="0" w:color="auto"/>
      </w:divBdr>
    </w:div>
    <w:div w:id="1239360267">
      <w:bodyDiv w:val="1"/>
      <w:marLeft w:val="0"/>
      <w:marRight w:val="0"/>
      <w:marTop w:val="0"/>
      <w:marBottom w:val="0"/>
      <w:divBdr>
        <w:top w:val="none" w:sz="0" w:space="0" w:color="auto"/>
        <w:left w:val="none" w:sz="0" w:space="0" w:color="auto"/>
        <w:bottom w:val="none" w:sz="0" w:space="0" w:color="auto"/>
        <w:right w:val="none" w:sz="0" w:space="0" w:color="auto"/>
      </w:divBdr>
      <w:divsChild>
        <w:div w:id="2142385711">
          <w:marLeft w:val="0"/>
          <w:marRight w:val="0"/>
          <w:marTop w:val="0"/>
          <w:marBottom w:val="0"/>
          <w:divBdr>
            <w:top w:val="none" w:sz="0" w:space="0" w:color="auto"/>
            <w:left w:val="none" w:sz="0" w:space="0" w:color="auto"/>
            <w:bottom w:val="none" w:sz="0" w:space="0" w:color="auto"/>
            <w:right w:val="none" w:sz="0" w:space="0" w:color="auto"/>
          </w:divBdr>
          <w:divsChild>
            <w:div w:id="501819765">
              <w:marLeft w:val="0"/>
              <w:marRight w:val="0"/>
              <w:marTop w:val="0"/>
              <w:marBottom w:val="0"/>
              <w:divBdr>
                <w:top w:val="none" w:sz="0" w:space="0" w:color="auto"/>
                <w:left w:val="none" w:sz="0" w:space="0" w:color="auto"/>
                <w:bottom w:val="none" w:sz="0" w:space="0" w:color="auto"/>
                <w:right w:val="none" w:sz="0" w:space="0" w:color="auto"/>
              </w:divBdr>
              <w:divsChild>
                <w:div w:id="18468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40684">
      <w:bodyDiv w:val="1"/>
      <w:marLeft w:val="0"/>
      <w:marRight w:val="0"/>
      <w:marTop w:val="0"/>
      <w:marBottom w:val="0"/>
      <w:divBdr>
        <w:top w:val="none" w:sz="0" w:space="0" w:color="auto"/>
        <w:left w:val="none" w:sz="0" w:space="0" w:color="auto"/>
        <w:bottom w:val="none" w:sz="0" w:space="0" w:color="auto"/>
        <w:right w:val="none" w:sz="0" w:space="0" w:color="auto"/>
      </w:divBdr>
    </w:div>
    <w:div w:id="1243636946">
      <w:bodyDiv w:val="1"/>
      <w:marLeft w:val="0"/>
      <w:marRight w:val="0"/>
      <w:marTop w:val="0"/>
      <w:marBottom w:val="0"/>
      <w:divBdr>
        <w:top w:val="none" w:sz="0" w:space="0" w:color="auto"/>
        <w:left w:val="none" w:sz="0" w:space="0" w:color="auto"/>
        <w:bottom w:val="none" w:sz="0" w:space="0" w:color="auto"/>
        <w:right w:val="none" w:sz="0" w:space="0" w:color="auto"/>
      </w:divBdr>
    </w:div>
    <w:div w:id="1247232252">
      <w:bodyDiv w:val="1"/>
      <w:marLeft w:val="0"/>
      <w:marRight w:val="0"/>
      <w:marTop w:val="0"/>
      <w:marBottom w:val="0"/>
      <w:divBdr>
        <w:top w:val="none" w:sz="0" w:space="0" w:color="auto"/>
        <w:left w:val="none" w:sz="0" w:space="0" w:color="auto"/>
        <w:bottom w:val="none" w:sz="0" w:space="0" w:color="auto"/>
        <w:right w:val="none" w:sz="0" w:space="0" w:color="auto"/>
      </w:divBdr>
    </w:div>
    <w:div w:id="1248274021">
      <w:bodyDiv w:val="1"/>
      <w:marLeft w:val="0"/>
      <w:marRight w:val="0"/>
      <w:marTop w:val="0"/>
      <w:marBottom w:val="0"/>
      <w:divBdr>
        <w:top w:val="none" w:sz="0" w:space="0" w:color="auto"/>
        <w:left w:val="none" w:sz="0" w:space="0" w:color="auto"/>
        <w:bottom w:val="none" w:sz="0" w:space="0" w:color="auto"/>
        <w:right w:val="none" w:sz="0" w:space="0" w:color="auto"/>
      </w:divBdr>
    </w:div>
    <w:div w:id="1250164816">
      <w:bodyDiv w:val="1"/>
      <w:marLeft w:val="0"/>
      <w:marRight w:val="0"/>
      <w:marTop w:val="0"/>
      <w:marBottom w:val="0"/>
      <w:divBdr>
        <w:top w:val="none" w:sz="0" w:space="0" w:color="auto"/>
        <w:left w:val="none" w:sz="0" w:space="0" w:color="auto"/>
        <w:bottom w:val="none" w:sz="0" w:space="0" w:color="auto"/>
        <w:right w:val="none" w:sz="0" w:space="0" w:color="auto"/>
      </w:divBdr>
    </w:div>
    <w:div w:id="1250966551">
      <w:bodyDiv w:val="1"/>
      <w:marLeft w:val="0"/>
      <w:marRight w:val="0"/>
      <w:marTop w:val="0"/>
      <w:marBottom w:val="0"/>
      <w:divBdr>
        <w:top w:val="none" w:sz="0" w:space="0" w:color="auto"/>
        <w:left w:val="none" w:sz="0" w:space="0" w:color="auto"/>
        <w:bottom w:val="none" w:sz="0" w:space="0" w:color="auto"/>
        <w:right w:val="none" w:sz="0" w:space="0" w:color="auto"/>
      </w:divBdr>
    </w:div>
    <w:div w:id="1252928607">
      <w:bodyDiv w:val="1"/>
      <w:marLeft w:val="0"/>
      <w:marRight w:val="0"/>
      <w:marTop w:val="0"/>
      <w:marBottom w:val="0"/>
      <w:divBdr>
        <w:top w:val="none" w:sz="0" w:space="0" w:color="auto"/>
        <w:left w:val="none" w:sz="0" w:space="0" w:color="auto"/>
        <w:bottom w:val="none" w:sz="0" w:space="0" w:color="auto"/>
        <w:right w:val="none" w:sz="0" w:space="0" w:color="auto"/>
      </w:divBdr>
    </w:div>
    <w:div w:id="1253976887">
      <w:bodyDiv w:val="1"/>
      <w:marLeft w:val="0"/>
      <w:marRight w:val="0"/>
      <w:marTop w:val="0"/>
      <w:marBottom w:val="0"/>
      <w:divBdr>
        <w:top w:val="none" w:sz="0" w:space="0" w:color="auto"/>
        <w:left w:val="none" w:sz="0" w:space="0" w:color="auto"/>
        <w:bottom w:val="none" w:sz="0" w:space="0" w:color="auto"/>
        <w:right w:val="none" w:sz="0" w:space="0" w:color="auto"/>
      </w:divBdr>
    </w:div>
    <w:div w:id="1255626524">
      <w:bodyDiv w:val="1"/>
      <w:marLeft w:val="0"/>
      <w:marRight w:val="0"/>
      <w:marTop w:val="0"/>
      <w:marBottom w:val="0"/>
      <w:divBdr>
        <w:top w:val="none" w:sz="0" w:space="0" w:color="auto"/>
        <w:left w:val="none" w:sz="0" w:space="0" w:color="auto"/>
        <w:bottom w:val="none" w:sz="0" w:space="0" w:color="auto"/>
        <w:right w:val="none" w:sz="0" w:space="0" w:color="auto"/>
      </w:divBdr>
      <w:divsChild>
        <w:div w:id="1013261677">
          <w:marLeft w:val="0"/>
          <w:marRight w:val="0"/>
          <w:marTop w:val="0"/>
          <w:marBottom w:val="0"/>
          <w:divBdr>
            <w:top w:val="none" w:sz="0" w:space="0" w:color="auto"/>
            <w:left w:val="none" w:sz="0" w:space="0" w:color="auto"/>
            <w:bottom w:val="none" w:sz="0" w:space="0" w:color="auto"/>
            <w:right w:val="none" w:sz="0" w:space="0" w:color="auto"/>
          </w:divBdr>
          <w:divsChild>
            <w:div w:id="497114600">
              <w:marLeft w:val="0"/>
              <w:marRight w:val="0"/>
              <w:marTop w:val="0"/>
              <w:marBottom w:val="0"/>
              <w:divBdr>
                <w:top w:val="none" w:sz="0" w:space="0" w:color="auto"/>
                <w:left w:val="none" w:sz="0" w:space="0" w:color="auto"/>
                <w:bottom w:val="none" w:sz="0" w:space="0" w:color="auto"/>
                <w:right w:val="none" w:sz="0" w:space="0" w:color="auto"/>
              </w:divBdr>
              <w:divsChild>
                <w:div w:id="14298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91783">
      <w:bodyDiv w:val="1"/>
      <w:marLeft w:val="0"/>
      <w:marRight w:val="0"/>
      <w:marTop w:val="0"/>
      <w:marBottom w:val="0"/>
      <w:divBdr>
        <w:top w:val="none" w:sz="0" w:space="0" w:color="auto"/>
        <w:left w:val="none" w:sz="0" w:space="0" w:color="auto"/>
        <w:bottom w:val="none" w:sz="0" w:space="0" w:color="auto"/>
        <w:right w:val="none" w:sz="0" w:space="0" w:color="auto"/>
      </w:divBdr>
    </w:div>
    <w:div w:id="1256786847">
      <w:bodyDiv w:val="1"/>
      <w:marLeft w:val="0"/>
      <w:marRight w:val="0"/>
      <w:marTop w:val="0"/>
      <w:marBottom w:val="0"/>
      <w:divBdr>
        <w:top w:val="none" w:sz="0" w:space="0" w:color="auto"/>
        <w:left w:val="none" w:sz="0" w:space="0" w:color="auto"/>
        <w:bottom w:val="none" w:sz="0" w:space="0" w:color="auto"/>
        <w:right w:val="none" w:sz="0" w:space="0" w:color="auto"/>
      </w:divBdr>
    </w:div>
    <w:div w:id="1258057422">
      <w:bodyDiv w:val="1"/>
      <w:marLeft w:val="0"/>
      <w:marRight w:val="0"/>
      <w:marTop w:val="0"/>
      <w:marBottom w:val="0"/>
      <w:divBdr>
        <w:top w:val="none" w:sz="0" w:space="0" w:color="auto"/>
        <w:left w:val="none" w:sz="0" w:space="0" w:color="auto"/>
        <w:bottom w:val="none" w:sz="0" w:space="0" w:color="auto"/>
        <w:right w:val="none" w:sz="0" w:space="0" w:color="auto"/>
      </w:divBdr>
    </w:div>
    <w:div w:id="1258169696">
      <w:bodyDiv w:val="1"/>
      <w:marLeft w:val="0"/>
      <w:marRight w:val="0"/>
      <w:marTop w:val="0"/>
      <w:marBottom w:val="0"/>
      <w:divBdr>
        <w:top w:val="none" w:sz="0" w:space="0" w:color="auto"/>
        <w:left w:val="none" w:sz="0" w:space="0" w:color="auto"/>
        <w:bottom w:val="none" w:sz="0" w:space="0" w:color="auto"/>
        <w:right w:val="none" w:sz="0" w:space="0" w:color="auto"/>
      </w:divBdr>
    </w:div>
    <w:div w:id="1258293866">
      <w:bodyDiv w:val="1"/>
      <w:marLeft w:val="0"/>
      <w:marRight w:val="0"/>
      <w:marTop w:val="0"/>
      <w:marBottom w:val="0"/>
      <w:divBdr>
        <w:top w:val="none" w:sz="0" w:space="0" w:color="auto"/>
        <w:left w:val="none" w:sz="0" w:space="0" w:color="auto"/>
        <w:bottom w:val="none" w:sz="0" w:space="0" w:color="auto"/>
        <w:right w:val="none" w:sz="0" w:space="0" w:color="auto"/>
      </w:divBdr>
    </w:div>
    <w:div w:id="1260216407">
      <w:bodyDiv w:val="1"/>
      <w:marLeft w:val="0"/>
      <w:marRight w:val="0"/>
      <w:marTop w:val="0"/>
      <w:marBottom w:val="0"/>
      <w:divBdr>
        <w:top w:val="none" w:sz="0" w:space="0" w:color="auto"/>
        <w:left w:val="none" w:sz="0" w:space="0" w:color="auto"/>
        <w:bottom w:val="none" w:sz="0" w:space="0" w:color="auto"/>
        <w:right w:val="none" w:sz="0" w:space="0" w:color="auto"/>
      </w:divBdr>
    </w:div>
    <w:div w:id="1260531007">
      <w:bodyDiv w:val="1"/>
      <w:marLeft w:val="0"/>
      <w:marRight w:val="0"/>
      <w:marTop w:val="0"/>
      <w:marBottom w:val="0"/>
      <w:divBdr>
        <w:top w:val="none" w:sz="0" w:space="0" w:color="auto"/>
        <w:left w:val="none" w:sz="0" w:space="0" w:color="auto"/>
        <w:bottom w:val="none" w:sz="0" w:space="0" w:color="auto"/>
        <w:right w:val="none" w:sz="0" w:space="0" w:color="auto"/>
      </w:divBdr>
    </w:div>
    <w:div w:id="1264416654">
      <w:bodyDiv w:val="1"/>
      <w:marLeft w:val="0"/>
      <w:marRight w:val="0"/>
      <w:marTop w:val="0"/>
      <w:marBottom w:val="0"/>
      <w:divBdr>
        <w:top w:val="none" w:sz="0" w:space="0" w:color="auto"/>
        <w:left w:val="none" w:sz="0" w:space="0" w:color="auto"/>
        <w:bottom w:val="none" w:sz="0" w:space="0" w:color="auto"/>
        <w:right w:val="none" w:sz="0" w:space="0" w:color="auto"/>
      </w:divBdr>
    </w:div>
    <w:div w:id="1266498583">
      <w:bodyDiv w:val="1"/>
      <w:marLeft w:val="0"/>
      <w:marRight w:val="0"/>
      <w:marTop w:val="0"/>
      <w:marBottom w:val="0"/>
      <w:divBdr>
        <w:top w:val="none" w:sz="0" w:space="0" w:color="auto"/>
        <w:left w:val="none" w:sz="0" w:space="0" w:color="auto"/>
        <w:bottom w:val="none" w:sz="0" w:space="0" w:color="auto"/>
        <w:right w:val="none" w:sz="0" w:space="0" w:color="auto"/>
      </w:divBdr>
    </w:div>
    <w:div w:id="1266838915">
      <w:bodyDiv w:val="1"/>
      <w:marLeft w:val="0"/>
      <w:marRight w:val="0"/>
      <w:marTop w:val="0"/>
      <w:marBottom w:val="0"/>
      <w:divBdr>
        <w:top w:val="none" w:sz="0" w:space="0" w:color="auto"/>
        <w:left w:val="none" w:sz="0" w:space="0" w:color="auto"/>
        <w:bottom w:val="none" w:sz="0" w:space="0" w:color="auto"/>
        <w:right w:val="none" w:sz="0" w:space="0" w:color="auto"/>
      </w:divBdr>
    </w:div>
    <w:div w:id="1271476758">
      <w:bodyDiv w:val="1"/>
      <w:marLeft w:val="0"/>
      <w:marRight w:val="0"/>
      <w:marTop w:val="0"/>
      <w:marBottom w:val="0"/>
      <w:divBdr>
        <w:top w:val="none" w:sz="0" w:space="0" w:color="auto"/>
        <w:left w:val="none" w:sz="0" w:space="0" w:color="auto"/>
        <w:bottom w:val="none" w:sz="0" w:space="0" w:color="auto"/>
        <w:right w:val="none" w:sz="0" w:space="0" w:color="auto"/>
      </w:divBdr>
    </w:div>
    <w:div w:id="1272782832">
      <w:bodyDiv w:val="1"/>
      <w:marLeft w:val="0"/>
      <w:marRight w:val="0"/>
      <w:marTop w:val="0"/>
      <w:marBottom w:val="0"/>
      <w:divBdr>
        <w:top w:val="none" w:sz="0" w:space="0" w:color="auto"/>
        <w:left w:val="none" w:sz="0" w:space="0" w:color="auto"/>
        <w:bottom w:val="none" w:sz="0" w:space="0" w:color="auto"/>
        <w:right w:val="none" w:sz="0" w:space="0" w:color="auto"/>
      </w:divBdr>
    </w:div>
    <w:div w:id="1275865418">
      <w:bodyDiv w:val="1"/>
      <w:marLeft w:val="0"/>
      <w:marRight w:val="0"/>
      <w:marTop w:val="0"/>
      <w:marBottom w:val="0"/>
      <w:divBdr>
        <w:top w:val="none" w:sz="0" w:space="0" w:color="auto"/>
        <w:left w:val="none" w:sz="0" w:space="0" w:color="auto"/>
        <w:bottom w:val="none" w:sz="0" w:space="0" w:color="auto"/>
        <w:right w:val="none" w:sz="0" w:space="0" w:color="auto"/>
      </w:divBdr>
    </w:div>
    <w:div w:id="1276672405">
      <w:bodyDiv w:val="1"/>
      <w:marLeft w:val="0"/>
      <w:marRight w:val="0"/>
      <w:marTop w:val="0"/>
      <w:marBottom w:val="0"/>
      <w:divBdr>
        <w:top w:val="none" w:sz="0" w:space="0" w:color="auto"/>
        <w:left w:val="none" w:sz="0" w:space="0" w:color="auto"/>
        <w:bottom w:val="none" w:sz="0" w:space="0" w:color="auto"/>
        <w:right w:val="none" w:sz="0" w:space="0" w:color="auto"/>
      </w:divBdr>
    </w:div>
    <w:div w:id="1277641744">
      <w:bodyDiv w:val="1"/>
      <w:marLeft w:val="0"/>
      <w:marRight w:val="0"/>
      <w:marTop w:val="0"/>
      <w:marBottom w:val="0"/>
      <w:divBdr>
        <w:top w:val="none" w:sz="0" w:space="0" w:color="auto"/>
        <w:left w:val="none" w:sz="0" w:space="0" w:color="auto"/>
        <w:bottom w:val="none" w:sz="0" w:space="0" w:color="auto"/>
        <w:right w:val="none" w:sz="0" w:space="0" w:color="auto"/>
      </w:divBdr>
    </w:div>
    <w:div w:id="1277911050">
      <w:bodyDiv w:val="1"/>
      <w:marLeft w:val="0"/>
      <w:marRight w:val="0"/>
      <w:marTop w:val="0"/>
      <w:marBottom w:val="0"/>
      <w:divBdr>
        <w:top w:val="none" w:sz="0" w:space="0" w:color="auto"/>
        <w:left w:val="none" w:sz="0" w:space="0" w:color="auto"/>
        <w:bottom w:val="none" w:sz="0" w:space="0" w:color="auto"/>
        <w:right w:val="none" w:sz="0" w:space="0" w:color="auto"/>
      </w:divBdr>
    </w:div>
    <w:div w:id="1279264813">
      <w:bodyDiv w:val="1"/>
      <w:marLeft w:val="0"/>
      <w:marRight w:val="0"/>
      <w:marTop w:val="0"/>
      <w:marBottom w:val="0"/>
      <w:divBdr>
        <w:top w:val="none" w:sz="0" w:space="0" w:color="auto"/>
        <w:left w:val="none" w:sz="0" w:space="0" w:color="auto"/>
        <w:bottom w:val="none" w:sz="0" w:space="0" w:color="auto"/>
        <w:right w:val="none" w:sz="0" w:space="0" w:color="auto"/>
      </w:divBdr>
    </w:div>
    <w:div w:id="1282565168">
      <w:bodyDiv w:val="1"/>
      <w:marLeft w:val="0"/>
      <w:marRight w:val="0"/>
      <w:marTop w:val="0"/>
      <w:marBottom w:val="0"/>
      <w:divBdr>
        <w:top w:val="none" w:sz="0" w:space="0" w:color="auto"/>
        <w:left w:val="none" w:sz="0" w:space="0" w:color="auto"/>
        <w:bottom w:val="none" w:sz="0" w:space="0" w:color="auto"/>
        <w:right w:val="none" w:sz="0" w:space="0" w:color="auto"/>
      </w:divBdr>
    </w:div>
    <w:div w:id="1285501344">
      <w:bodyDiv w:val="1"/>
      <w:marLeft w:val="0"/>
      <w:marRight w:val="0"/>
      <w:marTop w:val="0"/>
      <w:marBottom w:val="0"/>
      <w:divBdr>
        <w:top w:val="none" w:sz="0" w:space="0" w:color="auto"/>
        <w:left w:val="none" w:sz="0" w:space="0" w:color="auto"/>
        <w:bottom w:val="none" w:sz="0" w:space="0" w:color="auto"/>
        <w:right w:val="none" w:sz="0" w:space="0" w:color="auto"/>
      </w:divBdr>
    </w:div>
    <w:div w:id="1285698603">
      <w:bodyDiv w:val="1"/>
      <w:marLeft w:val="0"/>
      <w:marRight w:val="0"/>
      <w:marTop w:val="0"/>
      <w:marBottom w:val="0"/>
      <w:divBdr>
        <w:top w:val="none" w:sz="0" w:space="0" w:color="auto"/>
        <w:left w:val="none" w:sz="0" w:space="0" w:color="auto"/>
        <w:bottom w:val="none" w:sz="0" w:space="0" w:color="auto"/>
        <w:right w:val="none" w:sz="0" w:space="0" w:color="auto"/>
      </w:divBdr>
    </w:div>
    <w:div w:id="1285885236">
      <w:bodyDiv w:val="1"/>
      <w:marLeft w:val="0"/>
      <w:marRight w:val="0"/>
      <w:marTop w:val="0"/>
      <w:marBottom w:val="0"/>
      <w:divBdr>
        <w:top w:val="none" w:sz="0" w:space="0" w:color="auto"/>
        <w:left w:val="none" w:sz="0" w:space="0" w:color="auto"/>
        <w:bottom w:val="none" w:sz="0" w:space="0" w:color="auto"/>
        <w:right w:val="none" w:sz="0" w:space="0" w:color="auto"/>
      </w:divBdr>
    </w:div>
    <w:div w:id="1288245471">
      <w:bodyDiv w:val="1"/>
      <w:marLeft w:val="0"/>
      <w:marRight w:val="0"/>
      <w:marTop w:val="0"/>
      <w:marBottom w:val="0"/>
      <w:divBdr>
        <w:top w:val="none" w:sz="0" w:space="0" w:color="auto"/>
        <w:left w:val="none" w:sz="0" w:space="0" w:color="auto"/>
        <w:bottom w:val="none" w:sz="0" w:space="0" w:color="auto"/>
        <w:right w:val="none" w:sz="0" w:space="0" w:color="auto"/>
      </w:divBdr>
    </w:div>
    <w:div w:id="1288463849">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6174911">
      <w:bodyDiv w:val="1"/>
      <w:marLeft w:val="0"/>
      <w:marRight w:val="0"/>
      <w:marTop w:val="0"/>
      <w:marBottom w:val="0"/>
      <w:divBdr>
        <w:top w:val="none" w:sz="0" w:space="0" w:color="auto"/>
        <w:left w:val="none" w:sz="0" w:space="0" w:color="auto"/>
        <w:bottom w:val="none" w:sz="0" w:space="0" w:color="auto"/>
        <w:right w:val="none" w:sz="0" w:space="0" w:color="auto"/>
      </w:divBdr>
    </w:div>
    <w:div w:id="1296642400">
      <w:bodyDiv w:val="1"/>
      <w:marLeft w:val="0"/>
      <w:marRight w:val="0"/>
      <w:marTop w:val="0"/>
      <w:marBottom w:val="0"/>
      <w:divBdr>
        <w:top w:val="none" w:sz="0" w:space="0" w:color="auto"/>
        <w:left w:val="none" w:sz="0" w:space="0" w:color="auto"/>
        <w:bottom w:val="none" w:sz="0" w:space="0" w:color="auto"/>
        <w:right w:val="none" w:sz="0" w:space="0" w:color="auto"/>
      </w:divBdr>
    </w:div>
    <w:div w:id="1297105002">
      <w:bodyDiv w:val="1"/>
      <w:marLeft w:val="0"/>
      <w:marRight w:val="0"/>
      <w:marTop w:val="0"/>
      <w:marBottom w:val="0"/>
      <w:divBdr>
        <w:top w:val="none" w:sz="0" w:space="0" w:color="auto"/>
        <w:left w:val="none" w:sz="0" w:space="0" w:color="auto"/>
        <w:bottom w:val="none" w:sz="0" w:space="0" w:color="auto"/>
        <w:right w:val="none" w:sz="0" w:space="0" w:color="auto"/>
      </w:divBdr>
      <w:divsChild>
        <w:div w:id="39481984">
          <w:marLeft w:val="0"/>
          <w:marRight w:val="0"/>
          <w:marTop w:val="0"/>
          <w:marBottom w:val="0"/>
          <w:divBdr>
            <w:top w:val="none" w:sz="0" w:space="0" w:color="auto"/>
            <w:left w:val="none" w:sz="0" w:space="0" w:color="auto"/>
            <w:bottom w:val="none" w:sz="0" w:space="0" w:color="auto"/>
            <w:right w:val="none" w:sz="0" w:space="0" w:color="auto"/>
          </w:divBdr>
          <w:divsChild>
            <w:div w:id="1360475717">
              <w:marLeft w:val="0"/>
              <w:marRight w:val="0"/>
              <w:marTop w:val="0"/>
              <w:marBottom w:val="0"/>
              <w:divBdr>
                <w:top w:val="none" w:sz="0" w:space="0" w:color="auto"/>
                <w:left w:val="none" w:sz="0" w:space="0" w:color="auto"/>
                <w:bottom w:val="none" w:sz="0" w:space="0" w:color="auto"/>
                <w:right w:val="none" w:sz="0" w:space="0" w:color="auto"/>
              </w:divBdr>
              <w:divsChild>
                <w:div w:id="151529490">
                  <w:marLeft w:val="0"/>
                  <w:marRight w:val="0"/>
                  <w:marTop w:val="0"/>
                  <w:marBottom w:val="0"/>
                  <w:divBdr>
                    <w:top w:val="none" w:sz="0" w:space="0" w:color="auto"/>
                    <w:left w:val="none" w:sz="0" w:space="0" w:color="auto"/>
                    <w:bottom w:val="none" w:sz="0" w:space="0" w:color="auto"/>
                    <w:right w:val="none" w:sz="0" w:space="0" w:color="auto"/>
                  </w:divBdr>
                  <w:divsChild>
                    <w:div w:id="5852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074254">
      <w:bodyDiv w:val="1"/>
      <w:marLeft w:val="0"/>
      <w:marRight w:val="0"/>
      <w:marTop w:val="0"/>
      <w:marBottom w:val="0"/>
      <w:divBdr>
        <w:top w:val="none" w:sz="0" w:space="0" w:color="auto"/>
        <w:left w:val="none" w:sz="0" w:space="0" w:color="auto"/>
        <w:bottom w:val="none" w:sz="0" w:space="0" w:color="auto"/>
        <w:right w:val="none" w:sz="0" w:space="0" w:color="auto"/>
      </w:divBdr>
    </w:div>
    <w:div w:id="1298687194">
      <w:bodyDiv w:val="1"/>
      <w:marLeft w:val="0"/>
      <w:marRight w:val="0"/>
      <w:marTop w:val="0"/>
      <w:marBottom w:val="0"/>
      <w:divBdr>
        <w:top w:val="none" w:sz="0" w:space="0" w:color="auto"/>
        <w:left w:val="none" w:sz="0" w:space="0" w:color="auto"/>
        <w:bottom w:val="none" w:sz="0" w:space="0" w:color="auto"/>
        <w:right w:val="none" w:sz="0" w:space="0" w:color="auto"/>
      </w:divBdr>
    </w:div>
    <w:div w:id="1304777752">
      <w:bodyDiv w:val="1"/>
      <w:marLeft w:val="0"/>
      <w:marRight w:val="0"/>
      <w:marTop w:val="0"/>
      <w:marBottom w:val="0"/>
      <w:divBdr>
        <w:top w:val="none" w:sz="0" w:space="0" w:color="auto"/>
        <w:left w:val="none" w:sz="0" w:space="0" w:color="auto"/>
        <w:bottom w:val="none" w:sz="0" w:space="0" w:color="auto"/>
        <w:right w:val="none" w:sz="0" w:space="0" w:color="auto"/>
      </w:divBdr>
    </w:div>
    <w:div w:id="1304893125">
      <w:bodyDiv w:val="1"/>
      <w:marLeft w:val="0"/>
      <w:marRight w:val="0"/>
      <w:marTop w:val="0"/>
      <w:marBottom w:val="0"/>
      <w:divBdr>
        <w:top w:val="none" w:sz="0" w:space="0" w:color="auto"/>
        <w:left w:val="none" w:sz="0" w:space="0" w:color="auto"/>
        <w:bottom w:val="none" w:sz="0" w:space="0" w:color="auto"/>
        <w:right w:val="none" w:sz="0" w:space="0" w:color="auto"/>
      </w:divBdr>
    </w:div>
    <w:div w:id="1306275195">
      <w:bodyDiv w:val="1"/>
      <w:marLeft w:val="0"/>
      <w:marRight w:val="0"/>
      <w:marTop w:val="0"/>
      <w:marBottom w:val="0"/>
      <w:divBdr>
        <w:top w:val="none" w:sz="0" w:space="0" w:color="auto"/>
        <w:left w:val="none" w:sz="0" w:space="0" w:color="auto"/>
        <w:bottom w:val="none" w:sz="0" w:space="0" w:color="auto"/>
        <w:right w:val="none" w:sz="0" w:space="0" w:color="auto"/>
      </w:divBdr>
    </w:div>
    <w:div w:id="1309092818">
      <w:bodyDiv w:val="1"/>
      <w:marLeft w:val="0"/>
      <w:marRight w:val="0"/>
      <w:marTop w:val="0"/>
      <w:marBottom w:val="0"/>
      <w:divBdr>
        <w:top w:val="none" w:sz="0" w:space="0" w:color="auto"/>
        <w:left w:val="none" w:sz="0" w:space="0" w:color="auto"/>
        <w:bottom w:val="none" w:sz="0" w:space="0" w:color="auto"/>
        <w:right w:val="none" w:sz="0" w:space="0" w:color="auto"/>
      </w:divBdr>
    </w:div>
    <w:div w:id="1311322509">
      <w:bodyDiv w:val="1"/>
      <w:marLeft w:val="0"/>
      <w:marRight w:val="0"/>
      <w:marTop w:val="0"/>
      <w:marBottom w:val="0"/>
      <w:divBdr>
        <w:top w:val="none" w:sz="0" w:space="0" w:color="auto"/>
        <w:left w:val="none" w:sz="0" w:space="0" w:color="auto"/>
        <w:bottom w:val="none" w:sz="0" w:space="0" w:color="auto"/>
        <w:right w:val="none" w:sz="0" w:space="0" w:color="auto"/>
      </w:divBdr>
    </w:div>
    <w:div w:id="1313556420">
      <w:bodyDiv w:val="1"/>
      <w:marLeft w:val="0"/>
      <w:marRight w:val="0"/>
      <w:marTop w:val="0"/>
      <w:marBottom w:val="0"/>
      <w:divBdr>
        <w:top w:val="none" w:sz="0" w:space="0" w:color="auto"/>
        <w:left w:val="none" w:sz="0" w:space="0" w:color="auto"/>
        <w:bottom w:val="none" w:sz="0" w:space="0" w:color="auto"/>
        <w:right w:val="none" w:sz="0" w:space="0" w:color="auto"/>
      </w:divBdr>
    </w:div>
    <w:div w:id="1316447598">
      <w:bodyDiv w:val="1"/>
      <w:marLeft w:val="0"/>
      <w:marRight w:val="0"/>
      <w:marTop w:val="0"/>
      <w:marBottom w:val="0"/>
      <w:divBdr>
        <w:top w:val="none" w:sz="0" w:space="0" w:color="auto"/>
        <w:left w:val="none" w:sz="0" w:space="0" w:color="auto"/>
        <w:bottom w:val="none" w:sz="0" w:space="0" w:color="auto"/>
        <w:right w:val="none" w:sz="0" w:space="0" w:color="auto"/>
      </w:divBdr>
    </w:div>
    <w:div w:id="1321890025">
      <w:bodyDiv w:val="1"/>
      <w:marLeft w:val="0"/>
      <w:marRight w:val="0"/>
      <w:marTop w:val="0"/>
      <w:marBottom w:val="0"/>
      <w:divBdr>
        <w:top w:val="none" w:sz="0" w:space="0" w:color="auto"/>
        <w:left w:val="none" w:sz="0" w:space="0" w:color="auto"/>
        <w:bottom w:val="none" w:sz="0" w:space="0" w:color="auto"/>
        <w:right w:val="none" w:sz="0" w:space="0" w:color="auto"/>
      </w:divBdr>
    </w:div>
    <w:div w:id="1324313063">
      <w:bodyDiv w:val="1"/>
      <w:marLeft w:val="0"/>
      <w:marRight w:val="0"/>
      <w:marTop w:val="0"/>
      <w:marBottom w:val="0"/>
      <w:divBdr>
        <w:top w:val="none" w:sz="0" w:space="0" w:color="auto"/>
        <w:left w:val="none" w:sz="0" w:space="0" w:color="auto"/>
        <w:bottom w:val="none" w:sz="0" w:space="0" w:color="auto"/>
        <w:right w:val="none" w:sz="0" w:space="0" w:color="auto"/>
      </w:divBdr>
    </w:div>
    <w:div w:id="1327631213">
      <w:bodyDiv w:val="1"/>
      <w:marLeft w:val="0"/>
      <w:marRight w:val="0"/>
      <w:marTop w:val="0"/>
      <w:marBottom w:val="0"/>
      <w:divBdr>
        <w:top w:val="none" w:sz="0" w:space="0" w:color="auto"/>
        <w:left w:val="none" w:sz="0" w:space="0" w:color="auto"/>
        <w:bottom w:val="none" w:sz="0" w:space="0" w:color="auto"/>
        <w:right w:val="none" w:sz="0" w:space="0" w:color="auto"/>
      </w:divBdr>
    </w:div>
    <w:div w:id="1327779373">
      <w:bodyDiv w:val="1"/>
      <w:marLeft w:val="0"/>
      <w:marRight w:val="0"/>
      <w:marTop w:val="0"/>
      <w:marBottom w:val="0"/>
      <w:divBdr>
        <w:top w:val="none" w:sz="0" w:space="0" w:color="auto"/>
        <w:left w:val="none" w:sz="0" w:space="0" w:color="auto"/>
        <w:bottom w:val="none" w:sz="0" w:space="0" w:color="auto"/>
        <w:right w:val="none" w:sz="0" w:space="0" w:color="auto"/>
      </w:divBdr>
    </w:div>
    <w:div w:id="1331912051">
      <w:bodyDiv w:val="1"/>
      <w:marLeft w:val="0"/>
      <w:marRight w:val="0"/>
      <w:marTop w:val="0"/>
      <w:marBottom w:val="0"/>
      <w:divBdr>
        <w:top w:val="none" w:sz="0" w:space="0" w:color="auto"/>
        <w:left w:val="none" w:sz="0" w:space="0" w:color="auto"/>
        <w:bottom w:val="none" w:sz="0" w:space="0" w:color="auto"/>
        <w:right w:val="none" w:sz="0" w:space="0" w:color="auto"/>
      </w:divBdr>
    </w:div>
    <w:div w:id="1334379643">
      <w:bodyDiv w:val="1"/>
      <w:marLeft w:val="0"/>
      <w:marRight w:val="0"/>
      <w:marTop w:val="0"/>
      <w:marBottom w:val="0"/>
      <w:divBdr>
        <w:top w:val="none" w:sz="0" w:space="0" w:color="auto"/>
        <w:left w:val="none" w:sz="0" w:space="0" w:color="auto"/>
        <w:bottom w:val="none" w:sz="0" w:space="0" w:color="auto"/>
        <w:right w:val="none" w:sz="0" w:space="0" w:color="auto"/>
      </w:divBdr>
    </w:div>
    <w:div w:id="1339113599">
      <w:bodyDiv w:val="1"/>
      <w:marLeft w:val="0"/>
      <w:marRight w:val="0"/>
      <w:marTop w:val="0"/>
      <w:marBottom w:val="0"/>
      <w:divBdr>
        <w:top w:val="none" w:sz="0" w:space="0" w:color="auto"/>
        <w:left w:val="none" w:sz="0" w:space="0" w:color="auto"/>
        <w:bottom w:val="none" w:sz="0" w:space="0" w:color="auto"/>
        <w:right w:val="none" w:sz="0" w:space="0" w:color="auto"/>
      </w:divBdr>
    </w:div>
    <w:div w:id="1341926663">
      <w:bodyDiv w:val="1"/>
      <w:marLeft w:val="0"/>
      <w:marRight w:val="0"/>
      <w:marTop w:val="0"/>
      <w:marBottom w:val="0"/>
      <w:divBdr>
        <w:top w:val="none" w:sz="0" w:space="0" w:color="auto"/>
        <w:left w:val="none" w:sz="0" w:space="0" w:color="auto"/>
        <w:bottom w:val="none" w:sz="0" w:space="0" w:color="auto"/>
        <w:right w:val="none" w:sz="0" w:space="0" w:color="auto"/>
      </w:divBdr>
    </w:div>
    <w:div w:id="1344160798">
      <w:bodyDiv w:val="1"/>
      <w:marLeft w:val="0"/>
      <w:marRight w:val="0"/>
      <w:marTop w:val="0"/>
      <w:marBottom w:val="0"/>
      <w:divBdr>
        <w:top w:val="none" w:sz="0" w:space="0" w:color="auto"/>
        <w:left w:val="none" w:sz="0" w:space="0" w:color="auto"/>
        <w:bottom w:val="none" w:sz="0" w:space="0" w:color="auto"/>
        <w:right w:val="none" w:sz="0" w:space="0" w:color="auto"/>
      </w:divBdr>
    </w:div>
    <w:div w:id="1347053147">
      <w:bodyDiv w:val="1"/>
      <w:marLeft w:val="0"/>
      <w:marRight w:val="0"/>
      <w:marTop w:val="0"/>
      <w:marBottom w:val="0"/>
      <w:divBdr>
        <w:top w:val="none" w:sz="0" w:space="0" w:color="auto"/>
        <w:left w:val="none" w:sz="0" w:space="0" w:color="auto"/>
        <w:bottom w:val="none" w:sz="0" w:space="0" w:color="auto"/>
        <w:right w:val="none" w:sz="0" w:space="0" w:color="auto"/>
      </w:divBdr>
    </w:div>
    <w:div w:id="1350448941">
      <w:bodyDiv w:val="1"/>
      <w:marLeft w:val="0"/>
      <w:marRight w:val="0"/>
      <w:marTop w:val="0"/>
      <w:marBottom w:val="0"/>
      <w:divBdr>
        <w:top w:val="none" w:sz="0" w:space="0" w:color="auto"/>
        <w:left w:val="none" w:sz="0" w:space="0" w:color="auto"/>
        <w:bottom w:val="none" w:sz="0" w:space="0" w:color="auto"/>
        <w:right w:val="none" w:sz="0" w:space="0" w:color="auto"/>
      </w:divBdr>
    </w:div>
    <w:div w:id="1352028834">
      <w:bodyDiv w:val="1"/>
      <w:marLeft w:val="0"/>
      <w:marRight w:val="0"/>
      <w:marTop w:val="0"/>
      <w:marBottom w:val="0"/>
      <w:divBdr>
        <w:top w:val="none" w:sz="0" w:space="0" w:color="auto"/>
        <w:left w:val="none" w:sz="0" w:space="0" w:color="auto"/>
        <w:bottom w:val="none" w:sz="0" w:space="0" w:color="auto"/>
        <w:right w:val="none" w:sz="0" w:space="0" w:color="auto"/>
      </w:divBdr>
    </w:div>
    <w:div w:id="1355108177">
      <w:bodyDiv w:val="1"/>
      <w:marLeft w:val="0"/>
      <w:marRight w:val="0"/>
      <w:marTop w:val="0"/>
      <w:marBottom w:val="0"/>
      <w:divBdr>
        <w:top w:val="none" w:sz="0" w:space="0" w:color="auto"/>
        <w:left w:val="none" w:sz="0" w:space="0" w:color="auto"/>
        <w:bottom w:val="none" w:sz="0" w:space="0" w:color="auto"/>
        <w:right w:val="none" w:sz="0" w:space="0" w:color="auto"/>
      </w:divBdr>
    </w:div>
    <w:div w:id="1355379662">
      <w:bodyDiv w:val="1"/>
      <w:marLeft w:val="0"/>
      <w:marRight w:val="0"/>
      <w:marTop w:val="0"/>
      <w:marBottom w:val="0"/>
      <w:divBdr>
        <w:top w:val="none" w:sz="0" w:space="0" w:color="auto"/>
        <w:left w:val="none" w:sz="0" w:space="0" w:color="auto"/>
        <w:bottom w:val="none" w:sz="0" w:space="0" w:color="auto"/>
        <w:right w:val="none" w:sz="0" w:space="0" w:color="auto"/>
      </w:divBdr>
    </w:div>
    <w:div w:id="1356230036">
      <w:bodyDiv w:val="1"/>
      <w:marLeft w:val="0"/>
      <w:marRight w:val="0"/>
      <w:marTop w:val="0"/>
      <w:marBottom w:val="0"/>
      <w:divBdr>
        <w:top w:val="none" w:sz="0" w:space="0" w:color="auto"/>
        <w:left w:val="none" w:sz="0" w:space="0" w:color="auto"/>
        <w:bottom w:val="none" w:sz="0" w:space="0" w:color="auto"/>
        <w:right w:val="none" w:sz="0" w:space="0" w:color="auto"/>
      </w:divBdr>
    </w:div>
    <w:div w:id="1357198094">
      <w:bodyDiv w:val="1"/>
      <w:marLeft w:val="0"/>
      <w:marRight w:val="0"/>
      <w:marTop w:val="0"/>
      <w:marBottom w:val="0"/>
      <w:divBdr>
        <w:top w:val="none" w:sz="0" w:space="0" w:color="auto"/>
        <w:left w:val="none" w:sz="0" w:space="0" w:color="auto"/>
        <w:bottom w:val="none" w:sz="0" w:space="0" w:color="auto"/>
        <w:right w:val="none" w:sz="0" w:space="0" w:color="auto"/>
      </w:divBdr>
    </w:div>
    <w:div w:id="1357653221">
      <w:bodyDiv w:val="1"/>
      <w:marLeft w:val="0"/>
      <w:marRight w:val="0"/>
      <w:marTop w:val="0"/>
      <w:marBottom w:val="0"/>
      <w:divBdr>
        <w:top w:val="none" w:sz="0" w:space="0" w:color="auto"/>
        <w:left w:val="none" w:sz="0" w:space="0" w:color="auto"/>
        <w:bottom w:val="none" w:sz="0" w:space="0" w:color="auto"/>
        <w:right w:val="none" w:sz="0" w:space="0" w:color="auto"/>
      </w:divBdr>
    </w:div>
    <w:div w:id="1358237236">
      <w:bodyDiv w:val="1"/>
      <w:marLeft w:val="0"/>
      <w:marRight w:val="0"/>
      <w:marTop w:val="0"/>
      <w:marBottom w:val="0"/>
      <w:divBdr>
        <w:top w:val="none" w:sz="0" w:space="0" w:color="auto"/>
        <w:left w:val="none" w:sz="0" w:space="0" w:color="auto"/>
        <w:bottom w:val="none" w:sz="0" w:space="0" w:color="auto"/>
        <w:right w:val="none" w:sz="0" w:space="0" w:color="auto"/>
      </w:divBdr>
    </w:div>
    <w:div w:id="1358265996">
      <w:bodyDiv w:val="1"/>
      <w:marLeft w:val="0"/>
      <w:marRight w:val="0"/>
      <w:marTop w:val="0"/>
      <w:marBottom w:val="0"/>
      <w:divBdr>
        <w:top w:val="none" w:sz="0" w:space="0" w:color="auto"/>
        <w:left w:val="none" w:sz="0" w:space="0" w:color="auto"/>
        <w:bottom w:val="none" w:sz="0" w:space="0" w:color="auto"/>
        <w:right w:val="none" w:sz="0" w:space="0" w:color="auto"/>
      </w:divBdr>
    </w:div>
    <w:div w:id="1360473570">
      <w:bodyDiv w:val="1"/>
      <w:marLeft w:val="0"/>
      <w:marRight w:val="0"/>
      <w:marTop w:val="0"/>
      <w:marBottom w:val="0"/>
      <w:divBdr>
        <w:top w:val="none" w:sz="0" w:space="0" w:color="auto"/>
        <w:left w:val="none" w:sz="0" w:space="0" w:color="auto"/>
        <w:bottom w:val="none" w:sz="0" w:space="0" w:color="auto"/>
        <w:right w:val="none" w:sz="0" w:space="0" w:color="auto"/>
      </w:divBdr>
    </w:div>
    <w:div w:id="1360550125">
      <w:bodyDiv w:val="1"/>
      <w:marLeft w:val="0"/>
      <w:marRight w:val="0"/>
      <w:marTop w:val="0"/>
      <w:marBottom w:val="0"/>
      <w:divBdr>
        <w:top w:val="none" w:sz="0" w:space="0" w:color="auto"/>
        <w:left w:val="none" w:sz="0" w:space="0" w:color="auto"/>
        <w:bottom w:val="none" w:sz="0" w:space="0" w:color="auto"/>
        <w:right w:val="none" w:sz="0" w:space="0" w:color="auto"/>
      </w:divBdr>
    </w:div>
    <w:div w:id="1363167231">
      <w:bodyDiv w:val="1"/>
      <w:marLeft w:val="0"/>
      <w:marRight w:val="0"/>
      <w:marTop w:val="0"/>
      <w:marBottom w:val="0"/>
      <w:divBdr>
        <w:top w:val="none" w:sz="0" w:space="0" w:color="auto"/>
        <w:left w:val="none" w:sz="0" w:space="0" w:color="auto"/>
        <w:bottom w:val="none" w:sz="0" w:space="0" w:color="auto"/>
        <w:right w:val="none" w:sz="0" w:space="0" w:color="auto"/>
      </w:divBdr>
    </w:div>
    <w:div w:id="1367097407">
      <w:bodyDiv w:val="1"/>
      <w:marLeft w:val="0"/>
      <w:marRight w:val="0"/>
      <w:marTop w:val="0"/>
      <w:marBottom w:val="0"/>
      <w:divBdr>
        <w:top w:val="none" w:sz="0" w:space="0" w:color="auto"/>
        <w:left w:val="none" w:sz="0" w:space="0" w:color="auto"/>
        <w:bottom w:val="none" w:sz="0" w:space="0" w:color="auto"/>
        <w:right w:val="none" w:sz="0" w:space="0" w:color="auto"/>
      </w:divBdr>
    </w:div>
    <w:div w:id="1369455937">
      <w:bodyDiv w:val="1"/>
      <w:marLeft w:val="0"/>
      <w:marRight w:val="0"/>
      <w:marTop w:val="0"/>
      <w:marBottom w:val="0"/>
      <w:divBdr>
        <w:top w:val="none" w:sz="0" w:space="0" w:color="auto"/>
        <w:left w:val="none" w:sz="0" w:space="0" w:color="auto"/>
        <w:bottom w:val="none" w:sz="0" w:space="0" w:color="auto"/>
        <w:right w:val="none" w:sz="0" w:space="0" w:color="auto"/>
      </w:divBdr>
    </w:div>
    <w:div w:id="1371875548">
      <w:bodyDiv w:val="1"/>
      <w:marLeft w:val="0"/>
      <w:marRight w:val="0"/>
      <w:marTop w:val="0"/>
      <w:marBottom w:val="0"/>
      <w:divBdr>
        <w:top w:val="none" w:sz="0" w:space="0" w:color="auto"/>
        <w:left w:val="none" w:sz="0" w:space="0" w:color="auto"/>
        <w:bottom w:val="none" w:sz="0" w:space="0" w:color="auto"/>
        <w:right w:val="none" w:sz="0" w:space="0" w:color="auto"/>
      </w:divBdr>
    </w:div>
    <w:div w:id="1372999428">
      <w:bodyDiv w:val="1"/>
      <w:marLeft w:val="0"/>
      <w:marRight w:val="0"/>
      <w:marTop w:val="0"/>
      <w:marBottom w:val="0"/>
      <w:divBdr>
        <w:top w:val="none" w:sz="0" w:space="0" w:color="auto"/>
        <w:left w:val="none" w:sz="0" w:space="0" w:color="auto"/>
        <w:bottom w:val="none" w:sz="0" w:space="0" w:color="auto"/>
        <w:right w:val="none" w:sz="0" w:space="0" w:color="auto"/>
      </w:divBdr>
    </w:div>
    <w:div w:id="1374428180">
      <w:bodyDiv w:val="1"/>
      <w:marLeft w:val="0"/>
      <w:marRight w:val="0"/>
      <w:marTop w:val="0"/>
      <w:marBottom w:val="0"/>
      <w:divBdr>
        <w:top w:val="none" w:sz="0" w:space="0" w:color="auto"/>
        <w:left w:val="none" w:sz="0" w:space="0" w:color="auto"/>
        <w:bottom w:val="none" w:sz="0" w:space="0" w:color="auto"/>
        <w:right w:val="none" w:sz="0" w:space="0" w:color="auto"/>
      </w:divBdr>
    </w:div>
    <w:div w:id="1374845250">
      <w:bodyDiv w:val="1"/>
      <w:marLeft w:val="0"/>
      <w:marRight w:val="0"/>
      <w:marTop w:val="0"/>
      <w:marBottom w:val="0"/>
      <w:divBdr>
        <w:top w:val="none" w:sz="0" w:space="0" w:color="auto"/>
        <w:left w:val="none" w:sz="0" w:space="0" w:color="auto"/>
        <w:bottom w:val="none" w:sz="0" w:space="0" w:color="auto"/>
        <w:right w:val="none" w:sz="0" w:space="0" w:color="auto"/>
      </w:divBdr>
    </w:div>
    <w:div w:id="1385182414">
      <w:bodyDiv w:val="1"/>
      <w:marLeft w:val="0"/>
      <w:marRight w:val="0"/>
      <w:marTop w:val="0"/>
      <w:marBottom w:val="0"/>
      <w:divBdr>
        <w:top w:val="none" w:sz="0" w:space="0" w:color="auto"/>
        <w:left w:val="none" w:sz="0" w:space="0" w:color="auto"/>
        <w:bottom w:val="none" w:sz="0" w:space="0" w:color="auto"/>
        <w:right w:val="none" w:sz="0" w:space="0" w:color="auto"/>
      </w:divBdr>
    </w:div>
    <w:div w:id="1385451409">
      <w:bodyDiv w:val="1"/>
      <w:marLeft w:val="0"/>
      <w:marRight w:val="0"/>
      <w:marTop w:val="0"/>
      <w:marBottom w:val="0"/>
      <w:divBdr>
        <w:top w:val="none" w:sz="0" w:space="0" w:color="auto"/>
        <w:left w:val="none" w:sz="0" w:space="0" w:color="auto"/>
        <w:bottom w:val="none" w:sz="0" w:space="0" w:color="auto"/>
        <w:right w:val="none" w:sz="0" w:space="0" w:color="auto"/>
      </w:divBdr>
    </w:div>
    <w:div w:id="1386874823">
      <w:bodyDiv w:val="1"/>
      <w:marLeft w:val="0"/>
      <w:marRight w:val="0"/>
      <w:marTop w:val="0"/>
      <w:marBottom w:val="0"/>
      <w:divBdr>
        <w:top w:val="none" w:sz="0" w:space="0" w:color="auto"/>
        <w:left w:val="none" w:sz="0" w:space="0" w:color="auto"/>
        <w:bottom w:val="none" w:sz="0" w:space="0" w:color="auto"/>
        <w:right w:val="none" w:sz="0" w:space="0" w:color="auto"/>
      </w:divBdr>
    </w:div>
    <w:div w:id="1387490728">
      <w:bodyDiv w:val="1"/>
      <w:marLeft w:val="0"/>
      <w:marRight w:val="0"/>
      <w:marTop w:val="0"/>
      <w:marBottom w:val="0"/>
      <w:divBdr>
        <w:top w:val="none" w:sz="0" w:space="0" w:color="auto"/>
        <w:left w:val="none" w:sz="0" w:space="0" w:color="auto"/>
        <w:bottom w:val="none" w:sz="0" w:space="0" w:color="auto"/>
        <w:right w:val="none" w:sz="0" w:space="0" w:color="auto"/>
      </w:divBdr>
    </w:div>
    <w:div w:id="1389456165">
      <w:bodyDiv w:val="1"/>
      <w:marLeft w:val="0"/>
      <w:marRight w:val="0"/>
      <w:marTop w:val="0"/>
      <w:marBottom w:val="0"/>
      <w:divBdr>
        <w:top w:val="none" w:sz="0" w:space="0" w:color="auto"/>
        <w:left w:val="none" w:sz="0" w:space="0" w:color="auto"/>
        <w:bottom w:val="none" w:sz="0" w:space="0" w:color="auto"/>
        <w:right w:val="none" w:sz="0" w:space="0" w:color="auto"/>
      </w:divBdr>
    </w:div>
    <w:div w:id="1391033476">
      <w:bodyDiv w:val="1"/>
      <w:marLeft w:val="0"/>
      <w:marRight w:val="0"/>
      <w:marTop w:val="0"/>
      <w:marBottom w:val="0"/>
      <w:divBdr>
        <w:top w:val="none" w:sz="0" w:space="0" w:color="auto"/>
        <w:left w:val="none" w:sz="0" w:space="0" w:color="auto"/>
        <w:bottom w:val="none" w:sz="0" w:space="0" w:color="auto"/>
        <w:right w:val="none" w:sz="0" w:space="0" w:color="auto"/>
      </w:divBdr>
    </w:div>
    <w:div w:id="1395161094">
      <w:bodyDiv w:val="1"/>
      <w:marLeft w:val="0"/>
      <w:marRight w:val="0"/>
      <w:marTop w:val="0"/>
      <w:marBottom w:val="0"/>
      <w:divBdr>
        <w:top w:val="none" w:sz="0" w:space="0" w:color="auto"/>
        <w:left w:val="none" w:sz="0" w:space="0" w:color="auto"/>
        <w:bottom w:val="none" w:sz="0" w:space="0" w:color="auto"/>
        <w:right w:val="none" w:sz="0" w:space="0" w:color="auto"/>
      </w:divBdr>
    </w:div>
    <w:div w:id="1396197355">
      <w:bodyDiv w:val="1"/>
      <w:marLeft w:val="0"/>
      <w:marRight w:val="0"/>
      <w:marTop w:val="0"/>
      <w:marBottom w:val="0"/>
      <w:divBdr>
        <w:top w:val="none" w:sz="0" w:space="0" w:color="auto"/>
        <w:left w:val="none" w:sz="0" w:space="0" w:color="auto"/>
        <w:bottom w:val="none" w:sz="0" w:space="0" w:color="auto"/>
        <w:right w:val="none" w:sz="0" w:space="0" w:color="auto"/>
      </w:divBdr>
    </w:div>
    <w:div w:id="1396900644">
      <w:bodyDiv w:val="1"/>
      <w:marLeft w:val="0"/>
      <w:marRight w:val="0"/>
      <w:marTop w:val="0"/>
      <w:marBottom w:val="0"/>
      <w:divBdr>
        <w:top w:val="none" w:sz="0" w:space="0" w:color="auto"/>
        <w:left w:val="none" w:sz="0" w:space="0" w:color="auto"/>
        <w:bottom w:val="none" w:sz="0" w:space="0" w:color="auto"/>
        <w:right w:val="none" w:sz="0" w:space="0" w:color="auto"/>
      </w:divBdr>
    </w:div>
    <w:div w:id="1400060115">
      <w:bodyDiv w:val="1"/>
      <w:marLeft w:val="0"/>
      <w:marRight w:val="0"/>
      <w:marTop w:val="0"/>
      <w:marBottom w:val="0"/>
      <w:divBdr>
        <w:top w:val="none" w:sz="0" w:space="0" w:color="auto"/>
        <w:left w:val="none" w:sz="0" w:space="0" w:color="auto"/>
        <w:bottom w:val="none" w:sz="0" w:space="0" w:color="auto"/>
        <w:right w:val="none" w:sz="0" w:space="0" w:color="auto"/>
      </w:divBdr>
    </w:div>
    <w:div w:id="1400135399">
      <w:bodyDiv w:val="1"/>
      <w:marLeft w:val="0"/>
      <w:marRight w:val="0"/>
      <w:marTop w:val="0"/>
      <w:marBottom w:val="0"/>
      <w:divBdr>
        <w:top w:val="none" w:sz="0" w:space="0" w:color="auto"/>
        <w:left w:val="none" w:sz="0" w:space="0" w:color="auto"/>
        <w:bottom w:val="none" w:sz="0" w:space="0" w:color="auto"/>
        <w:right w:val="none" w:sz="0" w:space="0" w:color="auto"/>
      </w:divBdr>
    </w:div>
    <w:div w:id="1402172614">
      <w:bodyDiv w:val="1"/>
      <w:marLeft w:val="0"/>
      <w:marRight w:val="0"/>
      <w:marTop w:val="0"/>
      <w:marBottom w:val="0"/>
      <w:divBdr>
        <w:top w:val="none" w:sz="0" w:space="0" w:color="auto"/>
        <w:left w:val="none" w:sz="0" w:space="0" w:color="auto"/>
        <w:bottom w:val="none" w:sz="0" w:space="0" w:color="auto"/>
        <w:right w:val="none" w:sz="0" w:space="0" w:color="auto"/>
      </w:divBdr>
    </w:div>
    <w:div w:id="1403868207">
      <w:bodyDiv w:val="1"/>
      <w:marLeft w:val="0"/>
      <w:marRight w:val="0"/>
      <w:marTop w:val="0"/>
      <w:marBottom w:val="0"/>
      <w:divBdr>
        <w:top w:val="none" w:sz="0" w:space="0" w:color="auto"/>
        <w:left w:val="none" w:sz="0" w:space="0" w:color="auto"/>
        <w:bottom w:val="none" w:sz="0" w:space="0" w:color="auto"/>
        <w:right w:val="none" w:sz="0" w:space="0" w:color="auto"/>
      </w:divBdr>
    </w:div>
    <w:div w:id="1405033128">
      <w:bodyDiv w:val="1"/>
      <w:marLeft w:val="0"/>
      <w:marRight w:val="0"/>
      <w:marTop w:val="0"/>
      <w:marBottom w:val="0"/>
      <w:divBdr>
        <w:top w:val="none" w:sz="0" w:space="0" w:color="auto"/>
        <w:left w:val="none" w:sz="0" w:space="0" w:color="auto"/>
        <w:bottom w:val="none" w:sz="0" w:space="0" w:color="auto"/>
        <w:right w:val="none" w:sz="0" w:space="0" w:color="auto"/>
      </w:divBdr>
    </w:div>
    <w:div w:id="1408923269">
      <w:bodyDiv w:val="1"/>
      <w:marLeft w:val="0"/>
      <w:marRight w:val="0"/>
      <w:marTop w:val="0"/>
      <w:marBottom w:val="0"/>
      <w:divBdr>
        <w:top w:val="none" w:sz="0" w:space="0" w:color="auto"/>
        <w:left w:val="none" w:sz="0" w:space="0" w:color="auto"/>
        <w:bottom w:val="none" w:sz="0" w:space="0" w:color="auto"/>
        <w:right w:val="none" w:sz="0" w:space="0" w:color="auto"/>
      </w:divBdr>
    </w:div>
    <w:div w:id="1410081508">
      <w:bodyDiv w:val="1"/>
      <w:marLeft w:val="0"/>
      <w:marRight w:val="0"/>
      <w:marTop w:val="0"/>
      <w:marBottom w:val="0"/>
      <w:divBdr>
        <w:top w:val="none" w:sz="0" w:space="0" w:color="auto"/>
        <w:left w:val="none" w:sz="0" w:space="0" w:color="auto"/>
        <w:bottom w:val="none" w:sz="0" w:space="0" w:color="auto"/>
        <w:right w:val="none" w:sz="0" w:space="0" w:color="auto"/>
      </w:divBdr>
    </w:div>
    <w:div w:id="1412387026">
      <w:bodyDiv w:val="1"/>
      <w:marLeft w:val="0"/>
      <w:marRight w:val="0"/>
      <w:marTop w:val="0"/>
      <w:marBottom w:val="0"/>
      <w:divBdr>
        <w:top w:val="none" w:sz="0" w:space="0" w:color="auto"/>
        <w:left w:val="none" w:sz="0" w:space="0" w:color="auto"/>
        <w:bottom w:val="none" w:sz="0" w:space="0" w:color="auto"/>
        <w:right w:val="none" w:sz="0" w:space="0" w:color="auto"/>
      </w:divBdr>
      <w:divsChild>
        <w:div w:id="1028334463">
          <w:marLeft w:val="0"/>
          <w:marRight w:val="0"/>
          <w:marTop w:val="0"/>
          <w:marBottom w:val="0"/>
          <w:divBdr>
            <w:top w:val="none" w:sz="0" w:space="0" w:color="auto"/>
            <w:left w:val="none" w:sz="0" w:space="0" w:color="auto"/>
            <w:bottom w:val="none" w:sz="0" w:space="0" w:color="auto"/>
            <w:right w:val="none" w:sz="0" w:space="0" w:color="auto"/>
          </w:divBdr>
          <w:divsChild>
            <w:div w:id="1895432987">
              <w:marLeft w:val="0"/>
              <w:marRight w:val="0"/>
              <w:marTop w:val="0"/>
              <w:marBottom w:val="0"/>
              <w:divBdr>
                <w:top w:val="none" w:sz="0" w:space="0" w:color="auto"/>
                <w:left w:val="none" w:sz="0" w:space="0" w:color="auto"/>
                <w:bottom w:val="none" w:sz="0" w:space="0" w:color="auto"/>
                <w:right w:val="none" w:sz="0" w:space="0" w:color="auto"/>
              </w:divBdr>
              <w:divsChild>
                <w:div w:id="10415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13469">
      <w:bodyDiv w:val="1"/>
      <w:marLeft w:val="0"/>
      <w:marRight w:val="0"/>
      <w:marTop w:val="0"/>
      <w:marBottom w:val="0"/>
      <w:divBdr>
        <w:top w:val="none" w:sz="0" w:space="0" w:color="auto"/>
        <w:left w:val="none" w:sz="0" w:space="0" w:color="auto"/>
        <w:bottom w:val="none" w:sz="0" w:space="0" w:color="auto"/>
        <w:right w:val="none" w:sz="0" w:space="0" w:color="auto"/>
      </w:divBdr>
    </w:div>
    <w:div w:id="1416199105">
      <w:bodyDiv w:val="1"/>
      <w:marLeft w:val="0"/>
      <w:marRight w:val="0"/>
      <w:marTop w:val="0"/>
      <w:marBottom w:val="0"/>
      <w:divBdr>
        <w:top w:val="none" w:sz="0" w:space="0" w:color="auto"/>
        <w:left w:val="none" w:sz="0" w:space="0" w:color="auto"/>
        <w:bottom w:val="none" w:sz="0" w:space="0" w:color="auto"/>
        <w:right w:val="none" w:sz="0" w:space="0" w:color="auto"/>
      </w:divBdr>
    </w:div>
    <w:div w:id="1417480105">
      <w:bodyDiv w:val="1"/>
      <w:marLeft w:val="0"/>
      <w:marRight w:val="0"/>
      <w:marTop w:val="0"/>
      <w:marBottom w:val="0"/>
      <w:divBdr>
        <w:top w:val="none" w:sz="0" w:space="0" w:color="auto"/>
        <w:left w:val="none" w:sz="0" w:space="0" w:color="auto"/>
        <w:bottom w:val="none" w:sz="0" w:space="0" w:color="auto"/>
        <w:right w:val="none" w:sz="0" w:space="0" w:color="auto"/>
      </w:divBdr>
    </w:div>
    <w:div w:id="1417630163">
      <w:bodyDiv w:val="1"/>
      <w:marLeft w:val="0"/>
      <w:marRight w:val="0"/>
      <w:marTop w:val="0"/>
      <w:marBottom w:val="0"/>
      <w:divBdr>
        <w:top w:val="none" w:sz="0" w:space="0" w:color="auto"/>
        <w:left w:val="none" w:sz="0" w:space="0" w:color="auto"/>
        <w:bottom w:val="none" w:sz="0" w:space="0" w:color="auto"/>
        <w:right w:val="none" w:sz="0" w:space="0" w:color="auto"/>
      </w:divBdr>
    </w:div>
    <w:div w:id="1417871424">
      <w:bodyDiv w:val="1"/>
      <w:marLeft w:val="0"/>
      <w:marRight w:val="0"/>
      <w:marTop w:val="0"/>
      <w:marBottom w:val="0"/>
      <w:divBdr>
        <w:top w:val="none" w:sz="0" w:space="0" w:color="auto"/>
        <w:left w:val="none" w:sz="0" w:space="0" w:color="auto"/>
        <w:bottom w:val="none" w:sz="0" w:space="0" w:color="auto"/>
        <w:right w:val="none" w:sz="0" w:space="0" w:color="auto"/>
      </w:divBdr>
      <w:divsChild>
        <w:div w:id="575438706">
          <w:marLeft w:val="0"/>
          <w:marRight w:val="0"/>
          <w:marTop w:val="0"/>
          <w:marBottom w:val="0"/>
          <w:divBdr>
            <w:top w:val="none" w:sz="0" w:space="0" w:color="auto"/>
            <w:left w:val="none" w:sz="0" w:space="0" w:color="auto"/>
            <w:bottom w:val="none" w:sz="0" w:space="0" w:color="auto"/>
            <w:right w:val="none" w:sz="0" w:space="0" w:color="auto"/>
          </w:divBdr>
          <w:divsChild>
            <w:div w:id="336812826">
              <w:marLeft w:val="0"/>
              <w:marRight w:val="0"/>
              <w:marTop w:val="0"/>
              <w:marBottom w:val="0"/>
              <w:divBdr>
                <w:top w:val="none" w:sz="0" w:space="0" w:color="auto"/>
                <w:left w:val="none" w:sz="0" w:space="0" w:color="auto"/>
                <w:bottom w:val="none" w:sz="0" w:space="0" w:color="auto"/>
                <w:right w:val="none" w:sz="0" w:space="0" w:color="auto"/>
              </w:divBdr>
              <w:divsChild>
                <w:div w:id="16724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7655">
      <w:bodyDiv w:val="1"/>
      <w:marLeft w:val="0"/>
      <w:marRight w:val="0"/>
      <w:marTop w:val="0"/>
      <w:marBottom w:val="0"/>
      <w:divBdr>
        <w:top w:val="none" w:sz="0" w:space="0" w:color="auto"/>
        <w:left w:val="none" w:sz="0" w:space="0" w:color="auto"/>
        <w:bottom w:val="none" w:sz="0" w:space="0" w:color="auto"/>
        <w:right w:val="none" w:sz="0" w:space="0" w:color="auto"/>
      </w:divBdr>
    </w:div>
    <w:div w:id="1419475422">
      <w:bodyDiv w:val="1"/>
      <w:marLeft w:val="0"/>
      <w:marRight w:val="0"/>
      <w:marTop w:val="0"/>
      <w:marBottom w:val="0"/>
      <w:divBdr>
        <w:top w:val="none" w:sz="0" w:space="0" w:color="auto"/>
        <w:left w:val="none" w:sz="0" w:space="0" w:color="auto"/>
        <w:bottom w:val="none" w:sz="0" w:space="0" w:color="auto"/>
        <w:right w:val="none" w:sz="0" w:space="0" w:color="auto"/>
      </w:divBdr>
    </w:div>
    <w:div w:id="1421566217">
      <w:bodyDiv w:val="1"/>
      <w:marLeft w:val="0"/>
      <w:marRight w:val="0"/>
      <w:marTop w:val="0"/>
      <w:marBottom w:val="0"/>
      <w:divBdr>
        <w:top w:val="none" w:sz="0" w:space="0" w:color="auto"/>
        <w:left w:val="none" w:sz="0" w:space="0" w:color="auto"/>
        <w:bottom w:val="none" w:sz="0" w:space="0" w:color="auto"/>
        <w:right w:val="none" w:sz="0" w:space="0" w:color="auto"/>
      </w:divBdr>
    </w:div>
    <w:div w:id="1421875419">
      <w:bodyDiv w:val="1"/>
      <w:marLeft w:val="0"/>
      <w:marRight w:val="0"/>
      <w:marTop w:val="0"/>
      <w:marBottom w:val="0"/>
      <w:divBdr>
        <w:top w:val="none" w:sz="0" w:space="0" w:color="auto"/>
        <w:left w:val="none" w:sz="0" w:space="0" w:color="auto"/>
        <w:bottom w:val="none" w:sz="0" w:space="0" w:color="auto"/>
        <w:right w:val="none" w:sz="0" w:space="0" w:color="auto"/>
      </w:divBdr>
    </w:div>
    <w:div w:id="1423718639">
      <w:bodyDiv w:val="1"/>
      <w:marLeft w:val="0"/>
      <w:marRight w:val="0"/>
      <w:marTop w:val="0"/>
      <w:marBottom w:val="0"/>
      <w:divBdr>
        <w:top w:val="none" w:sz="0" w:space="0" w:color="auto"/>
        <w:left w:val="none" w:sz="0" w:space="0" w:color="auto"/>
        <w:bottom w:val="none" w:sz="0" w:space="0" w:color="auto"/>
        <w:right w:val="none" w:sz="0" w:space="0" w:color="auto"/>
      </w:divBdr>
    </w:div>
    <w:div w:id="1424690141">
      <w:bodyDiv w:val="1"/>
      <w:marLeft w:val="0"/>
      <w:marRight w:val="0"/>
      <w:marTop w:val="0"/>
      <w:marBottom w:val="0"/>
      <w:divBdr>
        <w:top w:val="none" w:sz="0" w:space="0" w:color="auto"/>
        <w:left w:val="none" w:sz="0" w:space="0" w:color="auto"/>
        <w:bottom w:val="none" w:sz="0" w:space="0" w:color="auto"/>
        <w:right w:val="none" w:sz="0" w:space="0" w:color="auto"/>
      </w:divBdr>
    </w:div>
    <w:div w:id="1428697705">
      <w:bodyDiv w:val="1"/>
      <w:marLeft w:val="0"/>
      <w:marRight w:val="0"/>
      <w:marTop w:val="0"/>
      <w:marBottom w:val="0"/>
      <w:divBdr>
        <w:top w:val="none" w:sz="0" w:space="0" w:color="auto"/>
        <w:left w:val="none" w:sz="0" w:space="0" w:color="auto"/>
        <w:bottom w:val="none" w:sz="0" w:space="0" w:color="auto"/>
        <w:right w:val="none" w:sz="0" w:space="0" w:color="auto"/>
      </w:divBdr>
    </w:div>
    <w:div w:id="1429542506">
      <w:bodyDiv w:val="1"/>
      <w:marLeft w:val="0"/>
      <w:marRight w:val="0"/>
      <w:marTop w:val="0"/>
      <w:marBottom w:val="0"/>
      <w:divBdr>
        <w:top w:val="none" w:sz="0" w:space="0" w:color="auto"/>
        <w:left w:val="none" w:sz="0" w:space="0" w:color="auto"/>
        <w:bottom w:val="none" w:sz="0" w:space="0" w:color="auto"/>
        <w:right w:val="none" w:sz="0" w:space="0" w:color="auto"/>
      </w:divBdr>
    </w:div>
    <w:div w:id="1433210719">
      <w:bodyDiv w:val="1"/>
      <w:marLeft w:val="0"/>
      <w:marRight w:val="0"/>
      <w:marTop w:val="0"/>
      <w:marBottom w:val="0"/>
      <w:divBdr>
        <w:top w:val="none" w:sz="0" w:space="0" w:color="auto"/>
        <w:left w:val="none" w:sz="0" w:space="0" w:color="auto"/>
        <w:bottom w:val="none" w:sz="0" w:space="0" w:color="auto"/>
        <w:right w:val="none" w:sz="0" w:space="0" w:color="auto"/>
      </w:divBdr>
    </w:div>
    <w:div w:id="1439831842">
      <w:bodyDiv w:val="1"/>
      <w:marLeft w:val="0"/>
      <w:marRight w:val="0"/>
      <w:marTop w:val="0"/>
      <w:marBottom w:val="0"/>
      <w:divBdr>
        <w:top w:val="none" w:sz="0" w:space="0" w:color="auto"/>
        <w:left w:val="none" w:sz="0" w:space="0" w:color="auto"/>
        <w:bottom w:val="none" w:sz="0" w:space="0" w:color="auto"/>
        <w:right w:val="none" w:sz="0" w:space="0" w:color="auto"/>
      </w:divBdr>
    </w:div>
    <w:div w:id="1440760397">
      <w:bodyDiv w:val="1"/>
      <w:marLeft w:val="0"/>
      <w:marRight w:val="0"/>
      <w:marTop w:val="0"/>
      <w:marBottom w:val="0"/>
      <w:divBdr>
        <w:top w:val="none" w:sz="0" w:space="0" w:color="auto"/>
        <w:left w:val="none" w:sz="0" w:space="0" w:color="auto"/>
        <w:bottom w:val="none" w:sz="0" w:space="0" w:color="auto"/>
        <w:right w:val="none" w:sz="0" w:space="0" w:color="auto"/>
      </w:divBdr>
    </w:div>
    <w:div w:id="1441531164">
      <w:bodyDiv w:val="1"/>
      <w:marLeft w:val="0"/>
      <w:marRight w:val="0"/>
      <w:marTop w:val="0"/>
      <w:marBottom w:val="0"/>
      <w:divBdr>
        <w:top w:val="none" w:sz="0" w:space="0" w:color="auto"/>
        <w:left w:val="none" w:sz="0" w:space="0" w:color="auto"/>
        <w:bottom w:val="none" w:sz="0" w:space="0" w:color="auto"/>
        <w:right w:val="none" w:sz="0" w:space="0" w:color="auto"/>
      </w:divBdr>
    </w:div>
    <w:div w:id="1442610650">
      <w:bodyDiv w:val="1"/>
      <w:marLeft w:val="0"/>
      <w:marRight w:val="0"/>
      <w:marTop w:val="0"/>
      <w:marBottom w:val="0"/>
      <w:divBdr>
        <w:top w:val="none" w:sz="0" w:space="0" w:color="auto"/>
        <w:left w:val="none" w:sz="0" w:space="0" w:color="auto"/>
        <w:bottom w:val="none" w:sz="0" w:space="0" w:color="auto"/>
        <w:right w:val="none" w:sz="0" w:space="0" w:color="auto"/>
      </w:divBdr>
    </w:div>
    <w:div w:id="1443764840">
      <w:bodyDiv w:val="1"/>
      <w:marLeft w:val="0"/>
      <w:marRight w:val="0"/>
      <w:marTop w:val="0"/>
      <w:marBottom w:val="0"/>
      <w:divBdr>
        <w:top w:val="none" w:sz="0" w:space="0" w:color="auto"/>
        <w:left w:val="none" w:sz="0" w:space="0" w:color="auto"/>
        <w:bottom w:val="none" w:sz="0" w:space="0" w:color="auto"/>
        <w:right w:val="none" w:sz="0" w:space="0" w:color="auto"/>
      </w:divBdr>
    </w:div>
    <w:div w:id="1444575874">
      <w:bodyDiv w:val="1"/>
      <w:marLeft w:val="0"/>
      <w:marRight w:val="0"/>
      <w:marTop w:val="0"/>
      <w:marBottom w:val="0"/>
      <w:divBdr>
        <w:top w:val="none" w:sz="0" w:space="0" w:color="auto"/>
        <w:left w:val="none" w:sz="0" w:space="0" w:color="auto"/>
        <w:bottom w:val="none" w:sz="0" w:space="0" w:color="auto"/>
        <w:right w:val="none" w:sz="0" w:space="0" w:color="auto"/>
      </w:divBdr>
    </w:div>
    <w:div w:id="1450705817">
      <w:bodyDiv w:val="1"/>
      <w:marLeft w:val="0"/>
      <w:marRight w:val="0"/>
      <w:marTop w:val="0"/>
      <w:marBottom w:val="0"/>
      <w:divBdr>
        <w:top w:val="none" w:sz="0" w:space="0" w:color="auto"/>
        <w:left w:val="none" w:sz="0" w:space="0" w:color="auto"/>
        <w:bottom w:val="none" w:sz="0" w:space="0" w:color="auto"/>
        <w:right w:val="none" w:sz="0" w:space="0" w:color="auto"/>
      </w:divBdr>
    </w:div>
    <w:div w:id="1456950494">
      <w:bodyDiv w:val="1"/>
      <w:marLeft w:val="0"/>
      <w:marRight w:val="0"/>
      <w:marTop w:val="0"/>
      <w:marBottom w:val="0"/>
      <w:divBdr>
        <w:top w:val="none" w:sz="0" w:space="0" w:color="auto"/>
        <w:left w:val="none" w:sz="0" w:space="0" w:color="auto"/>
        <w:bottom w:val="none" w:sz="0" w:space="0" w:color="auto"/>
        <w:right w:val="none" w:sz="0" w:space="0" w:color="auto"/>
      </w:divBdr>
    </w:div>
    <w:div w:id="1463041326">
      <w:bodyDiv w:val="1"/>
      <w:marLeft w:val="0"/>
      <w:marRight w:val="0"/>
      <w:marTop w:val="0"/>
      <w:marBottom w:val="0"/>
      <w:divBdr>
        <w:top w:val="none" w:sz="0" w:space="0" w:color="auto"/>
        <w:left w:val="none" w:sz="0" w:space="0" w:color="auto"/>
        <w:bottom w:val="none" w:sz="0" w:space="0" w:color="auto"/>
        <w:right w:val="none" w:sz="0" w:space="0" w:color="auto"/>
      </w:divBdr>
    </w:div>
    <w:div w:id="1463696731">
      <w:bodyDiv w:val="1"/>
      <w:marLeft w:val="0"/>
      <w:marRight w:val="0"/>
      <w:marTop w:val="0"/>
      <w:marBottom w:val="0"/>
      <w:divBdr>
        <w:top w:val="none" w:sz="0" w:space="0" w:color="auto"/>
        <w:left w:val="none" w:sz="0" w:space="0" w:color="auto"/>
        <w:bottom w:val="none" w:sz="0" w:space="0" w:color="auto"/>
        <w:right w:val="none" w:sz="0" w:space="0" w:color="auto"/>
      </w:divBdr>
    </w:div>
    <w:div w:id="1469712954">
      <w:bodyDiv w:val="1"/>
      <w:marLeft w:val="0"/>
      <w:marRight w:val="0"/>
      <w:marTop w:val="0"/>
      <w:marBottom w:val="0"/>
      <w:divBdr>
        <w:top w:val="none" w:sz="0" w:space="0" w:color="auto"/>
        <w:left w:val="none" w:sz="0" w:space="0" w:color="auto"/>
        <w:bottom w:val="none" w:sz="0" w:space="0" w:color="auto"/>
        <w:right w:val="none" w:sz="0" w:space="0" w:color="auto"/>
      </w:divBdr>
    </w:div>
    <w:div w:id="1472333434">
      <w:bodyDiv w:val="1"/>
      <w:marLeft w:val="0"/>
      <w:marRight w:val="0"/>
      <w:marTop w:val="0"/>
      <w:marBottom w:val="0"/>
      <w:divBdr>
        <w:top w:val="none" w:sz="0" w:space="0" w:color="auto"/>
        <w:left w:val="none" w:sz="0" w:space="0" w:color="auto"/>
        <w:bottom w:val="none" w:sz="0" w:space="0" w:color="auto"/>
        <w:right w:val="none" w:sz="0" w:space="0" w:color="auto"/>
      </w:divBdr>
    </w:div>
    <w:div w:id="1475902563">
      <w:bodyDiv w:val="1"/>
      <w:marLeft w:val="0"/>
      <w:marRight w:val="0"/>
      <w:marTop w:val="0"/>
      <w:marBottom w:val="0"/>
      <w:divBdr>
        <w:top w:val="none" w:sz="0" w:space="0" w:color="auto"/>
        <w:left w:val="none" w:sz="0" w:space="0" w:color="auto"/>
        <w:bottom w:val="none" w:sz="0" w:space="0" w:color="auto"/>
        <w:right w:val="none" w:sz="0" w:space="0" w:color="auto"/>
      </w:divBdr>
    </w:div>
    <w:div w:id="1478647362">
      <w:bodyDiv w:val="1"/>
      <w:marLeft w:val="0"/>
      <w:marRight w:val="0"/>
      <w:marTop w:val="0"/>
      <w:marBottom w:val="0"/>
      <w:divBdr>
        <w:top w:val="none" w:sz="0" w:space="0" w:color="auto"/>
        <w:left w:val="none" w:sz="0" w:space="0" w:color="auto"/>
        <w:bottom w:val="none" w:sz="0" w:space="0" w:color="auto"/>
        <w:right w:val="none" w:sz="0" w:space="0" w:color="auto"/>
      </w:divBdr>
    </w:div>
    <w:div w:id="1479348391">
      <w:bodyDiv w:val="1"/>
      <w:marLeft w:val="0"/>
      <w:marRight w:val="0"/>
      <w:marTop w:val="0"/>
      <w:marBottom w:val="0"/>
      <w:divBdr>
        <w:top w:val="none" w:sz="0" w:space="0" w:color="auto"/>
        <w:left w:val="none" w:sz="0" w:space="0" w:color="auto"/>
        <w:bottom w:val="none" w:sz="0" w:space="0" w:color="auto"/>
        <w:right w:val="none" w:sz="0" w:space="0" w:color="auto"/>
      </w:divBdr>
    </w:div>
    <w:div w:id="1479686069">
      <w:bodyDiv w:val="1"/>
      <w:marLeft w:val="0"/>
      <w:marRight w:val="0"/>
      <w:marTop w:val="0"/>
      <w:marBottom w:val="0"/>
      <w:divBdr>
        <w:top w:val="none" w:sz="0" w:space="0" w:color="auto"/>
        <w:left w:val="none" w:sz="0" w:space="0" w:color="auto"/>
        <w:bottom w:val="none" w:sz="0" w:space="0" w:color="auto"/>
        <w:right w:val="none" w:sz="0" w:space="0" w:color="auto"/>
      </w:divBdr>
    </w:div>
    <w:div w:id="1479691404">
      <w:bodyDiv w:val="1"/>
      <w:marLeft w:val="0"/>
      <w:marRight w:val="0"/>
      <w:marTop w:val="0"/>
      <w:marBottom w:val="0"/>
      <w:divBdr>
        <w:top w:val="none" w:sz="0" w:space="0" w:color="auto"/>
        <w:left w:val="none" w:sz="0" w:space="0" w:color="auto"/>
        <w:bottom w:val="none" w:sz="0" w:space="0" w:color="auto"/>
        <w:right w:val="none" w:sz="0" w:space="0" w:color="auto"/>
      </w:divBdr>
    </w:div>
    <w:div w:id="1481380499">
      <w:bodyDiv w:val="1"/>
      <w:marLeft w:val="0"/>
      <w:marRight w:val="0"/>
      <w:marTop w:val="0"/>
      <w:marBottom w:val="0"/>
      <w:divBdr>
        <w:top w:val="none" w:sz="0" w:space="0" w:color="auto"/>
        <w:left w:val="none" w:sz="0" w:space="0" w:color="auto"/>
        <w:bottom w:val="none" w:sz="0" w:space="0" w:color="auto"/>
        <w:right w:val="none" w:sz="0" w:space="0" w:color="auto"/>
      </w:divBdr>
    </w:div>
    <w:div w:id="1481726500">
      <w:bodyDiv w:val="1"/>
      <w:marLeft w:val="0"/>
      <w:marRight w:val="0"/>
      <w:marTop w:val="0"/>
      <w:marBottom w:val="0"/>
      <w:divBdr>
        <w:top w:val="none" w:sz="0" w:space="0" w:color="auto"/>
        <w:left w:val="none" w:sz="0" w:space="0" w:color="auto"/>
        <w:bottom w:val="none" w:sz="0" w:space="0" w:color="auto"/>
        <w:right w:val="none" w:sz="0" w:space="0" w:color="auto"/>
      </w:divBdr>
    </w:div>
    <w:div w:id="1493259025">
      <w:bodyDiv w:val="1"/>
      <w:marLeft w:val="0"/>
      <w:marRight w:val="0"/>
      <w:marTop w:val="0"/>
      <w:marBottom w:val="0"/>
      <w:divBdr>
        <w:top w:val="none" w:sz="0" w:space="0" w:color="auto"/>
        <w:left w:val="none" w:sz="0" w:space="0" w:color="auto"/>
        <w:bottom w:val="none" w:sz="0" w:space="0" w:color="auto"/>
        <w:right w:val="none" w:sz="0" w:space="0" w:color="auto"/>
      </w:divBdr>
      <w:divsChild>
        <w:div w:id="1270431110">
          <w:marLeft w:val="0"/>
          <w:marRight w:val="0"/>
          <w:marTop w:val="0"/>
          <w:marBottom w:val="0"/>
          <w:divBdr>
            <w:top w:val="none" w:sz="0" w:space="0" w:color="auto"/>
            <w:left w:val="none" w:sz="0" w:space="0" w:color="auto"/>
            <w:bottom w:val="none" w:sz="0" w:space="0" w:color="auto"/>
            <w:right w:val="none" w:sz="0" w:space="0" w:color="auto"/>
          </w:divBdr>
          <w:divsChild>
            <w:div w:id="52241039">
              <w:marLeft w:val="0"/>
              <w:marRight w:val="0"/>
              <w:marTop w:val="0"/>
              <w:marBottom w:val="0"/>
              <w:divBdr>
                <w:top w:val="none" w:sz="0" w:space="0" w:color="auto"/>
                <w:left w:val="none" w:sz="0" w:space="0" w:color="auto"/>
                <w:bottom w:val="none" w:sz="0" w:space="0" w:color="auto"/>
                <w:right w:val="none" w:sz="0" w:space="0" w:color="auto"/>
              </w:divBdr>
              <w:divsChild>
                <w:div w:id="10071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06894">
      <w:bodyDiv w:val="1"/>
      <w:marLeft w:val="0"/>
      <w:marRight w:val="0"/>
      <w:marTop w:val="0"/>
      <w:marBottom w:val="0"/>
      <w:divBdr>
        <w:top w:val="none" w:sz="0" w:space="0" w:color="auto"/>
        <w:left w:val="none" w:sz="0" w:space="0" w:color="auto"/>
        <w:bottom w:val="none" w:sz="0" w:space="0" w:color="auto"/>
        <w:right w:val="none" w:sz="0" w:space="0" w:color="auto"/>
      </w:divBdr>
    </w:div>
    <w:div w:id="1499729004">
      <w:bodyDiv w:val="1"/>
      <w:marLeft w:val="0"/>
      <w:marRight w:val="0"/>
      <w:marTop w:val="0"/>
      <w:marBottom w:val="0"/>
      <w:divBdr>
        <w:top w:val="none" w:sz="0" w:space="0" w:color="auto"/>
        <w:left w:val="none" w:sz="0" w:space="0" w:color="auto"/>
        <w:bottom w:val="none" w:sz="0" w:space="0" w:color="auto"/>
        <w:right w:val="none" w:sz="0" w:space="0" w:color="auto"/>
      </w:divBdr>
    </w:div>
    <w:div w:id="1500074699">
      <w:bodyDiv w:val="1"/>
      <w:marLeft w:val="0"/>
      <w:marRight w:val="0"/>
      <w:marTop w:val="0"/>
      <w:marBottom w:val="0"/>
      <w:divBdr>
        <w:top w:val="none" w:sz="0" w:space="0" w:color="auto"/>
        <w:left w:val="none" w:sz="0" w:space="0" w:color="auto"/>
        <w:bottom w:val="none" w:sz="0" w:space="0" w:color="auto"/>
        <w:right w:val="none" w:sz="0" w:space="0" w:color="auto"/>
      </w:divBdr>
    </w:div>
    <w:div w:id="1503663553">
      <w:bodyDiv w:val="1"/>
      <w:marLeft w:val="0"/>
      <w:marRight w:val="0"/>
      <w:marTop w:val="0"/>
      <w:marBottom w:val="0"/>
      <w:divBdr>
        <w:top w:val="none" w:sz="0" w:space="0" w:color="auto"/>
        <w:left w:val="none" w:sz="0" w:space="0" w:color="auto"/>
        <w:bottom w:val="none" w:sz="0" w:space="0" w:color="auto"/>
        <w:right w:val="none" w:sz="0" w:space="0" w:color="auto"/>
      </w:divBdr>
    </w:div>
    <w:div w:id="1505320955">
      <w:bodyDiv w:val="1"/>
      <w:marLeft w:val="0"/>
      <w:marRight w:val="0"/>
      <w:marTop w:val="0"/>
      <w:marBottom w:val="0"/>
      <w:divBdr>
        <w:top w:val="none" w:sz="0" w:space="0" w:color="auto"/>
        <w:left w:val="none" w:sz="0" w:space="0" w:color="auto"/>
        <w:bottom w:val="none" w:sz="0" w:space="0" w:color="auto"/>
        <w:right w:val="none" w:sz="0" w:space="0" w:color="auto"/>
      </w:divBdr>
    </w:div>
    <w:div w:id="1506748028">
      <w:bodyDiv w:val="1"/>
      <w:marLeft w:val="0"/>
      <w:marRight w:val="0"/>
      <w:marTop w:val="0"/>
      <w:marBottom w:val="0"/>
      <w:divBdr>
        <w:top w:val="none" w:sz="0" w:space="0" w:color="auto"/>
        <w:left w:val="none" w:sz="0" w:space="0" w:color="auto"/>
        <w:bottom w:val="none" w:sz="0" w:space="0" w:color="auto"/>
        <w:right w:val="none" w:sz="0" w:space="0" w:color="auto"/>
      </w:divBdr>
    </w:div>
    <w:div w:id="1512794877">
      <w:bodyDiv w:val="1"/>
      <w:marLeft w:val="0"/>
      <w:marRight w:val="0"/>
      <w:marTop w:val="0"/>
      <w:marBottom w:val="0"/>
      <w:divBdr>
        <w:top w:val="none" w:sz="0" w:space="0" w:color="auto"/>
        <w:left w:val="none" w:sz="0" w:space="0" w:color="auto"/>
        <w:bottom w:val="none" w:sz="0" w:space="0" w:color="auto"/>
        <w:right w:val="none" w:sz="0" w:space="0" w:color="auto"/>
      </w:divBdr>
    </w:div>
    <w:div w:id="1512837893">
      <w:bodyDiv w:val="1"/>
      <w:marLeft w:val="0"/>
      <w:marRight w:val="0"/>
      <w:marTop w:val="0"/>
      <w:marBottom w:val="0"/>
      <w:divBdr>
        <w:top w:val="none" w:sz="0" w:space="0" w:color="auto"/>
        <w:left w:val="none" w:sz="0" w:space="0" w:color="auto"/>
        <w:bottom w:val="none" w:sz="0" w:space="0" w:color="auto"/>
        <w:right w:val="none" w:sz="0" w:space="0" w:color="auto"/>
      </w:divBdr>
    </w:div>
    <w:div w:id="1515916456">
      <w:bodyDiv w:val="1"/>
      <w:marLeft w:val="0"/>
      <w:marRight w:val="0"/>
      <w:marTop w:val="0"/>
      <w:marBottom w:val="0"/>
      <w:divBdr>
        <w:top w:val="none" w:sz="0" w:space="0" w:color="auto"/>
        <w:left w:val="none" w:sz="0" w:space="0" w:color="auto"/>
        <w:bottom w:val="none" w:sz="0" w:space="0" w:color="auto"/>
        <w:right w:val="none" w:sz="0" w:space="0" w:color="auto"/>
      </w:divBdr>
    </w:div>
    <w:div w:id="1516652862">
      <w:bodyDiv w:val="1"/>
      <w:marLeft w:val="0"/>
      <w:marRight w:val="0"/>
      <w:marTop w:val="0"/>
      <w:marBottom w:val="0"/>
      <w:divBdr>
        <w:top w:val="none" w:sz="0" w:space="0" w:color="auto"/>
        <w:left w:val="none" w:sz="0" w:space="0" w:color="auto"/>
        <w:bottom w:val="none" w:sz="0" w:space="0" w:color="auto"/>
        <w:right w:val="none" w:sz="0" w:space="0" w:color="auto"/>
      </w:divBdr>
    </w:div>
    <w:div w:id="1516963980">
      <w:bodyDiv w:val="1"/>
      <w:marLeft w:val="0"/>
      <w:marRight w:val="0"/>
      <w:marTop w:val="0"/>
      <w:marBottom w:val="0"/>
      <w:divBdr>
        <w:top w:val="none" w:sz="0" w:space="0" w:color="auto"/>
        <w:left w:val="none" w:sz="0" w:space="0" w:color="auto"/>
        <w:bottom w:val="none" w:sz="0" w:space="0" w:color="auto"/>
        <w:right w:val="none" w:sz="0" w:space="0" w:color="auto"/>
      </w:divBdr>
    </w:div>
    <w:div w:id="1517111889">
      <w:bodyDiv w:val="1"/>
      <w:marLeft w:val="0"/>
      <w:marRight w:val="0"/>
      <w:marTop w:val="0"/>
      <w:marBottom w:val="0"/>
      <w:divBdr>
        <w:top w:val="none" w:sz="0" w:space="0" w:color="auto"/>
        <w:left w:val="none" w:sz="0" w:space="0" w:color="auto"/>
        <w:bottom w:val="none" w:sz="0" w:space="0" w:color="auto"/>
        <w:right w:val="none" w:sz="0" w:space="0" w:color="auto"/>
      </w:divBdr>
    </w:div>
    <w:div w:id="1518738220">
      <w:bodyDiv w:val="1"/>
      <w:marLeft w:val="0"/>
      <w:marRight w:val="0"/>
      <w:marTop w:val="0"/>
      <w:marBottom w:val="0"/>
      <w:divBdr>
        <w:top w:val="none" w:sz="0" w:space="0" w:color="auto"/>
        <w:left w:val="none" w:sz="0" w:space="0" w:color="auto"/>
        <w:bottom w:val="none" w:sz="0" w:space="0" w:color="auto"/>
        <w:right w:val="none" w:sz="0" w:space="0" w:color="auto"/>
      </w:divBdr>
    </w:div>
    <w:div w:id="1519615791">
      <w:bodyDiv w:val="1"/>
      <w:marLeft w:val="0"/>
      <w:marRight w:val="0"/>
      <w:marTop w:val="0"/>
      <w:marBottom w:val="0"/>
      <w:divBdr>
        <w:top w:val="none" w:sz="0" w:space="0" w:color="auto"/>
        <w:left w:val="none" w:sz="0" w:space="0" w:color="auto"/>
        <w:bottom w:val="none" w:sz="0" w:space="0" w:color="auto"/>
        <w:right w:val="none" w:sz="0" w:space="0" w:color="auto"/>
      </w:divBdr>
    </w:div>
    <w:div w:id="1520050007">
      <w:bodyDiv w:val="1"/>
      <w:marLeft w:val="0"/>
      <w:marRight w:val="0"/>
      <w:marTop w:val="0"/>
      <w:marBottom w:val="0"/>
      <w:divBdr>
        <w:top w:val="none" w:sz="0" w:space="0" w:color="auto"/>
        <w:left w:val="none" w:sz="0" w:space="0" w:color="auto"/>
        <w:bottom w:val="none" w:sz="0" w:space="0" w:color="auto"/>
        <w:right w:val="none" w:sz="0" w:space="0" w:color="auto"/>
      </w:divBdr>
    </w:div>
    <w:div w:id="1528830042">
      <w:bodyDiv w:val="1"/>
      <w:marLeft w:val="0"/>
      <w:marRight w:val="0"/>
      <w:marTop w:val="0"/>
      <w:marBottom w:val="0"/>
      <w:divBdr>
        <w:top w:val="none" w:sz="0" w:space="0" w:color="auto"/>
        <w:left w:val="none" w:sz="0" w:space="0" w:color="auto"/>
        <w:bottom w:val="none" w:sz="0" w:space="0" w:color="auto"/>
        <w:right w:val="none" w:sz="0" w:space="0" w:color="auto"/>
      </w:divBdr>
    </w:div>
    <w:div w:id="1532107134">
      <w:bodyDiv w:val="1"/>
      <w:marLeft w:val="0"/>
      <w:marRight w:val="0"/>
      <w:marTop w:val="0"/>
      <w:marBottom w:val="0"/>
      <w:divBdr>
        <w:top w:val="none" w:sz="0" w:space="0" w:color="auto"/>
        <w:left w:val="none" w:sz="0" w:space="0" w:color="auto"/>
        <w:bottom w:val="none" w:sz="0" w:space="0" w:color="auto"/>
        <w:right w:val="none" w:sz="0" w:space="0" w:color="auto"/>
      </w:divBdr>
    </w:div>
    <w:div w:id="1533224567">
      <w:bodyDiv w:val="1"/>
      <w:marLeft w:val="0"/>
      <w:marRight w:val="0"/>
      <w:marTop w:val="0"/>
      <w:marBottom w:val="0"/>
      <w:divBdr>
        <w:top w:val="none" w:sz="0" w:space="0" w:color="auto"/>
        <w:left w:val="none" w:sz="0" w:space="0" w:color="auto"/>
        <w:bottom w:val="none" w:sz="0" w:space="0" w:color="auto"/>
        <w:right w:val="none" w:sz="0" w:space="0" w:color="auto"/>
      </w:divBdr>
    </w:div>
    <w:div w:id="1536312242">
      <w:bodyDiv w:val="1"/>
      <w:marLeft w:val="0"/>
      <w:marRight w:val="0"/>
      <w:marTop w:val="0"/>
      <w:marBottom w:val="0"/>
      <w:divBdr>
        <w:top w:val="none" w:sz="0" w:space="0" w:color="auto"/>
        <w:left w:val="none" w:sz="0" w:space="0" w:color="auto"/>
        <w:bottom w:val="none" w:sz="0" w:space="0" w:color="auto"/>
        <w:right w:val="none" w:sz="0" w:space="0" w:color="auto"/>
      </w:divBdr>
    </w:div>
    <w:div w:id="1537742698">
      <w:bodyDiv w:val="1"/>
      <w:marLeft w:val="0"/>
      <w:marRight w:val="0"/>
      <w:marTop w:val="0"/>
      <w:marBottom w:val="0"/>
      <w:divBdr>
        <w:top w:val="none" w:sz="0" w:space="0" w:color="auto"/>
        <w:left w:val="none" w:sz="0" w:space="0" w:color="auto"/>
        <w:bottom w:val="none" w:sz="0" w:space="0" w:color="auto"/>
        <w:right w:val="none" w:sz="0" w:space="0" w:color="auto"/>
      </w:divBdr>
    </w:div>
    <w:div w:id="1541743869">
      <w:bodyDiv w:val="1"/>
      <w:marLeft w:val="0"/>
      <w:marRight w:val="0"/>
      <w:marTop w:val="0"/>
      <w:marBottom w:val="0"/>
      <w:divBdr>
        <w:top w:val="none" w:sz="0" w:space="0" w:color="auto"/>
        <w:left w:val="none" w:sz="0" w:space="0" w:color="auto"/>
        <w:bottom w:val="none" w:sz="0" w:space="0" w:color="auto"/>
        <w:right w:val="none" w:sz="0" w:space="0" w:color="auto"/>
      </w:divBdr>
    </w:div>
    <w:div w:id="1542744833">
      <w:bodyDiv w:val="1"/>
      <w:marLeft w:val="0"/>
      <w:marRight w:val="0"/>
      <w:marTop w:val="0"/>
      <w:marBottom w:val="0"/>
      <w:divBdr>
        <w:top w:val="none" w:sz="0" w:space="0" w:color="auto"/>
        <w:left w:val="none" w:sz="0" w:space="0" w:color="auto"/>
        <w:bottom w:val="none" w:sz="0" w:space="0" w:color="auto"/>
        <w:right w:val="none" w:sz="0" w:space="0" w:color="auto"/>
      </w:divBdr>
    </w:div>
    <w:div w:id="1544292704">
      <w:bodyDiv w:val="1"/>
      <w:marLeft w:val="0"/>
      <w:marRight w:val="0"/>
      <w:marTop w:val="0"/>
      <w:marBottom w:val="0"/>
      <w:divBdr>
        <w:top w:val="none" w:sz="0" w:space="0" w:color="auto"/>
        <w:left w:val="none" w:sz="0" w:space="0" w:color="auto"/>
        <w:bottom w:val="none" w:sz="0" w:space="0" w:color="auto"/>
        <w:right w:val="none" w:sz="0" w:space="0" w:color="auto"/>
      </w:divBdr>
      <w:divsChild>
        <w:div w:id="354356127">
          <w:marLeft w:val="0"/>
          <w:marRight w:val="0"/>
          <w:marTop w:val="0"/>
          <w:marBottom w:val="0"/>
          <w:divBdr>
            <w:top w:val="none" w:sz="0" w:space="0" w:color="auto"/>
            <w:left w:val="none" w:sz="0" w:space="0" w:color="auto"/>
            <w:bottom w:val="none" w:sz="0" w:space="0" w:color="auto"/>
            <w:right w:val="none" w:sz="0" w:space="0" w:color="auto"/>
          </w:divBdr>
          <w:divsChild>
            <w:div w:id="1643460739">
              <w:marLeft w:val="0"/>
              <w:marRight w:val="0"/>
              <w:marTop w:val="0"/>
              <w:marBottom w:val="0"/>
              <w:divBdr>
                <w:top w:val="none" w:sz="0" w:space="0" w:color="auto"/>
                <w:left w:val="none" w:sz="0" w:space="0" w:color="auto"/>
                <w:bottom w:val="none" w:sz="0" w:space="0" w:color="auto"/>
                <w:right w:val="none" w:sz="0" w:space="0" w:color="auto"/>
              </w:divBdr>
              <w:divsChild>
                <w:div w:id="3999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57547">
      <w:bodyDiv w:val="1"/>
      <w:marLeft w:val="0"/>
      <w:marRight w:val="0"/>
      <w:marTop w:val="0"/>
      <w:marBottom w:val="0"/>
      <w:divBdr>
        <w:top w:val="none" w:sz="0" w:space="0" w:color="auto"/>
        <w:left w:val="none" w:sz="0" w:space="0" w:color="auto"/>
        <w:bottom w:val="none" w:sz="0" w:space="0" w:color="auto"/>
        <w:right w:val="none" w:sz="0" w:space="0" w:color="auto"/>
      </w:divBdr>
    </w:div>
    <w:div w:id="1548031814">
      <w:bodyDiv w:val="1"/>
      <w:marLeft w:val="0"/>
      <w:marRight w:val="0"/>
      <w:marTop w:val="0"/>
      <w:marBottom w:val="0"/>
      <w:divBdr>
        <w:top w:val="none" w:sz="0" w:space="0" w:color="auto"/>
        <w:left w:val="none" w:sz="0" w:space="0" w:color="auto"/>
        <w:bottom w:val="none" w:sz="0" w:space="0" w:color="auto"/>
        <w:right w:val="none" w:sz="0" w:space="0" w:color="auto"/>
      </w:divBdr>
    </w:div>
    <w:div w:id="1549561822">
      <w:bodyDiv w:val="1"/>
      <w:marLeft w:val="0"/>
      <w:marRight w:val="0"/>
      <w:marTop w:val="0"/>
      <w:marBottom w:val="0"/>
      <w:divBdr>
        <w:top w:val="none" w:sz="0" w:space="0" w:color="auto"/>
        <w:left w:val="none" w:sz="0" w:space="0" w:color="auto"/>
        <w:bottom w:val="none" w:sz="0" w:space="0" w:color="auto"/>
        <w:right w:val="none" w:sz="0" w:space="0" w:color="auto"/>
      </w:divBdr>
    </w:div>
    <w:div w:id="1550602903">
      <w:bodyDiv w:val="1"/>
      <w:marLeft w:val="0"/>
      <w:marRight w:val="0"/>
      <w:marTop w:val="0"/>
      <w:marBottom w:val="0"/>
      <w:divBdr>
        <w:top w:val="none" w:sz="0" w:space="0" w:color="auto"/>
        <w:left w:val="none" w:sz="0" w:space="0" w:color="auto"/>
        <w:bottom w:val="none" w:sz="0" w:space="0" w:color="auto"/>
        <w:right w:val="none" w:sz="0" w:space="0" w:color="auto"/>
      </w:divBdr>
    </w:div>
    <w:div w:id="1554579697">
      <w:bodyDiv w:val="1"/>
      <w:marLeft w:val="0"/>
      <w:marRight w:val="0"/>
      <w:marTop w:val="0"/>
      <w:marBottom w:val="0"/>
      <w:divBdr>
        <w:top w:val="none" w:sz="0" w:space="0" w:color="auto"/>
        <w:left w:val="none" w:sz="0" w:space="0" w:color="auto"/>
        <w:bottom w:val="none" w:sz="0" w:space="0" w:color="auto"/>
        <w:right w:val="none" w:sz="0" w:space="0" w:color="auto"/>
      </w:divBdr>
    </w:div>
    <w:div w:id="1555046743">
      <w:bodyDiv w:val="1"/>
      <w:marLeft w:val="0"/>
      <w:marRight w:val="0"/>
      <w:marTop w:val="0"/>
      <w:marBottom w:val="0"/>
      <w:divBdr>
        <w:top w:val="none" w:sz="0" w:space="0" w:color="auto"/>
        <w:left w:val="none" w:sz="0" w:space="0" w:color="auto"/>
        <w:bottom w:val="none" w:sz="0" w:space="0" w:color="auto"/>
        <w:right w:val="none" w:sz="0" w:space="0" w:color="auto"/>
      </w:divBdr>
    </w:div>
    <w:div w:id="1557087991">
      <w:bodyDiv w:val="1"/>
      <w:marLeft w:val="0"/>
      <w:marRight w:val="0"/>
      <w:marTop w:val="0"/>
      <w:marBottom w:val="0"/>
      <w:divBdr>
        <w:top w:val="none" w:sz="0" w:space="0" w:color="auto"/>
        <w:left w:val="none" w:sz="0" w:space="0" w:color="auto"/>
        <w:bottom w:val="none" w:sz="0" w:space="0" w:color="auto"/>
        <w:right w:val="none" w:sz="0" w:space="0" w:color="auto"/>
      </w:divBdr>
    </w:div>
    <w:div w:id="1557662069">
      <w:bodyDiv w:val="1"/>
      <w:marLeft w:val="0"/>
      <w:marRight w:val="0"/>
      <w:marTop w:val="0"/>
      <w:marBottom w:val="0"/>
      <w:divBdr>
        <w:top w:val="none" w:sz="0" w:space="0" w:color="auto"/>
        <w:left w:val="none" w:sz="0" w:space="0" w:color="auto"/>
        <w:bottom w:val="none" w:sz="0" w:space="0" w:color="auto"/>
        <w:right w:val="none" w:sz="0" w:space="0" w:color="auto"/>
      </w:divBdr>
    </w:div>
    <w:div w:id="1560431883">
      <w:bodyDiv w:val="1"/>
      <w:marLeft w:val="0"/>
      <w:marRight w:val="0"/>
      <w:marTop w:val="0"/>
      <w:marBottom w:val="0"/>
      <w:divBdr>
        <w:top w:val="none" w:sz="0" w:space="0" w:color="auto"/>
        <w:left w:val="none" w:sz="0" w:space="0" w:color="auto"/>
        <w:bottom w:val="none" w:sz="0" w:space="0" w:color="auto"/>
        <w:right w:val="none" w:sz="0" w:space="0" w:color="auto"/>
      </w:divBdr>
    </w:div>
    <w:div w:id="1563632890">
      <w:bodyDiv w:val="1"/>
      <w:marLeft w:val="0"/>
      <w:marRight w:val="0"/>
      <w:marTop w:val="0"/>
      <w:marBottom w:val="0"/>
      <w:divBdr>
        <w:top w:val="none" w:sz="0" w:space="0" w:color="auto"/>
        <w:left w:val="none" w:sz="0" w:space="0" w:color="auto"/>
        <w:bottom w:val="none" w:sz="0" w:space="0" w:color="auto"/>
        <w:right w:val="none" w:sz="0" w:space="0" w:color="auto"/>
      </w:divBdr>
    </w:div>
    <w:div w:id="1570309450">
      <w:bodyDiv w:val="1"/>
      <w:marLeft w:val="0"/>
      <w:marRight w:val="0"/>
      <w:marTop w:val="0"/>
      <w:marBottom w:val="0"/>
      <w:divBdr>
        <w:top w:val="none" w:sz="0" w:space="0" w:color="auto"/>
        <w:left w:val="none" w:sz="0" w:space="0" w:color="auto"/>
        <w:bottom w:val="none" w:sz="0" w:space="0" w:color="auto"/>
        <w:right w:val="none" w:sz="0" w:space="0" w:color="auto"/>
      </w:divBdr>
    </w:div>
    <w:div w:id="1575237797">
      <w:bodyDiv w:val="1"/>
      <w:marLeft w:val="0"/>
      <w:marRight w:val="0"/>
      <w:marTop w:val="0"/>
      <w:marBottom w:val="0"/>
      <w:divBdr>
        <w:top w:val="none" w:sz="0" w:space="0" w:color="auto"/>
        <w:left w:val="none" w:sz="0" w:space="0" w:color="auto"/>
        <w:bottom w:val="none" w:sz="0" w:space="0" w:color="auto"/>
        <w:right w:val="none" w:sz="0" w:space="0" w:color="auto"/>
      </w:divBdr>
    </w:div>
    <w:div w:id="1575551815">
      <w:bodyDiv w:val="1"/>
      <w:marLeft w:val="0"/>
      <w:marRight w:val="0"/>
      <w:marTop w:val="0"/>
      <w:marBottom w:val="0"/>
      <w:divBdr>
        <w:top w:val="none" w:sz="0" w:space="0" w:color="auto"/>
        <w:left w:val="none" w:sz="0" w:space="0" w:color="auto"/>
        <w:bottom w:val="none" w:sz="0" w:space="0" w:color="auto"/>
        <w:right w:val="none" w:sz="0" w:space="0" w:color="auto"/>
      </w:divBdr>
    </w:div>
    <w:div w:id="1575971082">
      <w:bodyDiv w:val="1"/>
      <w:marLeft w:val="0"/>
      <w:marRight w:val="0"/>
      <w:marTop w:val="0"/>
      <w:marBottom w:val="0"/>
      <w:divBdr>
        <w:top w:val="none" w:sz="0" w:space="0" w:color="auto"/>
        <w:left w:val="none" w:sz="0" w:space="0" w:color="auto"/>
        <w:bottom w:val="none" w:sz="0" w:space="0" w:color="auto"/>
        <w:right w:val="none" w:sz="0" w:space="0" w:color="auto"/>
      </w:divBdr>
      <w:divsChild>
        <w:div w:id="53042271">
          <w:marLeft w:val="0"/>
          <w:marRight w:val="0"/>
          <w:marTop w:val="0"/>
          <w:marBottom w:val="0"/>
          <w:divBdr>
            <w:top w:val="none" w:sz="0" w:space="0" w:color="auto"/>
            <w:left w:val="none" w:sz="0" w:space="0" w:color="auto"/>
            <w:bottom w:val="none" w:sz="0" w:space="0" w:color="auto"/>
            <w:right w:val="none" w:sz="0" w:space="0" w:color="auto"/>
          </w:divBdr>
        </w:div>
        <w:div w:id="61026050">
          <w:marLeft w:val="0"/>
          <w:marRight w:val="0"/>
          <w:marTop w:val="0"/>
          <w:marBottom w:val="0"/>
          <w:divBdr>
            <w:top w:val="none" w:sz="0" w:space="0" w:color="auto"/>
            <w:left w:val="none" w:sz="0" w:space="0" w:color="auto"/>
            <w:bottom w:val="none" w:sz="0" w:space="0" w:color="auto"/>
            <w:right w:val="none" w:sz="0" w:space="0" w:color="auto"/>
          </w:divBdr>
        </w:div>
        <w:div w:id="1366950071">
          <w:marLeft w:val="0"/>
          <w:marRight w:val="0"/>
          <w:marTop w:val="0"/>
          <w:marBottom w:val="0"/>
          <w:divBdr>
            <w:top w:val="none" w:sz="0" w:space="0" w:color="auto"/>
            <w:left w:val="none" w:sz="0" w:space="0" w:color="auto"/>
            <w:bottom w:val="none" w:sz="0" w:space="0" w:color="auto"/>
            <w:right w:val="none" w:sz="0" w:space="0" w:color="auto"/>
          </w:divBdr>
        </w:div>
        <w:div w:id="1540509387">
          <w:marLeft w:val="0"/>
          <w:marRight w:val="0"/>
          <w:marTop w:val="0"/>
          <w:marBottom w:val="0"/>
          <w:divBdr>
            <w:top w:val="none" w:sz="0" w:space="0" w:color="auto"/>
            <w:left w:val="none" w:sz="0" w:space="0" w:color="auto"/>
            <w:bottom w:val="none" w:sz="0" w:space="0" w:color="auto"/>
            <w:right w:val="none" w:sz="0" w:space="0" w:color="auto"/>
          </w:divBdr>
        </w:div>
        <w:div w:id="1799715167">
          <w:marLeft w:val="0"/>
          <w:marRight w:val="0"/>
          <w:marTop w:val="0"/>
          <w:marBottom w:val="0"/>
          <w:divBdr>
            <w:top w:val="none" w:sz="0" w:space="0" w:color="auto"/>
            <w:left w:val="none" w:sz="0" w:space="0" w:color="auto"/>
            <w:bottom w:val="none" w:sz="0" w:space="0" w:color="auto"/>
            <w:right w:val="none" w:sz="0" w:space="0" w:color="auto"/>
          </w:divBdr>
        </w:div>
      </w:divsChild>
    </w:div>
    <w:div w:id="1578519658">
      <w:bodyDiv w:val="1"/>
      <w:marLeft w:val="0"/>
      <w:marRight w:val="0"/>
      <w:marTop w:val="0"/>
      <w:marBottom w:val="0"/>
      <w:divBdr>
        <w:top w:val="none" w:sz="0" w:space="0" w:color="auto"/>
        <w:left w:val="none" w:sz="0" w:space="0" w:color="auto"/>
        <w:bottom w:val="none" w:sz="0" w:space="0" w:color="auto"/>
        <w:right w:val="none" w:sz="0" w:space="0" w:color="auto"/>
      </w:divBdr>
    </w:div>
    <w:div w:id="1579559194">
      <w:bodyDiv w:val="1"/>
      <w:marLeft w:val="0"/>
      <w:marRight w:val="0"/>
      <w:marTop w:val="0"/>
      <w:marBottom w:val="0"/>
      <w:divBdr>
        <w:top w:val="none" w:sz="0" w:space="0" w:color="auto"/>
        <w:left w:val="none" w:sz="0" w:space="0" w:color="auto"/>
        <w:bottom w:val="none" w:sz="0" w:space="0" w:color="auto"/>
        <w:right w:val="none" w:sz="0" w:space="0" w:color="auto"/>
      </w:divBdr>
    </w:div>
    <w:div w:id="1581014925">
      <w:bodyDiv w:val="1"/>
      <w:marLeft w:val="0"/>
      <w:marRight w:val="0"/>
      <w:marTop w:val="0"/>
      <w:marBottom w:val="0"/>
      <w:divBdr>
        <w:top w:val="none" w:sz="0" w:space="0" w:color="auto"/>
        <w:left w:val="none" w:sz="0" w:space="0" w:color="auto"/>
        <w:bottom w:val="none" w:sz="0" w:space="0" w:color="auto"/>
        <w:right w:val="none" w:sz="0" w:space="0" w:color="auto"/>
      </w:divBdr>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
    <w:div w:id="1582329654">
      <w:bodyDiv w:val="1"/>
      <w:marLeft w:val="0"/>
      <w:marRight w:val="0"/>
      <w:marTop w:val="0"/>
      <w:marBottom w:val="0"/>
      <w:divBdr>
        <w:top w:val="none" w:sz="0" w:space="0" w:color="auto"/>
        <w:left w:val="none" w:sz="0" w:space="0" w:color="auto"/>
        <w:bottom w:val="none" w:sz="0" w:space="0" w:color="auto"/>
        <w:right w:val="none" w:sz="0" w:space="0" w:color="auto"/>
      </w:divBdr>
    </w:div>
    <w:div w:id="1584415680">
      <w:bodyDiv w:val="1"/>
      <w:marLeft w:val="0"/>
      <w:marRight w:val="0"/>
      <w:marTop w:val="0"/>
      <w:marBottom w:val="0"/>
      <w:divBdr>
        <w:top w:val="none" w:sz="0" w:space="0" w:color="auto"/>
        <w:left w:val="none" w:sz="0" w:space="0" w:color="auto"/>
        <w:bottom w:val="none" w:sz="0" w:space="0" w:color="auto"/>
        <w:right w:val="none" w:sz="0" w:space="0" w:color="auto"/>
      </w:divBdr>
    </w:div>
    <w:div w:id="1585258989">
      <w:bodyDiv w:val="1"/>
      <w:marLeft w:val="0"/>
      <w:marRight w:val="0"/>
      <w:marTop w:val="0"/>
      <w:marBottom w:val="0"/>
      <w:divBdr>
        <w:top w:val="none" w:sz="0" w:space="0" w:color="auto"/>
        <w:left w:val="none" w:sz="0" w:space="0" w:color="auto"/>
        <w:bottom w:val="none" w:sz="0" w:space="0" w:color="auto"/>
        <w:right w:val="none" w:sz="0" w:space="0" w:color="auto"/>
      </w:divBdr>
    </w:div>
    <w:div w:id="1585407758">
      <w:bodyDiv w:val="1"/>
      <w:marLeft w:val="0"/>
      <w:marRight w:val="0"/>
      <w:marTop w:val="0"/>
      <w:marBottom w:val="0"/>
      <w:divBdr>
        <w:top w:val="none" w:sz="0" w:space="0" w:color="auto"/>
        <w:left w:val="none" w:sz="0" w:space="0" w:color="auto"/>
        <w:bottom w:val="none" w:sz="0" w:space="0" w:color="auto"/>
        <w:right w:val="none" w:sz="0" w:space="0" w:color="auto"/>
      </w:divBdr>
    </w:div>
    <w:div w:id="1586187043">
      <w:bodyDiv w:val="1"/>
      <w:marLeft w:val="0"/>
      <w:marRight w:val="0"/>
      <w:marTop w:val="0"/>
      <w:marBottom w:val="0"/>
      <w:divBdr>
        <w:top w:val="none" w:sz="0" w:space="0" w:color="auto"/>
        <w:left w:val="none" w:sz="0" w:space="0" w:color="auto"/>
        <w:bottom w:val="none" w:sz="0" w:space="0" w:color="auto"/>
        <w:right w:val="none" w:sz="0" w:space="0" w:color="auto"/>
      </w:divBdr>
    </w:div>
    <w:div w:id="1594316707">
      <w:bodyDiv w:val="1"/>
      <w:marLeft w:val="0"/>
      <w:marRight w:val="0"/>
      <w:marTop w:val="0"/>
      <w:marBottom w:val="0"/>
      <w:divBdr>
        <w:top w:val="none" w:sz="0" w:space="0" w:color="auto"/>
        <w:left w:val="none" w:sz="0" w:space="0" w:color="auto"/>
        <w:bottom w:val="none" w:sz="0" w:space="0" w:color="auto"/>
        <w:right w:val="none" w:sz="0" w:space="0" w:color="auto"/>
      </w:divBdr>
    </w:div>
    <w:div w:id="1594893332">
      <w:bodyDiv w:val="1"/>
      <w:marLeft w:val="0"/>
      <w:marRight w:val="0"/>
      <w:marTop w:val="0"/>
      <w:marBottom w:val="0"/>
      <w:divBdr>
        <w:top w:val="none" w:sz="0" w:space="0" w:color="auto"/>
        <w:left w:val="none" w:sz="0" w:space="0" w:color="auto"/>
        <w:bottom w:val="none" w:sz="0" w:space="0" w:color="auto"/>
        <w:right w:val="none" w:sz="0" w:space="0" w:color="auto"/>
      </w:divBdr>
    </w:div>
    <w:div w:id="1596212302">
      <w:bodyDiv w:val="1"/>
      <w:marLeft w:val="0"/>
      <w:marRight w:val="0"/>
      <w:marTop w:val="0"/>
      <w:marBottom w:val="0"/>
      <w:divBdr>
        <w:top w:val="none" w:sz="0" w:space="0" w:color="auto"/>
        <w:left w:val="none" w:sz="0" w:space="0" w:color="auto"/>
        <w:bottom w:val="none" w:sz="0" w:space="0" w:color="auto"/>
        <w:right w:val="none" w:sz="0" w:space="0" w:color="auto"/>
      </w:divBdr>
      <w:divsChild>
        <w:div w:id="864710903">
          <w:marLeft w:val="0"/>
          <w:marRight w:val="0"/>
          <w:marTop w:val="0"/>
          <w:marBottom w:val="0"/>
          <w:divBdr>
            <w:top w:val="none" w:sz="0" w:space="0" w:color="auto"/>
            <w:left w:val="none" w:sz="0" w:space="0" w:color="auto"/>
            <w:bottom w:val="none" w:sz="0" w:space="0" w:color="auto"/>
            <w:right w:val="none" w:sz="0" w:space="0" w:color="auto"/>
          </w:divBdr>
          <w:divsChild>
            <w:div w:id="128865100">
              <w:marLeft w:val="0"/>
              <w:marRight w:val="0"/>
              <w:marTop w:val="0"/>
              <w:marBottom w:val="0"/>
              <w:divBdr>
                <w:top w:val="none" w:sz="0" w:space="0" w:color="auto"/>
                <w:left w:val="none" w:sz="0" w:space="0" w:color="auto"/>
                <w:bottom w:val="none" w:sz="0" w:space="0" w:color="auto"/>
                <w:right w:val="none" w:sz="0" w:space="0" w:color="auto"/>
              </w:divBdr>
              <w:divsChild>
                <w:div w:id="1482699353">
                  <w:marLeft w:val="0"/>
                  <w:marRight w:val="0"/>
                  <w:marTop w:val="0"/>
                  <w:marBottom w:val="0"/>
                  <w:divBdr>
                    <w:top w:val="none" w:sz="0" w:space="0" w:color="auto"/>
                    <w:left w:val="none" w:sz="0" w:space="0" w:color="auto"/>
                    <w:bottom w:val="none" w:sz="0" w:space="0" w:color="auto"/>
                    <w:right w:val="none" w:sz="0" w:space="0" w:color="auto"/>
                  </w:divBdr>
                  <w:divsChild>
                    <w:div w:id="15460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10058">
      <w:bodyDiv w:val="1"/>
      <w:marLeft w:val="0"/>
      <w:marRight w:val="0"/>
      <w:marTop w:val="0"/>
      <w:marBottom w:val="0"/>
      <w:divBdr>
        <w:top w:val="none" w:sz="0" w:space="0" w:color="auto"/>
        <w:left w:val="none" w:sz="0" w:space="0" w:color="auto"/>
        <w:bottom w:val="none" w:sz="0" w:space="0" w:color="auto"/>
        <w:right w:val="none" w:sz="0" w:space="0" w:color="auto"/>
      </w:divBdr>
    </w:div>
    <w:div w:id="1601447809">
      <w:bodyDiv w:val="1"/>
      <w:marLeft w:val="0"/>
      <w:marRight w:val="0"/>
      <w:marTop w:val="0"/>
      <w:marBottom w:val="0"/>
      <w:divBdr>
        <w:top w:val="none" w:sz="0" w:space="0" w:color="auto"/>
        <w:left w:val="none" w:sz="0" w:space="0" w:color="auto"/>
        <w:bottom w:val="none" w:sz="0" w:space="0" w:color="auto"/>
        <w:right w:val="none" w:sz="0" w:space="0" w:color="auto"/>
      </w:divBdr>
    </w:div>
    <w:div w:id="1603806535">
      <w:bodyDiv w:val="1"/>
      <w:marLeft w:val="0"/>
      <w:marRight w:val="0"/>
      <w:marTop w:val="0"/>
      <w:marBottom w:val="0"/>
      <w:divBdr>
        <w:top w:val="none" w:sz="0" w:space="0" w:color="auto"/>
        <w:left w:val="none" w:sz="0" w:space="0" w:color="auto"/>
        <w:bottom w:val="none" w:sz="0" w:space="0" w:color="auto"/>
        <w:right w:val="none" w:sz="0" w:space="0" w:color="auto"/>
      </w:divBdr>
    </w:div>
    <w:div w:id="1608461358">
      <w:bodyDiv w:val="1"/>
      <w:marLeft w:val="0"/>
      <w:marRight w:val="0"/>
      <w:marTop w:val="0"/>
      <w:marBottom w:val="0"/>
      <w:divBdr>
        <w:top w:val="none" w:sz="0" w:space="0" w:color="auto"/>
        <w:left w:val="none" w:sz="0" w:space="0" w:color="auto"/>
        <w:bottom w:val="none" w:sz="0" w:space="0" w:color="auto"/>
        <w:right w:val="none" w:sz="0" w:space="0" w:color="auto"/>
      </w:divBdr>
    </w:div>
    <w:div w:id="1623340855">
      <w:bodyDiv w:val="1"/>
      <w:marLeft w:val="0"/>
      <w:marRight w:val="0"/>
      <w:marTop w:val="0"/>
      <w:marBottom w:val="0"/>
      <w:divBdr>
        <w:top w:val="none" w:sz="0" w:space="0" w:color="auto"/>
        <w:left w:val="none" w:sz="0" w:space="0" w:color="auto"/>
        <w:bottom w:val="none" w:sz="0" w:space="0" w:color="auto"/>
        <w:right w:val="none" w:sz="0" w:space="0" w:color="auto"/>
      </w:divBdr>
    </w:div>
    <w:div w:id="1625693850">
      <w:bodyDiv w:val="1"/>
      <w:marLeft w:val="0"/>
      <w:marRight w:val="0"/>
      <w:marTop w:val="0"/>
      <w:marBottom w:val="0"/>
      <w:divBdr>
        <w:top w:val="none" w:sz="0" w:space="0" w:color="auto"/>
        <w:left w:val="none" w:sz="0" w:space="0" w:color="auto"/>
        <w:bottom w:val="none" w:sz="0" w:space="0" w:color="auto"/>
        <w:right w:val="none" w:sz="0" w:space="0" w:color="auto"/>
      </w:divBdr>
    </w:div>
    <w:div w:id="1627155458">
      <w:bodyDiv w:val="1"/>
      <w:marLeft w:val="0"/>
      <w:marRight w:val="0"/>
      <w:marTop w:val="0"/>
      <w:marBottom w:val="0"/>
      <w:divBdr>
        <w:top w:val="none" w:sz="0" w:space="0" w:color="auto"/>
        <w:left w:val="none" w:sz="0" w:space="0" w:color="auto"/>
        <w:bottom w:val="none" w:sz="0" w:space="0" w:color="auto"/>
        <w:right w:val="none" w:sz="0" w:space="0" w:color="auto"/>
      </w:divBdr>
    </w:div>
    <w:div w:id="1631593427">
      <w:bodyDiv w:val="1"/>
      <w:marLeft w:val="0"/>
      <w:marRight w:val="0"/>
      <w:marTop w:val="0"/>
      <w:marBottom w:val="0"/>
      <w:divBdr>
        <w:top w:val="none" w:sz="0" w:space="0" w:color="auto"/>
        <w:left w:val="none" w:sz="0" w:space="0" w:color="auto"/>
        <w:bottom w:val="none" w:sz="0" w:space="0" w:color="auto"/>
        <w:right w:val="none" w:sz="0" w:space="0" w:color="auto"/>
      </w:divBdr>
    </w:div>
    <w:div w:id="1633704790">
      <w:bodyDiv w:val="1"/>
      <w:marLeft w:val="0"/>
      <w:marRight w:val="0"/>
      <w:marTop w:val="0"/>
      <w:marBottom w:val="0"/>
      <w:divBdr>
        <w:top w:val="none" w:sz="0" w:space="0" w:color="auto"/>
        <w:left w:val="none" w:sz="0" w:space="0" w:color="auto"/>
        <w:bottom w:val="none" w:sz="0" w:space="0" w:color="auto"/>
        <w:right w:val="none" w:sz="0" w:space="0" w:color="auto"/>
      </w:divBdr>
      <w:divsChild>
        <w:div w:id="551889008">
          <w:marLeft w:val="0"/>
          <w:marRight w:val="0"/>
          <w:marTop w:val="0"/>
          <w:marBottom w:val="0"/>
          <w:divBdr>
            <w:top w:val="none" w:sz="0" w:space="0" w:color="auto"/>
            <w:left w:val="none" w:sz="0" w:space="0" w:color="auto"/>
            <w:bottom w:val="none" w:sz="0" w:space="0" w:color="auto"/>
            <w:right w:val="none" w:sz="0" w:space="0" w:color="auto"/>
          </w:divBdr>
          <w:divsChild>
            <w:div w:id="2100522790">
              <w:marLeft w:val="0"/>
              <w:marRight w:val="0"/>
              <w:marTop w:val="0"/>
              <w:marBottom w:val="0"/>
              <w:divBdr>
                <w:top w:val="none" w:sz="0" w:space="0" w:color="auto"/>
                <w:left w:val="none" w:sz="0" w:space="0" w:color="auto"/>
                <w:bottom w:val="none" w:sz="0" w:space="0" w:color="auto"/>
                <w:right w:val="none" w:sz="0" w:space="0" w:color="auto"/>
              </w:divBdr>
              <w:divsChild>
                <w:div w:id="4107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72919">
      <w:bodyDiv w:val="1"/>
      <w:marLeft w:val="0"/>
      <w:marRight w:val="0"/>
      <w:marTop w:val="0"/>
      <w:marBottom w:val="0"/>
      <w:divBdr>
        <w:top w:val="none" w:sz="0" w:space="0" w:color="auto"/>
        <w:left w:val="none" w:sz="0" w:space="0" w:color="auto"/>
        <w:bottom w:val="none" w:sz="0" w:space="0" w:color="auto"/>
        <w:right w:val="none" w:sz="0" w:space="0" w:color="auto"/>
      </w:divBdr>
      <w:divsChild>
        <w:div w:id="1315448527">
          <w:marLeft w:val="0"/>
          <w:marRight w:val="0"/>
          <w:marTop w:val="0"/>
          <w:marBottom w:val="0"/>
          <w:divBdr>
            <w:top w:val="none" w:sz="0" w:space="0" w:color="auto"/>
            <w:left w:val="none" w:sz="0" w:space="0" w:color="auto"/>
            <w:bottom w:val="none" w:sz="0" w:space="0" w:color="auto"/>
            <w:right w:val="none" w:sz="0" w:space="0" w:color="auto"/>
          </w:divBdr>
          <w:divsChild>
            <w:div w:id="890578592">
              <w:marLeft w:val="0"/>
              <w:marRight w:val="0"/>
              <w:marTop w:val="0"/>
              <w:marBottom w:val="0"/>
              <w:divBdr>
                <w:top w:val="none" w:sz="0" w:space="0" w:color="auto"/>
                <w:left w:val="none" w:sz="0" w:space="0" w:color="auto"/>
                <w:bottom w:val="none" w:sz="0" w:space="0" w:color="auto"/>
                <w:right w:val="none" w:sz="0" w:space="0" w:color="auto"/>
              </w:divBdr>
              <w:divsChild>
                <w:div w:id="16235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4584">
      <w:bodyDiv w:val="1"/>
      <w:marLeft w:val="0"/>
      <w:marRight w:val="0"/>
      <w:marTop w:val="0"/>
      <w:marBottom w:val="0"/>
      <w:divBdr>
        <w:top w:val="none" w:sz="0" w:space="0" w:color="auto"/>
        <w:left w:val="none" w:sz="0" w:space="0" w:color="auto"/>
        <w:bottom w:val="none" w:sz="0" w:space="0" w:color="auto"/>
        <w:right w:val="none" w:sz="0" w:space="0" w:color="auto"/>
      </w:divBdr>
    </w:div>
    <w:div w:id="1635714805">
      <w:bodyDiv w:val="1"/>
      <w:marLeft w:val="0"/>
      <w:marRight w:val="0"/>
      <w:marTop w:val="0"/>
      <w:marBottom w:val="0"/>
      <w:divBdr>
        <w:top w:val="none" w:sz="0" w:space="0" w:color="auto"/>
        <w:left w:val="none" w:sz="0" w:space="0" w:color="auto"/>
        <w:bottom w:val="none" w:sz="0" w:space="0" w:color="auto"/>
        <w:right w:val="none" w:sz="0" w:space="0" w:color="auto"/>
      </w:divBdr>
    </w:div>
    <w:div w:id="1637300476">
      <w:bodyDiv w:val="1"/>
      <w:marLeft w:val="0"/>
      <w:marRight w:val="0"/>
      <w:marTop w:val="0"/>
      <w:marBottom w:val="0"/>
      <w:divBdr>
        <w:top w:val="none" w:sz="0" w:space="0" w:color="auto"/>
        <w:left w:val="none" w:sz="0" w:space="0" w:color="auto"/>
        <w:bottom w:val="none" w:sz="0" w:space="0" w:color="auto"/>
        <w:right w:val="none" w:sz="0" w:space="0" w:color="auto"/>
      </w:divBdr>
    </w:div>
    <w:div w:id="1641300628">
      <w:bodyDiv w:val="1"/>
      <w:marLeft w:val="0"/>
      <w:marRight w:val="0"/>
      <w:marTop w:val="0"/>
      <w:marBottom w:val="0"/>
      <w:divBdr>
        <w:top w:val="none" w:sz="0" w:space="0" w:color="auto"/>
        <w:left w:val="none" w:sz="0" w:space="0" w:color="auto"/>
        <w:bottom w:val="none" w:sz="0" w:space="0" w:color="auto"/>
        <w:right w:val="none" w:sz="0" w:space="0" w:color="auto"/>
      </w:divBdr>
    </w:div>
    <w:div w:id="1642882817">
      <w:bodyDiv w:val="1"/>
      <w:marLeft w:val="0"/>
      <w:marRight w:val="0"/>
      <w:marTop w:val="0"/>
      <w:marBottom w:val="0"/>
      <w:divBdr>
        <w:top w:val="none" w:sz="0" w:space="0" w:color="auto"/>
        <w:left w:val="none" w:sz="0" w:space="0" w:color="auto"/>
        <w:bottom w:val="none" w:sz="0" w:space="0" w:color="auto"/>
        <w:right w:val="none" w:sz="0" w:space="0" w:color="auto"/>
      </w:divBdr>
    </w:div>
    <w:div w:id="1643853171">
      <w:bodyDiv w:val="1"/>
      <w:marLeft w:val="0"/>
      <w:marRight w:val="0"/>
      <w:marTop w:val="0"/>
      <w:marBottom w:val="0"/>
      <w:divBdr>
        <w:top w:val="none" w:sz="0" w:space="0" w:color="auto"/>
        <w:left w:val="none" w:sz="0" w:space="0" w:color="auto"/>
        <w:bottom w:val="none" w:sz="0" w:space="0" w:color="auto"/>
        <w:right w:val="none" w:sz="0" w:space="0" w:color="auto"/>
      </w:divBdr>
    </w:div>
    <w:div w:id="1646229484">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51789228">
      <w:bodyDiv w:val="1"/>
      <w:marLeft w:val="0"/>
      <w:marRight w:val="0"/>
      <w:marTop w:val="0"/>
      <w:marBottom w:val="0"/>
      <w:divBdr>
        <w:top w:val="none" w:sz="0" w:space="0" w:color="auto"/>
        <w:left w:val="none" w:sz="0" w:space="0" w:color="auto"/>
        <w:bottom w:val="none" w:sz="0" w:space="0" w:color="auto"/>
        <w:right w:val="none" w:sz="0" w:space="0" w:color="auto"/>
      </w:divBdr>
    </w:div>
    <w:div w:id="1652443536">
      <w:bodyDiv w:val="1"/>
      <w:marLeft w:val="0"/>
      <w:marRight w:val="0"/>
      <w:marTop w:val="0"/>
      <w:marBottom w:val="0"/>
      <w:divBdr>
        <w:top w:val="none" w:sz="0" w:space="0" w:color="auto"/>
        <w:left w:val="none" w:sz="0" w:space="0" w:color="auto"/>
        <w:bottom w:val="none" w:sz="0" w:space="0" w:color="auto"/>
        <w:right w:val="none" w:sz="0" w:space="0" w:color="auto"/>
      </w:divBdr>
      <w:divsChild>
        <w:div w:id="317999629">
          <w:marLeft w:val="0"/>
          <w:marRight w:val="0"/>
          <w:marTop w:val="0"/>
          <w:marBottom w:val="0"/>
          <w:divBdr>
            <w:top w:val="none" w:sz="0" w:space="0" w:color="auto"/>
            <w:left w:val="none" w:sz="0" w:space="0" w:color="auto"/>
            <w:bottom w:val="none" w:sz="0" w:space="0" w:color="auto"/>
            <w:right w:val="none" w:sz="0" w:space="0" w:color="auto"/>
          </w:divBdr>
          <w:divsChild>
            <w:div w:id="813334414">
              <w:marLeft w:val="0"/>
              <w:marRight w:val="0"/>
              <w:marTop w:val="0"/>
              <w:marBottom w:val="0"/>
              <w:divBdr>
                <w:top w:val="none" w:sz="0" w:space="0" w:color="auto"/>
                <w:left w:val="none" w:sz="0" w:space="0" w:color="auto"/>
                <w:bottom w:val="none" w:sz="0" w:space="0" w:color="auto"/>
                <w:right w:val="none" w:sz="0" w:space="0" w:color="auto"/>
              </w:divBdr>
              <w:divsChild>
                <w:div w:id="156044593">
                  <w:marLeft w:val="0"/>
                  <w:marRight w:val="0"/>
                  <w:marTop w:val="0"/>
                  <w:marBottom w:val="0"/>
                  <w:divBdr>
                    <w:top w:val="none" w:sz="0" w:space="0" w:color="auto"/>
                    <w:left w:val="none" w:sz="0" w:space="0" w:color="auto"/>
                    <w:bottom w:val="none" w:sz="0" w:space="0" w:color="auto"/>
                    <w:right w:val="none" w:sz="0" w:space="0" w:color="auto"/>
                  </w:divBdr>
                </w:div>
                <w:div w:id="4477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27838">
      <w:bodyDiv w:val="1"/>
      <w:marLeft w:val="0"/>
      <w:marRight w:val="0"/>
      <w:marTop w:val="0"/>
      <w:marBottom w:val="0"/>
      <w:divBdr>
        <w:top w:val="none" w:sz="0" w:space="0" w:color="auto"/>
        <w:left w:val="none" w:sz="0" w:space="0" w:color="auto"/>
        <w:bottom w:val="none" w:sz="0" w:space="0" w:color="auto"/>
        <w:right w:val="none" w:sz="0" w:space="0" w:color="auto"/>
      </w:divBdr>
    </w:div>
    <w:div w:id="1660772384">
      <w:bodyDiv w:val="1"/>
      <w:marLeft w:val="0"/>
      <w:marRight w:val="0"/>
      <w:marTop w:val="0"/>
      <w:marBottom w:val="0"/>
      <w:divBdr>
        <w:top w:val="none" w:sz="0" w:space="0" w:color="auto"/>
        <w:left w:val="none" w:sz="0" w:space="0" w:color="auto"/>
        <w:bottom w:val="none" w:sz="0" w:space="0" w:color="auto"/>
        <w:right w:val="none" w:sz="0" w:space="0" w:color="auto"/>
      </w:divBdr>
    </w:div>
    <w:div w:id="1663662782">
      <w:bodyDiv w:val="1"/>
      <w:marLeft w:val="0"/>
      <w:marRight w:val="0"/>
      <w:marTop w:val="0"/>
      <w:marBottom w:val="0"/>
      <w:divBdr>
        <w:top w:val="none" w:sz="0" w:space="0" w:color="auto"/>
        <w:left w:val="none" w:sz="0" w:space="0" w:color="auto"/>
        <w:bottom w:val="none" w:sz="0" w:space="0" w:color="auto"/>
        <w:right w:val="none" w:sz="0" w:space="0" w:color="auto"/>
      </w:divBdr>
      <w:divsChild>
        <w:div w:id="2071997522">
          <w:marLeft w:val="0"/>
          <w:marRight w:val="0"/>
          <w:marTop w:val="0"/>
          <w:marBottom w:val="0"/>
          <w:divBdr>
            <w:top w:val="none" w:sz="0" w:space="0" w:color="auto"/>
            <w:left w:val="none" w:sz="0" w:space="0" w:color="auto"/>
            <w:bottom w:val="none" w:sz="0" w:space="0" w:color="auto"/>
            <w:right w:val="none" w:sz="0" w:space="0" w:color="auto"/>
          </w:divBdr>
          <w:divsChild>
            <w:div w:id="459500088">
              <w:marLeft w:val="0"/>
              <w:marRight w:val="0"/>
              <w:marTop w:val="0"/>
              <w:marBottom w:val="0"/>
              <w:divBdr>
                <w:top w:val="none" w:sz="0" w:space="0" w:color="auto"/>
                <w:left w:val="none" w:sz="0" w:space="0" w:color="auto"/>
                <w:bottom w:val="none" w:sz="0" w:space="0" w:color="auto"/>
                <w:right w:val="none" w:sz="0" w:space="0" w:color="auto"/>
              </w:divBdr>
              <w:divsChild>
                <w:div w:id="15097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998">
      <w:bodyDiv w:val="1"/>
      <w:marLeft w:val="0"/>
      <w:marRight w:val="0"/>
      <w:marTop w:val="0"/>
      <w:marBottom w:val="0"/>
      <w:divBdr>
        <w:top w:val="none" w:sz="0" w:space="0" w:color="auto"/>
        <w:left w:val="none" w:sz="0" w:space="0" w:color="auto"/>
        <w:bottom w:val="none" w:sz="0" w:space="0" w:color="auto"/>
        <w:right w:val="none" w:sz="0" w:space="0" w:color="auto"/>
      </w:divBdr>
    </w:div>
    <w:div w:id="1667636379">
      <w:bodyDiv w:val="1"/>
      <w:marLeft w:val="0"/>
      <w:marRight w:val="0"/>
      <w:marTop w:val="0"/>
      <w:marBottom w:val="0"/>
      <w:divBdr>
        <w:top w:val="none" w:sz="0" w:space="0" w:color="auto"/>
        <w:left w:val="none" w:sz="0" w:space="0" w:color="auto"/>
        <w:bottom w:val="none" w:sz="0" w:space="0" w:color="auto"/>
        <w:right w:val="none" w:sz="0" w:space="0" w:color="auto"/>
      </w:divBdr>
    </w:div>
    <w:div w:id="1667975877">
      <w:bodyDiv w:val="1"/>
      <w:marLeft w:val="0"/>
      <w:marRight w:val="0"/>
      <w:marTop w:val="0"/>
      <w:marBottom w:val="0"/>
      <w:divBdr>
        <w:top w:val="none" w:sz="0" w:space="0" w:color="auto"/>
        <w:left w:val="none" w:sz="0" w:space="0" w:color="auto"/>
        <w:bottom w:val="none" w:sz="0" w:space="0" w:color="auto"/>
        <w:right w:val="none" w:sz="0" w:space="0" w:color="auto"/>
      </w:divBdr>
    </w:div>
    <w:div w:id="1669138195">
      <w:bodyDiv w:val="1"/>
      <w:marLeft w:val="0"/>
      <w:marRight w:val="0"/>
      <w:marTop w:val="0"/>
      <w:marBottom w:val="0"/>
      <w:divBdr>
        <w:top w:val="none" w:sz="0" w:space="0" w:color="auto"/>
        <w:left w:val="none" w:sz="0" w:space="0" w:color="auto"/>
        <w:bottom w:val="none" w:sz="0" w:space="0" w:color="auto"/>
        <w:right w:val="none" w:sz="0" w:space="0" w:color="auto"/>
      </w:divBdr>
    </w:div>
    <w:div w:id="1673681783">
      <w:bodyDiv w:val="1"/>
      <w:marLeft w:val="0"/>
      <w:marRight w:val="0"/>
      <w:marTop w:val="0"/>
      <w:marBottom w:val="0"/>
      <w:divBdr>
        <w:top w:val="none" w:sz="0" w:space="0" w:color="auto"/>
        <w:left w:val="none" w:sz="0" w:space="0" w:color="auto"/>
        <w:bottom w:val="none" w:sz="0" w:space="0" w:color="auto"/>
        <w:right w:val="none" w:sz="0" w:space="0" w:color="auto"/>
      </w:divBdr>
    </w:div>
    <w:div w:id="1674648598">
      <w:bodyDiv w:val="1"/>
      <w:marLeft w:val="0"/>
      <w:marRight w:val="0"/>
      <w:marTop w:val="0"/>
      <w:marBottom w:val="0"/>
      <w:divBdr>
        <w:top w:val="none" w:sz="0" w:space="0" w:color="auto"/>
        <w:left w:val="none" w:sz="0" w:space="0" w:color="auto"/>
        <w:bottom w:val="none" w:sz="0" w:space="0" w:color="auto"/>
        <w:right w:val="none" w:sz="0" w:space="0" w:color="auto"/>
      </w:divBdr>
    </w:div>
    <w:div w:id="1678075189">
      <w:bodyDiv w:val="1"/>
      <w:marLeft w:val="0"/>
      <w:marRight w:val="0"/>
      <w:marTop w:val="0"/>
      <w:marBottom w:val="0"/>
      <w:divBdr>
        <w:top w:val="none" w:sz="0" w:space="0" w:color="auto"/>
        <w:left w:val="none" w:sz="0" w:space="0" w:color="auto"/>
        <w:bottom w:val="none" w:sz="0" w:space="0" w:color="auto"/>
        <w:right w:val="none" w:sz="0" w:space="0" w:color="auto"/>
      </w:divBdr>
    </w:div>
    <w:div w:id="1678578004">
      <w:bodyDiv w:val="1"/>
      <w:marLeft w:val="0"/>
      <w:marRight w:val="0"/>
      <w:marTop w:val="0"/>
      <w:marBottom w:val="0"/>
      <w:divBdr>
        <w:top w:val="none" w:sz="0" w:space="0" w:color="auto"/>
        <w:left w:val="none" w:sz="0" w:space="0" w:color="auto"/>
        <w:bottom w:val="none" w:sz="0" w:space="0" w:color="auto"/>
        <w:right w:val="none" w:sz="0" w:space="0" w:color="auto"/>
      </w:divBdr>
    </w:div>
    <w:div w:id="1680498331">
      <w:bodyDiv w:val="1"/>
      <w:marLeft w:val="0"/>
      <w:marRight w:val="0"/>
      <w:marTop w:val="0"/>
      <w:marBottom w:val="0"/>
      <w:divBdr>
        <w:top w:val="none" w:sz="0" w:space="0" w:color="auto"/>
        <w:left w:val="none" w:sz="0" w:space="0" w:color="auto"/>
        <w:bottom w:val="none" w:sz="0" w:space="0" w:color="auto"/>
        <w:right w:val="none" w:sz="0" w:space="0" w:color="auto"/>
      </w:divBdr>
      <w:divsChild>
        <w:div w:id="57292613">
          <w:marLeft w:val="0"/>
          <w:marRight w:val="0"/>
          <w:marTop w:val="0"/>
          <w:marBottom w:val="0"/>
          <w:divBdr>
            <w:top w:val="none" w:sz="0" w:space="0" w:color="auto"/>
            <w:left w:val="none" w:sz="0" w:space="0" w:color="auto"/>
            <w:bottom w:val="none" w:sz="0" w:space="0" w:color="auto"/>
            <w:right w:val="none" w:sz="0" w:space="0" w:color="auto"/>
          </w:divBdr>
        </w:div>
      </w:divsChild>
    </w:div>
    <w:div w:id="1683236101">
      <w:bodyDiv w:val="1"/>
      <w:marLeft w:val="0"/>
      <w:marRight w:val="0"/>
      <w:marTop w:val="0"/>
      <w:marBottom w:val="0"/>
      <w:divBdr>
        <w:top w:val="none" w:sz="0" w:space="0" w:color="auto"/>
        <w:left w:val="none" w:sz="0" w:space="0" w:color="auto"/>
        <w:bottom w:val="none" w:sz="0" w:space="0" w:color="auto"/>
        <w:right w:val="none" w:sz="0" w:space="0" w:color="auto"/>
      </w:divBdr>
    </w:div>
    <w:div w:id="1684934555">
      <w:bodyDiv w:val="1"/>
      <w:marLeft w:val="0"/>
      <w:marRight w:val="0"/>
      <w:marTop w:val="0"/>
      <w:marBottom w:val="0"/>
      <w:divBdr>
        <w:top w:val="none" w:sz="0" w:space="0" w:color="auto"/>
        <w:left w:val="none" w:sz="0" w:space="0" w:color="auto"/>
        <w:bottom w:val="none" w:sz="0" w:space="0" w:color="auto"/>
        <w:right w:val="none" w:sz="0" w:space="0" w:color="auto"/>
      </w:divBdr>
    </w:div>
    <w:div w:id="1686588614">
      <w:bodyDiv w:val="1"/>
      <w:marLeft w:val="0"/>
      <w:marRight w:val="0"/>
      <w:marTop w:val="0"/>
      <w:marBottom w:val="0"/>
      <w:divBdr>
        <w:top w:val="none" w:sz="0" w:space="0" w:color="auto"/>
        <w:left w:val="none" w:sz="0" w:space="0" w:color="auto"/>
        <w:bottom w:val="none" w:sz="0" w:space="0" w:color="auto"/>
        <w:right w:val="none" w:sz="0" w:space="0" w:color="auto"/>
      </w:divBdr>
      <w:divsChild>
        <w:div w:id="1810367060">
          <w:marLeft w:val="0"/>
          <w:marRight w:val="0"/>
          <w:marTop w:val="0"/>
          <w:marBottom w:val="0"/>
          <w:divBdr>
            <w:top w:val="none" w:sz="0" w:space="0" w:color="auto"/>
            <w:left w:val="none" w:sz="0" w:space="0" w:color="auto"/>
            <w:bottom w:val="none" w:sz="0" w:space="0" w:color="auto"/>
            <w:right w:val="none" w:sz="0" w:space="0" w:color="auto"/>
          </w:divBdr>
        </w:div>
      </w:divsChild>
    </w:div>
    <w:div w:id="1687977728">
      <w:bodyDiv w:val="1"/>
      <w:marLeft w:val="0"/>
      <w:marRight w:val="0"/>
      <w:marTop w:val="0"/>
      <w:marBottom w:val="0"/>
      <w:divBdr>
        <w:top w:val="none" w:sz="0" w:space="0" w:color="auto"/>
        <w:left w:val="none" w:sz="0" w:space="0" w:color="auto"/>
        <w:bottom w:val="none" w:sz="0" w:space="0" w:color="auto"/>
        <w:right w:val="none" w:sz="0" w:space="0" w:color="auto"/>
      </w:divBdr>
    </w:div>
    <w:div w:id="1694575374">
      <w:bodyDiv w:val="1"/>
      <w:marLeft w:val="0"/>
      <w:marRight w:val="0"/>
      <w:marTop w:val="0"/>
      <w:marBottom w:val="0"/>
      <w:divBdr>
        <w:top w:val="none" w:sz="0" w:space="0" w:color="auto"/>
        <w:left w:val="none" w:sz="0" w:space="0" w:color="auto"/>
        <w:bottom w:val="none" w:sz="0" w:space="0" w:color="auto"/>
        <w:right w:val="none" w:sz="0" w:space="0" w:color="auto"/>
      </w:divBdr>
    </w:div>
    <w:div w:id="1694726326">
      <w:bodyDiv w:val="1"/>
      <w:marLeft w:val="0"/>
      <w:marRight w:val="0"/>
      <w:marTop w:val="0"/>
      <w:marBottom w:val="0"/>
      <w:divBdr>
        <w:top w:val="none" w:sz="0" w:space="0" w:color="auto"/>
        <w:left w:val="none" w:sz="0" w:space="0" w:color="auto"/>
        <w:bottom w:val="none" w:sz="0" w:space="0" w:color="auto"/>
        <w:right w:val="none" w:sz="0" w:space="0" w:color="auto"/>
      </w:divBdr>
    </w:div>
    <w:div w:id="1694962489">
      <w:bodyDiv w:val="1"/>
      <w:marLeft w:val="0"/>
      <w:marRight w:val="0"/>
      <w:marTop w:val="0"/>
      <w:marBottom w:val="0"/>
      <w:divBdr>
        <w:top w:val="none" w:sz="0" w:space="0" w:color="auto"/>
        <w:left w:val="none" w:sz="0" w:space="0" w:color="auto"/>
        <w:bottom w:val="none" w:sz="0" w:space="0" w:color="auto"/>
        <w:right w:val="none" w:sz="0" w:space="0" w:color="auto"/>
      </w:divBdr>
    </w:div>
    <w:div w:id="1697581756">
      <w:bodyDiv w:val="1"/>
      <w:marLeft w:val="0"/>
      <w:marRight w:val="0"/>
      <w:marTop w:val="0"/>
      <w:marBottom w:val="0"/>
      <w:divBdr>
        <w:top w:val="none" w:sz="0" w:space="0" w:color="auto"/>
        <w:left w:val="none" w:sz="0" w:space="0" w:color="auto"/>
        <w:bottom w:val="none" w:sz="0" w:space="0" w:color="auto"/>
        <w:right w:val="none" w:sz="0" w:space="0" w:color="auto"/>
      </w:divBdr>
    </w:div>
    <w:div w:id="1698194233">
      <w:bodyDiv w:val="1"/>
      <w:marLeft w:val="0"/>
      <w:marRight w:val="0"/>
      <w:marTop w:val="0"/>
      <w:marBottom w:val="0"/>
      <w:divBdr>
        <w:top w:val="none" w:sz="0" w:space="0" w:color="auto"/>
        <w:left w:val="none" w:sz="0" w:space="0" w:color="auto"/>
        <w:bottom w:val="none" w:sz="0" w:space="0" w:color="auto"/>
        <w:right w:val="none" w:sz="0" w:space="0" w:color="auto"/>
      </w:divBdr>
    </w:div>
    <w:div w:id="1700010858">
      <w:bodyDiv w:val="1"/>
      <w:marLeft w:val="0"/>
      <w:marRight w:val="0"/>
      <w:marTop w:val="0"/>
      <w:marBottom w:val="0"/>
      <w:divBdr>
        <w:top w:val="none" w:sz="0" w:space="0" w:color="auto"/>
        <w:left w:val="none" w:sz="0" w:space="0" w:color="auto"/>
        <w:bottom w:val="none" w:sz="0" w:space="0" w:color="auto"/>
        <w:right w:val="none" w:sz="0" w:space="0" w:color="auto"/>
      </w:divBdr>
    </w:div>
    <w:div w:id="1702510918">
      <w:bodyDiv w:val="1"/>
      <w:marLeft w:val="0"/>
      <w:marRight w:val="0"/>
      <w:marTop w:val="0"/>
      <w:marBottom w:val="0"/>
      <w:divBdr>
        <w:top w:val="none" w:sz="0" w:space="0" w:color="auto"/>
        <w:left w:val="none" w:sz="0" w:space="0" w:color="auto"/>
        <w:bottom w:val="none" w:sz="0" w:space="0" w:color="auto"/>
        <w:right w:val="none" w:sz="0" w:space="0" w:color="auto"/>
      </w:divBdr>
    </w:div>
    <w:div w:id="1714965631">
      <w:bodyDiv w:val="1"/>
      <w:marLeft w:val="0"/>
      <w:marRight w:val="0"/>
      <w:marTop w:val="0"/>
      <w:marBottom w:val="0"/>
      <w:divBdr>
        <w:top w:val="none" w:sz="0" w:space="0" w:color="auto"/>
        <w:left w:val="none" w:sz="0" w:space="0" w:color="auto"/>
        <w:bottom w:val="none" w:sz="0" w:space="0" w:color="auto"/>
        <w:right w:val="none" w:sz="0" w:space="0" w:color="auto"/>
      </w:divBdr>
    </w:div>
    <w:div w:id="1719358494">
      <w:bodyDiv w:val="1"/>
      <w:marLeft w:val="0"/>
      <w:marRight w:val="0"/>
      <w:marTop w:val="0"/>
      <w:marBottom w:val="0"/>
      <w:divBdr>
        <w:top w:val="none" w:sz="0" w:space="0" w:color="auto"/>
        <w:left w:val="none" w:sz="0" w:space="0" w:color="auto"/>
        <w:bottom w:val="none" w:sz="0" w:space="0" w:color="auto"/>
        <w:right w:val="none" w:sz="0" w:space="0" w:color="auto"/>
      </w:divBdr>
    </w:div>
    <w:div w:id="1720276959">
      <w:bodyDiv w:val="1"/>
      <w:marLeft w:val="0"/>
      <w:marRight w:val="0"/>
      <w:marTop w:val="0"/>
      <w:marBottom w:val="0"/>
      <w:divBdr>
        <w:top w:val="none" w:sz="0" w:space="0" w:color="auto"/>
        <w:left w:val="none" w:sz="0" w:space="0" w:color="auto"/>
        <w:bottom w:val="none" w:sz="0" w:space="0" w:color="auto"/>
        <w:right w:val="none" w:sz="0" w:space="0" w:color="auto"/>
      </w:divBdr>
    </w:div>
    <w:div w:id="1722439125">
      <w:bodyDiv w:val="1"/>
      <w:marLeft w:val="0"/>
      <w:marRight w:val="0"/>
      <w:marTop w:val="0"/>
      <w:marBottom w:val="0"/>
      <w:divBdr>
        <w:top w:val="none" w:sz="0" w:space="0" w:color="auto"/>
        <w:left w:val="none" w:sz="0" w:space="0" w:color="auto"/>
        <w:bottom w:val="none" w:sz="0" w:space="0" w:color="auto"/>
        <w:right w:val="none" w:sz="0" w:space="0" w:color="auto"/>
      </w:divBdr>
    </w:div>
    <w:div w:id="1724786902">
      <w:bodyDiv w:val="1"/>
      <w:marLeft w:val="0"/>
      <w:marRight w:val="0"/>
      <w:marTop w:val="0"/>
      <w:marBottom w:val="0"/>
      <w:divBdr>
        <w:top w:val="none" w:sz="0" w:space="0" w:color="auto"/>
        <w:left w:val="none" w:sz="0" w:space="0" w:color="auto"/>
        <w:bottom w:val="none" w:sz="0" w:space="0" w:color="auto"/>
        <w:right w:val="none" w:sz="0" w:space="0" w:color="auto"/>
      </w:divBdr>
    </w:div>
    <w:div w:id="1726483734">
      <w:bodyDiv w:val="1"/>
      <w:marLeft w:val="0"/>
      <w:marRight w:val="0"/>
      <w:marTop w:val="0"/>
      <w:marBottom w:val="0"/>
      <w:divBdr>
        <w:top w:val="none" w:sz="0" w:space="0" w:color="auto"/>
        <w:left w:val="none" w:sz="0" w:space="0" w:color="auto"/>
        <w:bottom w:val="none" w:sz="0" w:space="0" w:color="auto"/>
        <w:right w:val="none" w:sz="0" w:space="0" w:color="auto"/>
      </w:divBdr>
    </w:div>
    <w:div w:id="1730037199">
      <w:bodyDiv w:val="1"/>
      <w:marLeft w:val="0"/>
      <w:marRight w:val="0"/>
      <w:marTop w:val="0"/>
      <w:marBottom w:val="0"/>
      <w:divBdr>
        <w:top w:val="none" w:sz="0" w:space="0" w:color="auto"/>
        <w:left w:val="none" w:sz="0" w:space="0" w:color="auto"/>
        <w:bottom w:val="none" w:sz="0" w:space="0" w:color="auto"/>
        <w:right w:val="none" w:sz="0" w:space="0" w:color="auto"/>
      </w:divBdr>
    </w:div>
    <w:div w:id="1730107553">
      <w:bodyDiv w:val="1"/>
      <w:marLeft w:val="0"/>
      <w:marRight w:val="0"/>
      <w:marTop w:val="0"/>
      <w:marBottom w:val="0"/>
      <w:divBdr>
        <w:top w:val="none" w:sz="0" w:space="0" w:color="auto"/>
        <w:left w:val="none" w:sz="0" w:space="0" w:color="auto"/>
        <w:bottom w:val="none" w:sz="0" w:space="0" w:color="auto"/>
        <w:right w:val="none" w:sz="0" w:space="0" w:color="auto"/>
      </w:divBdr>
    </w:div>
    <w:div w:id="1731078520">
      <w:bodyDiv w:val="1"/>
      <w:marLeft w:val="0"/>
      <w:marRight w:val="0"/>
      <w:marTop w:val="0"/>
      <w:marBottom w:val="0"/>
      <w:divBdr>
        <w:top w:val="none" w:sz="0" w:space="0" w:color="auto"/>
        <w:left w:val="none" w:sz="0" w:space="0" w:color="auto"/>
        <w:bottom w:val="none" w:sz="0" w:space="0" w:color="auto"/>
        <w:right w:val="none" w:sz="0" w:space="0" w:color="auto"/>
      </w:divBdr>
    </w:div>
    <w:div w:id="1731222347">
      <w:bodyDiv w:val="1"/>
      <w:marLeft w:val="0"/>
      <w:marRight w:val="0"/>
      <w:marTop w:val="0"/>
      <w:marBottom w:val="0"/>
      <w:divBdr>
        <w:top w:val="none" w:sz="0" w:space="0" w:color="auto"/>
        <w:left w:val="none" w:sz="0" w:space="0" w:color="auto"/>
        <w:bottom w:val="none" w:sz="0" w:space="0" w:color="auto"/>
        <w:right w:val="none" w:sz="0" w:space="0" w:color="auto"/>
      </w:divBdr>
    </w:div>
    <w:div w:id="1731925031">
      <w:bodyDiv w:val="1"/>
      <w:marLeft w:val="0"/>
      <w:marRight w:val="0"/>
      <w:marTop w:val="0"/>
      <w:marBottom w:val="0"/>
      <w:divBdr>
        <w:top w:val="none" w:sz="0" w:space="0" w:color="auto"/>
        <w:left w:val="none" w:sz="0" w:space="0" w:color="auto"/>
        <w:bottom w:val="none" w:sz="0" w:space="0" w:color="auto"/>
        <w:right w:val="none" w:sz="0" w:space="0" w:color="auto"/>
      </w:divBdr>
    </w:div>
    <w:div w:id="1732191099">
      <w:bodyDiv w:val="1"/>
      <w:marLeft w:val="0"/>
      <w:marRight w:val="0"/>
      <w:marTop w:val="0"/>
      <w:marBottom w:val="0"/>
      <w:divBdr>
        <w:top w:val="none" w:sz="0" w:space="0" w:color="auto"/>
        <w:left w:val="none" w:sz="0" w:space="0" w:color="auto"/>
        <w:bottom w:val="none" w:sz="0" w:space="0" w:color="auto"/>
        <w:right w:val="none" w:sz="0" w:space="0" w:color="auto"/>
      </w:divBdr>
    </w:div>
    <w:div w:id="1739357110">
      <w:bodyDiv w:val="1"/>
      <w:marLeft w:val="0"/>
      <w:marRight w:val="0"/>
      <w:marTop w:val="0"/>
      <w:marBottom w:val="0"/>
      <w:divBdr>
        <w:top w:val="none" w:sz="0" w:space="0" w:color="auto"/>
        <w:left w:val="none" w:sz="0" w:space="0" w:color="auto"/>
        <w:bottom w:val="none" w:sz="0" w:space="0" w:color="auto"/>
        <w:right w:val="none" w:sz="0" w:space="0" w:color="auto"/>
      </w:divBdr>
    </w:div>
    <w:div w:id="1741174232">
      <w:bodyDiv w:val="1"/>
      <w:marLeft w:val="0"/>
      <w:marRight w:val="0"/>
      <w:marTop w:val="0"/>
      <w:marBottom w:val="0"/>
      <w:divBdr>
        <w:top w:val="none" w:sz="0" w:space="0" w:color="auto"/>
        <w:left w:val="none" w:sz="0" w:space="0" w:color="auto"/>
        <w:bottom w:val="none" w:sz="0" w:space="0" w:color="auto"/>
        <w:right w:val="none" w:sz="0" w:space="0" w:color="auto"/>
      </w:divBdr>
    </w:div>
    <w:div w:id="1742676726">
      <w:bodyDiv w:val="1"/>
      <w:marLeft w:val="0"/>
      <w:marRight w:val="0"/>
      <w:marTop w:val="0"/>
      <w:marBottom w:val="0"/>
      <w:divBdr>
        <w:top w:val="none" w:sz="0" w:space="0" w:color="auto"/>
        <w:left w:val="none" w:sz="0" w:space="0" w:color="auto"/>
        <w:bottom w:val="none" w:sz="0" w:space="0" w:color="auto"/>
        <w:right w:val="none" w:sz="0" w:space="0" w:color="auto"/>
      </w:divBdr>
    </w:div>
    <w:div w:id="1743062598">
      <w:bodyDiv w:val="1"/>
      <w:marLeft w:val="0"/>
      <w:marRight w:val="0"/>
      <w:marTop w:val="0"/>
      <w:marBottom w:val="0"/>
      <w:divBdr>
        <w:top w:val="none" w:sz="0" w:space="0" w:color="auto"/>
        <w:left w:val="none" w:sz="0" w:space="0" w:color="auto"/>
        <w:bottom w:val="none" w:sz="0" w:space="0" w:color="auto"/>
        <w:right w:val="none" w:sz="0" w:space="0" w:color="auto"/>
      </w:divBdr>
    </w:div>
    <w:div w:id="1743286156">
      <w:bodyDiv w:val="1"/>
      <w:marLeft w:val="0"/>
      <w:marRight w:val="0"/>
      <w:marTop w:val="0"/>
      <w:marBottom w:val="0"/>
      <w:divBdr>
        <w:top w:val="none" w:sz="0" w:space="0" w:color="auto"/>
        <w:left w:val="none" w:sz="0" w:space="0" w:color="auto"/>
        <w:bottom w:val="none" w:sz="0" w:space="0" w:color="auto"/>
        <w:right w:val="none" w:sz="0" w:space="0" w:color="auto"/>
      </w:divBdr>
    </w:div>
    <w:div w:id="1743522442">
      <w:bodyDiv w:val="1"/>
      <w:marLeft w:val="0"/>
      <w:marRight w:val="0"/>
      <w:marTop w:val="0"/>
      <w:marBottom w:val="0"/>
      <w:divBdr>
        <w:top w:val="none" w:sz="0" w:space="0" w:color="auto"/>
        <w:left w:val="none" w:sz="0" w:space="0" w:color="auto"/>
        <w:bottom w:val="none" w:sz="0" w:space="0" w:color="auto"/>
        <w:right w:val="none" w:sz="0" w:space="0" w:color="auto"/>
      </w:divBdr>
    </w:div>
    <w:div w:id="1744569802">
      <w:bodyDiv w:val="1"/>
      <w:marLeft w:val="0"/>
      <w:marRight w:val="0"/>
      <w:marTop w:val="0"/>
      <w:marBottom w:val="0"/>
      <w:divBdr>
        <w:top w:val="none" w:sz="0" w:space="0" w:color="auto"/>
        <w:left w:val="none" w:sz="0" w:space="0" w:color="auto"/>
        <w:bottom w:val="none" w:sz="0" w:space="0" w:color="auto"/>
        <w:right w:val="none" w:sz="0" w:space="0" w:color="auto"/>
      </w:divBdr>
    </w:div>
    <w:div w:id="1752115234">
      <w:bodyDiv w:val="1"/>
      <w:marLeft w:val="0"/>
      <w:marRight w:val="0"/>
      <w:marTop w:val="0"/>
      <w:marBottom w:val="0"/>
      <w:divBdr>
        <w:top w:val="none" w:sz="0" w:space="0" w:color="auto"/>
        <w:left w:val="none" w:sz="0" w:space="0" w:color="auto"/>
        <w:bottom w:val="none" w:sz="0" w:space="0" w:color="auto"/>
        <w:right w:val="none" w:sz="0" w:space="0" w:color="auto"/>
      </w:divBdr>
    </w:div>
    <w:div w:id="1752656226">
      <w:bodyDiv w:val="1"/>
      <w:marLeft w:val="0"/>
      <w:marRight w:val="0"/>
      <w:marTop w:val="0"/>
      <w:marBottom w:val="0"/>
      <w:divBdr>
        <w:top w:val="none" w:sz="0" w:space="0" w:color="auto"/>
        <w:left w:val="none" w:sz="0" w:space="0" w:color="auto"/>
        <w:bottom w:val="none" w:sz="0" w:space="0" w:color="auto"/>
        <w:right w:val="none" w:sz="0" w:space="0" w:color="auto"/>
      </w:divBdr>
    </w:div>
    <w:div w:id="1752658405">
      <w:bodyDiv w:val="1"/>
      <w:marLeft w:val="0"/>
      <w:marRight w:val="0"/>
      <w:marTop w:val="0"/>
      <w:marBottom w:val="0"/>
      <w:divBdr>
        <w:top w:val="none" w:sz="0" w:space="0" w:color="auto"/>
        <w:left w:val="none" w:sz="0" w:space="0" w:color="auto"/>
        <w:bottom w:val="none" w:sz="0" w:space="0" w:color="auto"/>
        <w:right w:val="none" w:sz="0" w:space="0" w:color="auto"/>
      </w:divBdr>
    </w:div>
    <w:div w:id="1754088754">
      <w:bodyDiv w:val="1"/>
      <w:marLeft w:val="0"/>
      <w:marRight w:val="0"/>
      <w:marTop w:val="0"/>
      <w:marBottom w:val="0"/>
      <w:divBdr>
        <w:top w:val="none" w:sz="0" w:space="0" w:color="auto"/>
        <w:left w:val="none" w:sz="0" w:space="0" w:color="auto"/>
        <w:bottom w:val="none" w:sz="0" w:space="0" w:color="auto"/>
        <w:right w:val="none" w:sz="0" w:space="0" w:color="auto"/>
      </w:divBdr>
    </w:div>
    <w:div w:id="1754622239">
      <w:bodyDiv w:val="1"/>
      <w:marLeft w:val="0"/>
      <w:marRight w:val="0"/>
      <w:marTop w:val="0"/>
      <w:marBottom w:val="0"/>
      <w:divBdr>
        <w:top w:val="none" w:sz="0" w:space="0" w:color="auto"/>
        <w:left w:val="none" w:sz="0" w:space="0" w:color="auto"/>
        <w:bottom w:val="none" w:sz="0" w:space="0" w:color="auto"/>
        <w:right w:val="none" w:sz="0" w:space="0" w:color="auto"/>
      </w:divBdr>
    </w:div>
    <w:div w:id="1756396362">
      <w:bodyDiv w:val="1"/>
      <w:marLeft w:val="0"/>
      <w:marRight w:val="0"/>
      <w:marTop w:val="0"/>
      <w:marBottom w:val="0"/>
      <w:divBdr>
        <w:top w:val="none" w:sz="0" w:space="0" w:color="auto"/>
        <w:left w:val="none" w:sz="0" w:space="0" w:color="auto"/>
        <w:bottom w:val="none" w:sz="0" w:space="0" w:color="auto"/>
        <w:right w:val="none" w:sz="0" w:space="0" w:color="auto"/>
      </w:divBdr>
    </w:div>
    <w:div w:id="1758404541">
      <w:bodyDiv w:val="1"/>
      <w:marLeft w:val="0"/>
      <w:marRight w:val="0"/>
      <w:marTop w:val="0"/>
      <w:marBottom w:val="0"/>
      <w:divBdr>
        <w:top w:val="none" w:sz="0" w:space="0" w:color="auto"/>
        <w:left w:val="none" w:sz="0" w:space="0" w:color="auto"/>
        <w:bottom w:val="none" w:sz="0" w:space="0" w:color="auto"/>
        <w:right w:val="none" w:sz="0" w:space="0" w:color="auto"/>
      </w:divBdr>
    </w:div>
    <w:div w:id="1762020727">
      <w:bodyDiv w:val="1"/>
      <w:marLeft w:val="0"/>
      <w:marRight w:val="0"/>
      <w:marTop w:val="0"/>
      <w:marBottom w:val="0"/>
      <w:divBdr>
        <w:top w:val="none" w:sz="0" w:space="0" w:color="auto"/>
        <w:left w:val="none" w:sz="0" w:space="0" w:color="auto"/>
        <w:bottom w:val="none" w:sz="0" w:space="0" w:color="auto"/>
        <w:right w:val="none" w:sz="0" w:space="0" w:color="auto"/>
      </w:divBdr>
    </w:div>
    <w:div w:id="1762681767">
      <w:bodyDiv w:val="1"/>
      <w:marLeft w:val="0"/>
      <w:marRight w:val="0"/>
      <w:marTop w:val="0"/>
      <w:marBottom w:val="0"/>
      <w:divBdr>
        <w:top w:val="none" w:sz="0" w:space="0" w:color="auto"/>
        <w:left w:val="none" w:sz="0" w:space="0" w:color="auto"/>
        <w:bottom w:val="none" w:sz="0" w:space="0" w:color="auto"/>
        <w:right w:val="none" w:sz="0" w:space="0" w:color="auto"/>
      </w:divBdr>
    </w:div>
    <w:div w:id="1762750842">
      <w:bodyDiv w:val="1"/>
      <w:marLeft w:val="0"/>
      <w:marRight w:val="0"/>
      <w:marTop w:val="0"/>
      <w:marBottom w:val="0"/>
      <w:divBdr>
        <w:top w:val="none" w:sz="0" w:space="0" w:color="auto"/>
        <w:left w:val="none" w:sz="0" w:space="0" w:color="auto"/>
        <w:bottom w:val="none" w:sz="0" w:space="0" w:color="auto"/>
        <w:right w:val="none" w:sz="0" w:space="0" w:color="auto"/>
      </w:divBdr>
    </w:div>
    <w:div w:id="1763837106">
      <w:bodyDiv w:val="1"/>
      <w:marLeft w:val="0"/>
      <w:marRight w:val="0"/>
      <w:marTop w:val="0"/>
      <w:marBottom w:val="0"/>
      <w:divBdr>
        <w:top w:val="none" w:sz="0" w:space="0" w:color="auto"/>
        <w:left w:val="none" w:sz="0" w:space="0" w:color="auto"/>
        <w:bottom w:val="none" w:sz="0" w:space="0" w:color="auto"/>
        <w:right w:val="none" w:sz="0" w:space="0" w:color="auto"/>
      </w:divBdr>
    </w:div>
    <w:div w:id="1768773805">
      <w:bodyDiv w:val="1"/>
      <w:marLeft w:val="0"/>
      <w:marRight w:val="0"/>
      <w:marTop w:val="0"/>
      <w:marBottom w:val="0"/>
      <w:divBdr>
        <w:top w:val="none" w:sz="0" w:space="0" w:color="auto"/>
        <w:left w:val="none" w:sz="0" w:space="0" w:color="auto"/>
        <w:bottom w:val="none" w:sz="0" w:space="0" w:color="auto"/>
        <w:right w:val="none" w:sz="0" w:space="0" w:color="auto"/>
      </w:divBdr>
    </w:div>
    <w:div w:id="1769349948">
      <w:bodyDiv w:val="1"/>
      <w:marLeft w:val="0"/>
      <w:marRight w:val="0"/>
      <w:marTop w:val="0"/>
      <w:marBottom w:val="0"/>
      <w:divBdr>
        <w:top w:val="none" w:sz="0" w:space="0" w:color="auto"/>
        <w:left w:val="none" w:sz="0" w:space="0" w:color="auto"/>
        <w:bottom w:val="none" w:sz="0" w:space="0" w:color="auto"/>
        <w:right w:val="none" w:sz="0" w:space="0" w:color="auto"/>
      </w:divBdr>
    </w:div>
    <w:div w:id="1771268789">
      <w:bodyDiv w:val="1"/>
      <w:marLeft w:val="0"/>
      <w:marRight w:val="0"/>
      <w:marTop w:val="0"/>
      <w:marBottom w:val="0"/>
      <w:divBdr>
        <w:top w:val="none" w:sz="0" w:space="0" w:color="auto"/>
        <w:left w:val="none" w:sz="0" w:space="0" w:color="auto"/>
        <w:bottom w:val="none" w:sz="0" w:space="0" w:color="auto"/>
        <w:right w:val="none" w:sz="0" w:space="0" w:color="auto"/>
      </w:divBdr>
    </w:div>
    <w:div w:id="1772898355">
      <w:bodyDiv w:val="1"/>
      <w:marLeft w:val="0"/>
      <w:marRight w:val="0"/>
      <w:marTop w:val="0"/>
      <w:marBottom w:val="0"/>
      <w:divBdr>
        <w:top w:val="none" w:sz="0" w:space="0" w:color="auto"/>
        <w:left w:val="none" w:sz="0" w:space="0" w:color="auto"/>
        <w:bottom w:val="none" w:sz="0" w:space="0" w:color="auto"/>
        <w:right w:val="none" w:sz="0" w:space="0" w:color="auto"/>
      </w:divBdr>
    </w:div>
    <w:div w:id="1772968330">
      <w:bodyDiv w:val="1"/>
      <w:marLeft w:val="0"/>
      <w:marRight w:val="0"/>
      <w:marTop w:val="0"/>
      <w:marBottom w:val="0"/>
      <w:divBdr>
        <w:top w:val="none" w:sz="0" w:space="0" w:color="auto"/>
        <w:left w:val="none" w:sz="0" w:space="0" w:color="auto"/>
        <w:bottom w:val="none" w:sz="0" w:space="0" w:color="auto"/>
        <w:right w:val="none" w:sz="0" w:space="0" w:color="auto"/>
      </w:divBdr>
    </w:div>
    <w:div w:id="1775785304">
      <w:bodyDiv w:val="1"/>
      <w:marLeft w:val="0"/>
      <w:marRight w:val="0"/>
      <w:marTop w:val="0"/>
      <w:marBottom w:val="0"/>
      <w:divBdr>
        <w:top w:val="none" w:sz="0" w:space="0" w:color="auto"/>
        <w:left w:val="none" w:sz="0" w:space="0" w:color="auto"/>
        <w:bottom w:val="none" w:sz="0" w:space="0" w:color="auto"/>
        <w:right w:val="none" w:sz="0" w:space="0" w:color="auto"/>
      </w:divBdr>
    </w:div>
    <w:div w:id="1784156564">
      <w:bodyDiv w:val="1"/>
      <w:marLeft w:val="0"/>
      <w:marRight w:val="0"/>
      <w:marTop w:val="0"/>
      <w:marBottom w:val="0"/>
      <w:divBdr>
        <w:top w:val="none" w:sz="0" w:space="0" w:color="auto"/>
        <w:left w:val="none" w:sz="0" w:space="0" w:color="auto"/>
        <w:bottom w:val="none" w:sz="0" w:space="0" w:color="auto"/>
        <w:right w:val="none" w:sz="0" w:space="0" w:color="auto"/>
      </w:divBdr>
    </w:div>
    <w:div w:id="1787314653">
      <w:bodyDiv w:val="1"/>
      <w:marLeft w:val="0"/>
      <w:marRight w:val="0"/>
      <w:marTop w:val="0"/>
      <w:marBottom w:val="0"/>
      <w:divBdr>
        <w:top w:val="none" w:sz="0" w:space="0" w:color="auto"/>
        <w:left w:val="none" w:sz="0" w:space="0" w:color="auto"/>
        <w:bottom w:val="none" w:sz="0" w:space="0" w:color="auto"/>
        <w:right w:val="none" w:sz="0" w:space="0" w:color="auto"/>
      </w:divBdr>
    </w:div>
    <w:div w:id="1788502432">
      <w:bodyDiv w:val="1"/>
      <w:marLeft w:val="0"/>
      <w:marRight w:val="0"/>
      <w:marTop w:val="0"/>
      <w:marBottom w:val="0"/>
      <w:divBdr>
        <w:top w:val="none" w:sz="0" w:space="0" w:color="auto"/>
        <w:left w:val="none" w:sz="0" w:space="0" w:color="auto"/>
        <w:bottom w:val="none" w:sz="0" w:space="0" w:color="auto"/>
        <w:right w:val="none" w:sz="0" w:space="0" w:color="auto"/>
      </w:divBdr>
    </w:div>
    <w:div w:id="1789859800">
      <w:bodyDiv w:val="1"/>
      <w:marLeft w:val="0"/>
      <w:marRight w:val="0"/>
      <w:marTop w:val="0"/>
      <w:marBottom w:val="0"/>
      <w:divBdr>
        <w:top w:val="none" w:sz="0" w:space="0" w:color="auto"/>
        <w:left w:val="none" w:sz="0" w:space="0" w:color="auto"/>
        <w:bottom w:val="none" w:sz="0" w:space="0" w:color="auto"/>
        <w:right w:val="none" w:sz="0" w:space="0" w:color="auto"/>
      </w:divBdr>
    </w:div>
    <w:div w:id="1791588648">
      <w:bodyDiv w:val="1"/>
      <w:marLeft w:val="0"/>
      <w:marRight w:val="0"/>
      <w:marTop w:val="0"/>
      <w:marBottom w:val="0"/>
      <w:divBdr>
        <w:top w:val="none" w:sz="0" w:space="0" w:color="auto"/>
        <w:left w:val="none" w:sz="0" w:space="0" w:color="auto"/>
        <w:bottom w:val="none" w:sz="0" w:space="0" w:color="auto"/>
        <w:right w:val="none" w:sz="0" w:space="0" w:color="auto"/>
      </w:divBdr>
    </w:div>
    <w:div w:id="1793472169">
      <w:bodyDiv w:val="1"/>
      <w:marLeft w:val="0"/>
      <w:marRight w:val="0"/>
      <w:marTop w:val="0"/>
      <w:marBottom w:val="0"/>
      <w:divBdr>
        <w:top w:val="none" w:sz="0" w:space="0" w:color="auto"/>
        <w:left w:val="none" w:sz="0" w:space="0" w:color="auto"/>
        <w:bottom w:val="none" w:sz="0" w:space="0" w:color="auto"/>
        <w:right w:val="none" w:sz="0" w:space="0" w:color="auto"/>
      </w:divBdr>
      <w:divsChild>
        <w:div w:id="158081571">
          <w:marLeft w:val="0"/>
          <w:marRight w:val="0"/>
          <w:marTop w:val="0"/>
          <w:marBottom w:val="0"/>
          <w:divBdr>
            <w:top w:val="none" w:sz="0" w:space="0" w:color="auto"/>
            <w:left w:val="none" w:sz="0" w:space="0" w:color="auto"/>
            <w:bottom w:val="none" w:sz="0" w:space="0" w:color="auto"/>
            <w:right w:val="none" w:sz="0" w:space="0" w:color="auto"/>
          </w:divBdr>
          <w:divsChild>
            <w:div w:id="1852794847">
              <w:marLeft w:val="0"/>
              <w:marRight w:val="0"/>
              <w:marTop w:val="0"/>
              <w:marBottom w:val="0"/>
              <w:divBdr>
                <w:top w:val="none" w:sz="0" w:space="0" w:color="auto"/>
                <w:left w:val="none" w:sz="0" w:space="0" w:color="auto"/>
                <w:bottom w:val="none" w:sz="0" w:space="0" w:color="auto"/>
                <w:right w:val="none" w:sz="0" w:space="0" w:color="auto"/>
              </w:divBdr>
              <w:divsChild>
                <w:div w:id="70126859">
                  <w:marLeft w:val="0"/>
                  <w:marRight w:val="0"/>
                  <w:marTop w:val="0"/>
                  <w:marBottom w:val="0"/>
                  <w:divBdr>
                    <w:top w:val="none" w:sz="0" w:space="0" w:color="auto"/>
                    <w:left w:val="none" w:sz="0" w:space="0" w:color="auto"/>
                    <w:bottom w:val="none" w:sz="0" w:space="0" w:color="auto"/>
                    <w:right w:val="none" w:sz="0" w:space="0" w:color="auto"/>
                  </w:divBdr>
                </w:div>
              </w:divsChild>
            </w:div>
            <w:div w:id="2142840594">
              <w:marLeft w:val="0"/>
              <w:marRight w:val="0"/>
              <w:marTop w:val="0"/>
              <w:marBottom w:val="0"/>
              <w:divBdr>
                <w:top w:val="none" w:sz="0" w:space="0" w:color="auto"/>
                <w:left w:val="none" w:sz="0" w:space="0" w:color="auto"/>
                <w:bottom w:val="none" w:sz="0" w:space="0" w:color="auto"/>
                <w:right w:val="none" w:sz="0" w:space="0" w:color="auto"/>
              </w:divBdr>
              <w:divsChild>
                <w:div w:id="1450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16354">
          <w:marLeft w:val="0"/>
          <w:marRight w:val="0"/>
          <w:marTop w:val="0"/>
          <w:marBottom w:val="0"/>
          <w:divBdr>
            <w:top w:val="none" w:sz="0" w:space="0" w:color="auto"/>
            <w:left w:val="none" w:sz="0" w:space="0" w:color="auto"/>
            <w:bottom w:val="none" w:sz="0" w:space="0" w:color="auto"/>
            <w:right w:val="none" w:sz="0" w:space="0" w:color="auto"/>
          </w:divBdr>
          <w:divsChild>
            <w:div w:id="917204013">
              <w:marLeft w:val="0"/>
              <w:marRight w:val="0"/>
              <w:marTop w:val="0"/>
              <w:marBottom w:val="0"/>
              <w:divBdr>
                <w:top w:val="none" w:sz="0" w:space="0" w:color="auto"/>
                <w:left w:val="none" w:sz="0" w:space="0" w:color="auto"/>
                <w:bottom w:val="none" w:sz="0" w:space="0" w:color="auto"/>
                <w:right w:val="none" w:sz="0" w:space="0" w:color="auto"/>
              </w:divBdr>
              <w:divsChild>
                <w:div w:id="3187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5565">
          <w:marLeft w:val="0"/>
          <w:marRight w:val="0"/>
          <w:marTop w:val="0"/>
          <w:marBottom w:val="0"/>
          <w:divBdr>
            <w:top w:val="none" w:sz="0" w:space="0" w:color="auto"/>
            <w:left w:val="none" w:sz="0" w:space="0" w:color="auto"/>
            <w:bottom w:val="none" w:sz="0" w:space="0" w:color="auto"/>
            <w:right w:val="none" w:sz="0" w:space="0" w:color="auto"/>
          </w:divBdr>
          <w:divsChild>
            <w:div w:id="254361611">
              <w:marLeft w:val="0"/>
              <w:marRight w:val="0"/>
              <w:marTop w:val="0"/>
              <w:marBottom w:val="0"/>
              <w:divBdr>
                <w:top w:val="none" w:sz="0" w:space="0" w:color="auto"/>
                <w:left w:val="none" w:sz="0" w:space="0" w:color="auto"/>
                <w:bottom w:val="none" w:sz="0" w:space="0" w:color="auto"/>
                <w:right w:val="none" w:sz="0" w:space="0" w:color="auto"/>
              </w:divBdr>
              <w:divsChild>
                <w:div w:id="605500817">
                  <w:marLeft w:val="0"/>
                  <w:marRight w:val="0"/>
                  <w:marTop w:val="0"/>
                  <w:marBottom w:val="0"/>
                  <w:divBdr>
                    <w:top w:val="none" w:sz="0" w:space="0" w:color="auto"/>
                    <w:left w:val="none" w:sz="0" w:space="0" w:color="auto"/>
                    <w:bottom w:val="none" w:sz="0" w:space="0" w:color="auto"/>
                    <w:right w:val="none" w:sz="0" w:space="0" w:color="auto"/>
                  </w:divBdr>
                </w:div>
              </w:divsChild>
            </w:div>
            <w:div w:id="1137844795">
              <w:marLeft w:val="0"/>
              <w:marRight w:val="0"/>
              <w:marTop w:val="0"/>
              <w:marBottom w:val="0"/>
              <w:divBdr>
                <w:top w:val="none" w:sz="0" w:space="0" w:color="auto"/>
                <w:left w:val="none" w:sz="0" w:space="0" w:color="auto"/>
                <w:bottom w:val="none" w:sz="0" w:space="0" w:color="auto"/>
                <w:right w:val="none" w:sz="0" w:space="0" w:color="auto"/>
              </w:divBdr>
              <w:divsChild>
                <w:div w:id="1150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5451">
          <w:marLeft w:val="0"/>
          <w:marRight w:val="0"/>
          <w:marTop w:val="0"/>
          <w:marBottom w:val="0"/>
          <w:divBdr>
            <w:top w:val="none" w:sz="0" w:space="0" w:color="auto"/>
            <w:left w:val="none" w:sz="0" w:space="0" w:color="auto"/>
            <w:bottom w:val="none" w:sz="0" w:space="0" w:color="auto"/>
            <w:right w:val="none" w:sz="0" w:space="0" w:color="auto"/>
          </w:divBdr>
          <w:divsChild>
            <w:div w:id="279530783">
              <w:marLeft w:val="0"/>
              <w:marRight w:val="0"/>
              <w:marTop w:val="0"/>
              <w:marBottom w:val="0"/>
              <w:divBdr>
                <w:top w:val="none" w:sz="0" w:space="0" w:color="auto"/>
                <w:left w:val="none" w:sz="0" w:space="0" w:color="auto"/>
                <w:bottom w:val="none" w:sz="0" w:space="0" w:color="auto"/>
                <w:right w:val="none" w:sz="0" w:space="0" w:color="auto"/>
              </w:divBdr>
              <w:divsChild>
                <w:div w:id="815147311">
                  <w:marLeft w:val="0"/>
                  <w:marRight w:val="0"/>
                  <w:marTop w:val="0"/>
                  <w:marBottom w:val="0"/>
                  <w:divBdr>
                    <w:top w:val="none" w:sz="0" w:space="0" w:color="auto"/>
                    <w:left w:val="none" w:sz="0" w:space="0" w:color="auto"/>
                    <w:bottom w:val="none" w:sz="0" w:space="0" w:color="auto"/>
                    <w:right w:val="none" w:sz="0" w:space="0" w:color="auto"/>
                  </w:divBdr>
                </w:div>
              </w:divsChild>
            </w:div>
            <w:div w:id="377708585">
              <w:marLeft w:val="0"/>
              <w:marRight w:val="0"/>
              <w:marTop w:val="0"/>
              <w:marBottom w:val="0"/>
              <w:divBdr>
                <w:top w:val="none" w:sz="0" w:space="0" w:color="auto"/>
                <w:left w:val="none" w:sz="0" w:space="0" w:color="auto"/>
                <w:bottom w:val="none" w:sz="0" w:space="0" w:color="auto"/>
                <w:right w:val="none" w:sz="0" w:space="0" w:color="auto"/>
              </w:divBdr>
              <w:divsChild>
                <w:div w:id="8595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67">
          <w:marLeft w:val="0"/>
          <w:marRight w:val="0"/>
          <w:marTop w:val="0"/>
          <w:marBottom w:val="0"/>
          <w:divBdr>
            <w:top w:val="none" w:sz="0" w:space="0" w:color="auto"/>
            <w:left w:val="none" w:sz="0" w:space="0" w:color="auto"/>
            <w:bottom w:val="none" w:sz="0" w:space="0" w:color="auto"/>
            <w:right w:val="none" w:sz="0" w:space="0" w:color="auto"/>
          </w:divBdr>
          <w:divsChild>
            <w:div w:id="711345026">
              <w:marLeft w:val="0"/>
              <w:marRight w:val="0"/>
              <w:marTop w:val="0"/>
              <w:marBottom w:val="0"/>
              <w:divBdr>
                <w:top w:val="none" w:sz="0" w:space="0" w:color="auto"/>
                <w:left w:val="none" w:sz="0" w:space="0" w:color="auto"/>
                <w:bottom w:val="none" w:sz="0" w:space="0" w:color="auto"/>
                <w:right w:val="none" w:sz="0" w:space="0" w:color="auto"/>
              </w:divBdr>
              <w:divsChild>
                <w:div w:id="1615940718">
                  <w:marLeft w:val="0"/>
                  <w:marRight w:val="0"/>
                  <w:marTop w:val="0"/>
                  <w:marBottom w:val="0"/>
                  <w:divBdr>
                    <w:top w:val="none" w:sz="0" w:space="0" w:color="auto"/>
                    <w:left w:val="none" w:sz="0" w:space="0" w:color="auto"/>
                    <w:bottom w:val="none" w:sz="0" w:space="0" w:color="auto"/>
                    <w:right w:val="none" w:sz="0" w:space="0" w:color="auto"/>
                  </w:divBdr>
                </w:div>
              </w:divsChild>
            </w:div>
            <w:div w:id="754715421">
              <w:marLeft w:val="0"/>
              <w:marRight w:val="0"/>
              <w:marTop w:val="0"/>
              <w:marBottom w:val="0"/>
              <w:divBdr>
                <w:top w:val="none" w:sz="0" w:space="0" w:color="auto"/>
                <w:left w:val="none" w:sz="0" w:space="0" w:color="auto"/>
                <w:bottom w:val="none" w:sz="0" w:space="0" w:color="auto"/>
                <w:right w:val="none" w:sz="0" w:space="0" w:color="auto"/>
              </w:divBdr>
              <w:divsChild>
                <w:div w:id="8413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02903">
      <w:bodyDiv w:val="1"/>
      <w:marLeft w:val="0"/>
      <w:marRight w:val="0"/>
      <w:marTop w:val="0"/>
      <w:marBottom w:val="0"/>
      <w:divBdr>
        <w:top w:val="none" w:sz="0" w:space="0" w:color="auto"/>
        <w:left w:val="none" w:sz="0" w:space="0" w:color="auto"/>
        <w:bottom w:val="none" w:sz="0" w:space="0" w:color="auto"/>
        <w:right w:val="none" w:sz="0" w:space="0" w:color="auto"/>
      </w:divBdr>
    </w:div>
    <w:div w:id="1801726310">
      <w:bodyDiv w:val="1"/>
      <w:marLeft w:val="0"/>
      <w:marRight w:val="0"/>
      <w:marTop w:val="0"/>
      <w:marBottom w:val="0"/>
      <w:divBdr>
        <w:top w:val="none" w:sz="0" w:space="0" w:color="auto"/>
        <w:left w:val="none" w:sz="0" w:space="0" w:color="auto"/>
        <w:bottom w:val="none" w:sz="0" w:space="0" w:color="auto"/>
        <w:right w:val="none" w:sz="0" w:space="0" w:color="auto"/>
      </w:divBdr>
    </w:div>
    <w:div w:id="1802651664">
      <w:bodyDiv w:val="1"/>
      <w:marLeft w:val="0"/>
      <w:marRight w:val="0"/>
      <w:marTop w:val="0"/>
      <w:marBottom w:val="0"/>
      <w:divBdr>
        <w:top w:val="none" w:sz="0" w:space="0" w:color="auto"/>
        <w:left w:val="none" w:sz="0" w:space="0" w:color="auto"/>
        <w:bottom w:val="none" w:sz="0" w:space="0" w:color="auto"/>
        <w:right w:val="none" w:sz="0" w:space="0" w:color="auto"/>
      </w:divBdr>
    </w:div>
    <w:div w:id="1808474792">
      <w:bodyDiv w:val="1"/>
      <w:marLeft w:val="0"/>
      <w:marRight w:val="0"/>
      <w:marTop w:val="0"/>
      <w:marBottom w:val="0"/>
      <w:divBdr>
        <w:top w:val="none" w:sz="0" w:space="0" w:color="auto"/>
        <w:left w:val="none" w:sz="0" w:space="0" w:color="auto"/>
        <w:bottom w:val="none" w:sz="0" w:space="0" w:color="auto"/>
        <w:right w:val="none" w:sz="0" w:space="0" w:color="auto"/>
      </w:divBdr>
    </w:div>
    <w:div w:id="1808811984">
      <w:bodyDiv w:val="1"/>
      <w:marLeft w:val="0"/>
      <w:marRight w:val="0"/>
      <w:marTop w:val="0"/>
      <w:marBottom w:val="0"/>
      <w:divBdr>
        <w:top w:val="none" w:sz="0" w:space="0" w:color="auto"/>
        <w:left w:val="none" w:sz="0" w:space="0" w:color="auto"/>
        <w:bottom w:val="none" w:sz="0" w:space="0" w:color="auto"/>
        <w:right w:val="none" w:sz="0" w:space="0" w:color="auto"/>
      </w:divBdr>
    </w:div>
    <w:div w:id="1809280878">
      <w:bodyDiv w:val="1"/>
      <w:marLeft w:val="0"/>
      <w:marRight w:val="0"/>
      <w:marTop w:val="0"/>
      <w:marBottom w:val="0"/>
      <w:divBdr>
        <w:top w:val="none" w:sz="0" w:space="0" w:color="auto"/>
        <w:left w:val="none" w:sz="0" w:space="0" w:color="auto"/>
        <w:bottom w:val="none" w:sz="0" w:space="0" w:color="auto"/>
        <w:right w:val="none" w:sz="0" w:space="0" w:color="auto"/>
      </w:divBdr>
    </w:div>
    <w:div w:id="1812020985">
      <w:bodyDiv w:val="1"/>
      <w:marLeft w:val="0"/>
      <w:marRight w:val="0"/>
      <w:marTop w:val="0"/>
      <w:marBottom w:val="0"/>
      <w:divBdr>
        <w:top w:val="none" w:sz="0" w:space="0" w:color="auto"/>
        <w:left w:val="none" w:sz="0" w:space="0" w:color="auto"/>
        <w:bottom w:val="none" w:sz="0" w:space="0" w:color="auto"/>
        <w:right w:val="none" w:sz="0" w:space="0" w:color="auto"/>
      </w:divBdr>
    </w:div>
    <w:div w:id="1812479692">
      <w:bodyDiv w:val="1"/>
      <w:marLeft w:val="0"/>
      <w:marRight w:val="0"/>
      <w:marTop w:val="0"/>
      <w:marBottom w:val="0"/>
      <w:divBdr>
        <w:top w:val="none" w:sz="0" w:space="0" w:color="auto"/>
        <w:left w:val="none" w:sz="0" w:space="0" w:color="auto"/>
        <w:bottom w:val="none" w:sz="0" w:space="0" w:color="auto"/>
        <w:right w:val="none" w:sz="0" w:space="0" w:color="auto"/>
      </w:divBdr>
    </w:div>
    <w:div w:id="1813013988">
      <w:bodyDiv w:val="1"/>
      <w:marLeft w:val="0"/>
      <w:marRight w:val="0"/>
      <w:marTop w:val="0"/>
      <w:marBottom w:val="0"/>
      <w:divBdr>
        <w:top w:val="none" w:sz="0" w:space="0" w:color="auto"/>
        <w:left w:val="none" w:sz="0" w:space="0" w:color="auto"/>
        <w:bottom w:val="none" w:sz="0" w:space="0" w:color="auto"/>
        <w:right w:val="none" w:sz="0" w:space="0" w:color="auto"/>
      </w:divBdr>
    </w:div>
    <w:div w:id="1814523062">
      <w:bodyDiv w:val="1"/>
      <w:marLeft w:val="0"/>
      <w:marRight w:val="0"/>
      <w:marTop w:val="0"/>
      <w:marBottom w:val="0"/>
      <w:divBdr>
        <w:top w:val="none" w:sz="0" w:space="0" w:color="auto"/>
        <w:left w:val="none" w:sz="0" w:space="0" w:color="auto"/>
        <w:bottom w:val="none" w:sz="0" w:space="0" w:color="auto"/>
        <w:right w:val="none" w:sz="0" w:space="0" w:color="auto"/>
      </w:divBdr>
    </w:div>
    <w:div w:id="1814833427">
      <w:bodyDiv w:val="1"/>
      <w:marLeft w:val="0"/>
      <w:marRight w:val="0"/>
      <w:marTop w:val="0"/>
      <w:marBottom w:val="0"/>
      <w:divBdr>
        <w:top w:val="none" w:sz="0" w:space="0" w:color="auto"/>
        <w:left w:val="none" w:sz="0" w:space="0" w:color="auto"/>
        <w:bottom w:val="none" w:sz="0" w:space="0" w:color="auto"/>
        <w:right w:val="none" w:sz="0" w:space="0" w:color="auto"/>
      </w:divBdr>
    </w:div>
    <w:div w:id="1817260554">
      <w:bodyDiv w:val="1"/>
      <w:marLeft w:val="0"/>
      <w:marRight w:val="0"/>
      <w:marTop w:val="0"/>
      <w:marBottom w:val="0"/>
      <w:divBdr>
        <w:top w:val="none" w:sz="0" w:space="0" w:color="auto"/>
        <w:left w:val="none" w:sz="0" w:space="0" w:color="auto"/>
        <w:bottom w:val="none" w:sz="0" w:space="0" w:color="auto"/>
        <w:right w:val="none" w:sz="0" w:space="0" w:color="auto"/>
      </w:divBdr>
    </w:div>
    <w:div w:id="1825975524">
      <w:bodyDiv w:val="1"/>
      <w:marLeft w:val="0"/>
      <w:marRight w:val="0"/>
      <w:marTop w:val="0"/>
      <w:marBottom w:val="0"/>
      <w:divBdr>
        <w:top w:val="none" w:sz="0" w:space="0" w:color="auto"/>
        <w:left w:val="none" w:sz="0" w:space="0" w:color="auto"/>
        <w:bottom w:val="none" w:sz="0" w:space="0" w:color="auto"/>
        <w:right w:val="none" w:sz="0" w:space="0" w:color="auto"/>
      </w:divBdr>
    </w:div>
    <w:div w:id="1826313274">
      <w:bodyDiv w:val="1"/>
      <w:marLeft w:val="0"/>
      <w:marRight w:val="0"/>
      <w:marTop w:val="0"/>
      <w:marBottom w:val="0"/>
      <w:divBdr>
        <w:top w:val="none" w:sz="0" w:space="0" w:color="auto"/>
        <w:left w:val="none" w:sz="0" w:space="0" w:color="auto"/>
        <w:bottom w:val="none" w:sz="0" w:space="0" w:color="auto"/>
        <w:right w:val="none" w:sz="0" w:space="0" w:color="auto"/>
      </w:divBdr>
    </w:div>
    <w:div w:id="1828326864">
      <w:bodyDiv w:val="1"/>
      <w:marLeft w:val="0"/>
      <w:marRight w:val="0"/>
      <w:marTop w:val="0"/>
      <w:marBottom w:val="0"/>
      <w:divBdr>
        <w:top w:val="none" w:sz="0" w:space="0" w:color="auto"/>
        <w:left w:val="none" w:sz="0" w:space="0" w:color="auto"/>
        <w:bottom w:val="none" w:sz="0" w:space="0" w:color="auto"/>
        <w:right w:val="none" w:sz="0" w:space="0" w:color="auto"/>
      </w:divBdr>
    </w:div>
    <w:div w:id="1831217083">
      <w:bodyDiv w:val="1"/>
      <w:marLeft w:val="0"/>
      <w:marRight w:val="0"/>
      <w:marTop w:val="0"/>
      <w:marBottom w:val="0"/>
      <w:divBdr>
        <w:top w:val="none" w:sz="0" w:space="0" w:color="auto"/>
        <w:left w:val="none" w:sz="0" w:space="0" w:color="auto"/>
        <w:bottom w:val="none" w:sz="0" w:space="0" w:color="auto"/>
        <w:right w:val="none" w:sz="0" w:space="0" w:color="auto"/>
      </w:divBdr>
    </w:div>
    <w:div w:id="1831292915">
      <w:bodyDiv w:val="1"/>
      <w:marLeft w:val="0"/>
      <w:marRight w:val="0"/>
      <w:marTop w:val="0"/>
      <w:marBottom w:val="0"/>
      <w:divBdr>
        <w:top w:val="none" w:sz="0" w:space="0" w:color="auto"/>
        <w:left w:val="none" w:sz="0" w:space="0" w:color="auto"/>
        <w:bottom w:val="none" w:sz="0" w:space="0" w:color="auto"/>
        <w:right w:val="none" w:sz="0" w:space="0" w:color="auto"/>
      </w:divBdr>
    </w:div>
    <w:div w:id="1833178341">
      <w:bodyDiv w:val="1"/>
      <w:marLeft w:val="0"/>
      <w:marRight w:val="0"/>
      <w:marTop w:val="0"/>
      <w:marBottom w:val="0"/>
      <w:divBdr>
        <w:top w:val="none" w:sz="0" w:space="0" w:color="auto"/>
        <w:left w:val="none" w:sz="0" w:space="0" w:color="auto"/>
        <w:bottom w:val="none" w:sz="0" w:space="0" w:color="auto"/>
        <w:right w:val="none" w:sz="0" w:space="0" w:color="auto"/>
      </w:divBdr>
    </w:div>
    <w:div w:id="1835994039">
      <w:bodyDiv w:val="1"/>
      <w:marLeft w:val="0"/>
      <w:marRight w:val="0"/>
      <w:marTop w:val="0"/>
      <w:marBottom w:val="0"/>
      <w:divBdr>
        <w:top w:val="none" w:sz="0" w:space="0" w:color="auto"/>
        <w:left w:val="none" w:sz="0" w:space="0" w:color="auto"/>
        <w:bottom w:val="none" w:sz="0" w:space="0" w:color="auto"/>
        <w:right w:val="none" w:sz="0" w:space="0" w:color="auto"/>
      </w:divBdr>
    </w:div>
    <w:div w:id="1836064784">
      <w:bodyDiv w:val="1"/>
      <w:marLeft w:val="0"/>
      <w:marRight w:val="0"/>
      <w:marTop w:val="0"/>
      <w:marBottom w:val="0"/>
      <w:divBdr>
        <w:top w:val="none" w:sz="0" w:space="0" w:color="auto"/>
        <w:left w:val="none" w:sz="0" w:space="0" w:color="auto"/>
        <w:bottom w:val="none" w:sz="0" w:space="0" w:color="auto"/>
        <w:right w:val="none" w:sz="0" w:space="0" w:color="auto"/>
      </w:divBdr>
    </w:div>
    <w:div w:id="1836804527">
      <w:bodyDiv w:val="1"/>
      <w:marLeft w:val="0"/>
      <w:marRight w:val="0"/>
      <w:marTop w:val="0"/>
      <w:marBottom w:val="0"/>
      <w:divBdr>
        <w:top w:val="none" w:sz="0" w:space="0" w:color="auto"/>
        <w:left w:val="none" w:sz="0" w:space="0" w:color="auto"/>
        <w:bottom w:val="none" w:sz="0" w:space="0" w:color="auto"/>
        <w:right w:val="none" w:sz="0" w:space="0" w:color="auto"/>
      </w:divBdr>
    </w:div>
    <w:div w:id="1837919557">
      <w:bodyDiv w:val="1"/>
      <w:marLeft w:val="0"/>
      <w:marRight w:val="0"/>
      <w:marTop w:val="0"/>
      <w:marBottom w:val="0"/>
      <w:divBdr>
        <w:top w:val="none" w:sz="0" w:space="0" w:color="auto"/>
        <w:left w:val="none" w:sz="0" w:space="0" w:color="auto"/>
        <w:bottom w:val="none" w:sz="0" w:space="0" w:color="auto"/>
        <w:right w:val="none" w:sz="0" w:space="0" w:color="auto"/>
      </w:divBdr>
    </w:div>
    <w:div w:id="1847091925">
      <w:bodyDiv w:val="1"/>
      <w:marLeft w:val="0"/>
      <w:marRight w:val="0"/>
      <w:marTop w:val="0"/>
      <w:marBottom w:val="0"/>
      <w:divBdr>
        <w:top w:val="none" w:sz="0" w:space="0" w:color="auto"/>
        <w:left w:val="none" w:sz="0" w:space="0" w:color="auto"/>
        <w:bottom w:val="none" w:sz="0" w:space="0" w:color="auto"/>
        <w:right w:val="none" w:sz="0" w:space="0" w:color="auto"/>
      </w:divBdr>
    </w:div>
    <w:div w:id="1847935360">
      <w:bodyDiv w:val="1"/>
      <w:marLeft w:val="0"/>
      <w:marRight w:val="0"/>
      <w:marTop w:val="0"/>
      <w:marBottom w:val="0"/>
      <w:divBdr>
        <w:top w:val="none" w:sz="0" w:space="0" w:color="auto"/>
        <w:left w:val="none" w:sz="0" w:space="0" w:color="auto"/>
        <w:bottom w:val="none" w:sz="0" w:space="0" w:color="auto"/>
        <w:right w:val="none" w:sz="0" w:space="0" w:color="auto"/>
      </w:divBdr>
    </w:div>
    <w:div w:id="1848404538">
      <w:bodyDiv w:val="1"/>
      <w:marLeft w:val="0"/>
      <w:marRight w:val="0"/>
      <w:marTop w:val="0"/>
      <w:marBottom w:val="0"/>
      <w:divBdr>
        <w:top w:val="none" w:sz="0" w:space="0" w:color="auto"/>
        <w:left w:val="none" w:sz="0" w:space="0" w:color="auto"/>
        <w:bottom w:val="none" w:sz="0" w:space="0" w:color="auto"/>
        <w:right w:val="none" w:sz="0" w:space="0" w:color="auto"/>
      </w:divBdr>
    </w:div>
    <w:div w:id="1857843680">
      <w:bodyDiv w:val="1"/>
      <w:marLeft w:val="0"/>
      <w:marRight w:val="0"/>
      <w:marTop w:val="0"/>
      <w:marBottom w:val="0"/>
      <w:divBdr>
        <w:top w:val="none" w:sz="0" w:space="0" w:color="auto"/>
        <w:left w:val="none" w:sz="0" w:space="0" w:color="auto"/>
        <w:bottom w:val="none" w:sz="0" w:space="0" w:color="auto"/>
        <w:right w:val="none" w:sz="0" w:space="0" w:color="auto"/>
      </w:divBdr>
      <w:divsChild>
        <w:div w:id="1853059083">
          <w:marLeft w:val="0"/>
          <w:marRight w:val="0"/>
          <w:marTop w:val="0"/>
          <w:marBottom w:val="0"/>
          <w:divBdr>
            <w:top w:val="none" w:sz="0" w:space="0" w:color="auto"/>
            <w:left w:val="none" w:sz="0" w:space="0" w:color="auto"/>
            <w:bottom w:val="none" w:sz="0" w:space="0" w:color="auto"/>
            <w:right w:val="none" w:sz="0" w:space="0" w:color="auto"/>
          </w:divBdr>
          <w:divsChild>
            <w:div w:id="972518421">
              <w:marLeft w:val="0"/>
              <w:marRight w:val="0"/>
              <w:marTop w:val="0"/>
              <w:marBottom w:val="0"/>
              <w:divBdr>
                <w:top w:val="none" w:sz="0" w:space="0" w:color="auto"/>
                <w:left w:val="none" w:sz="0" w:space="0" w:color="auto"/>
                <w:bottom w:val="none" w:sz="0" w:space="0" w:color="auto"/>
                <w:right w:val="none" w:sz="0" w:space="0" w:color="auto"/>
              </w:divBdr>
              <w:divsChild>
                <w:div w:id="308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0108">
      <w:bodyDiv w:val="1"/>
      <w:marLeft w:val="0"/>
      <w:marRight w:val="0"/>
      <w:marTop w:val="0"/>
      <w:marBottom w:val="0"/>
      <w:divBdr>
        <w:top w:val="none" w:sz="0" w:space="0" w:color="auto"/>
        <w:left w:val="none" w:sz="0" w:space="0" w:color="auto"/>
        <w:bottom w:val="none" w:sz="0" w:space="0" w:color="auto"/>
        <w:right w:val="none" w:sz="0" w:space="0" w:color="auto"/>
      </w:divBdr>
    </w:div>
    <w:div w:id="1862468319">
      <w:bodyDiv w:val="1"/>
      <w:marLeft w:val="0"/>
      <w:marRight w:val="0"/>
      <w:marTop w:val="0"/>
      <w:marBottom w:val="0"/>
      <w:divBdr>
        <w:top w:val="none" w:sz="0" w:space="0" w:color="auto"/>
        <w:left w:val="none" w:sz="0" w:space="0" w:color="auto"/>
        <w:bottom w:val="none" w:sz="0" w:space="0" w:color="auto"/>
        <w:right w:val="none" w:sz="0" w:space="0" w:color="auto"/>
      </w:divBdr>
      <w:divsChild>
        <w:div w:id="1572616556">
          <w:marLeft w:val="0"/>
          <w:marRight w:val="0"/>
          <w:marTop w:val="0"/>
          <w:marBottom w:val="0"/>
          <w:divBdr>
            <w:top w:val="none" w:sz="0" w:space="0" w:color="auto"/>
            <w:left w:val="none" w:sz="0" w:space="0" w:color="auto"/>
            <w:bottom w:val="none" w:sz="0" w:space="0" w:color="auto"/>
            <w:right w:val="none" w:sz="0" w:space="0" w:color="auto"/>
          </w:divBdr>
        </w:div>
      </w:divsChild>
    </w:div>
    <w:div w:id="1863208628">
      <w:bodyDiv w:val="1"/>
      <w:marLeft w:val="0"/>
      <w:marRight w:val="0"/>
      <w:marTop w:val="0"/>
      <w:marBottom w:val="0"/>
      <w:divBdr>
        <w:top w:val="none" w:sz="0" w:space="0" w:color="auto"/>
        <w:left w:val="none" w:sz="0" w:space="0" w:color="auto"/>
        <w:bottom w:val="none" w:sz="0" w:space="0" w:color="auto"/>
        <w:right w:val="none" w:sz="0" w:space="0" w:color="auto"/>
      </w:divBdr>
    </w:div>
    <w:div w:id="1865361963">
      <w:bodyDiv w:val="1"/>
      <w:marLeft w:val="0"/>
      <w:marRight w:val="0"/>
      <w:marTop w:val="0"/>
      <w:marBottom w:val="0"/>
      <w:divBdr>
        <w:top w:val="none" w:sz="0" w:space="0" w:color="auto"/>
        <w:left w:val="none" w:sz="0" w:space="0" w:color="auto"/>
        <w:bottom w:val="none" w:sz="0" w:space="0" w:color="auto"/>
        <w:right w:val="none" w:sz="0" w:space="0" w:color="auto"/>
      </w:divBdr>
    </w:div>
    <w:div w:id="1865554302">
      <w:bodyDiv w:val="1"/>
      <w:marLeft w:val="0"/>
      <w:marRight w:val="0"/>
      <w:marTop w:val="0"/>
      <w:marBottom w:val="0"/>
      <w:divBdr>
        <w:top w:val="none" w:sz="0" w:space="0" w:color="auto"/>
        <w:left w:val="none" w:sz="0" w:space="0" w:color="auto"/>
        <w:bottom w:val="none" w:sz="0" w:space="0" w:color="auto"/>
        <w:right w:val="none" w:sz="0" w:space="0" w:color="auto"/>
      </w:divBdr>
    </w:div>
    <w:div w:id="1866166043">
      <w:bodyDiv w:val="1"/>
      <w:marLeft w:val="0"/>
      <w:marRight w:val="0"/>
      <w:marTop w:val="0"/>
      <w:marBottom w:val="0"/>
      <w:divBdr>
        <w:top w:val="none" w:sz="0" w:space="0" w:color="auto"/>
        <w:left w:val="none" w:sz="0" w:space="0" w:color="auto"/>
        <w:bottom w:val="none" w:sz="0" w:space="0" w:color="auto"/>
        <w:right w:val="none" w:sz="0" w:space="0" w:color="auto"/>
      </w:divBdr>
    </w:div>
    <w:div w:id="1866939609">
      <w:bodyDiv w:val="1"/>
      <w:marLeft w:val="0"/>
      <w:marRight w:val="0"/>
      <w:marTop w:val="0"/>
      <w:marBottom w:val="0"/>
      <w:divBdr>
        <w:top w:val="none" w:sz="0" w:space="0" w:color="auto"/>
        <w:left w:val="none" w:sz="0" w:space="0" w:color="auto"/>
        <w:bottom w:val="none" w:sz="0" w:space="0" w:color="auto"/>
        <w:right w:val="none" w:sz="0" w:space="0" w:color="auto"/>
      </w:divBdr>
    </w:div>
    <w:div w:id="1867057399">
      <w:bodyDiv w:val="1"/>
      <w:marLeft w:val="0"/>
      <w:marRight w:val="0"/>
      <w:marTop w:val="0"/>
      <w:marBottom w:val="0"/>
      <w:divBdr>
        <w:top w:val="none" w:sz="0" w:space="0" w:color="auto"/>
        <w:left w:val="none" w:sz="0" w:space="0" w:color="auto"/>
        <w:bottom w:val="none" w:sz="0" w:space="0" w:color="auto"/>
        <w:right w:val="none" w:sz="0" w:space="0" w:color="auto"/>
      </w:divBdr>
    </w:div>
    <w:div w:id="1869952949">
      <w:bodyDiv w:val="1"/>
      <w:marLeft w:val="0"/>
      <w:marRight w:val="0"/>
      <w:marTop w:val="0"/>
      <w:marBottom w:val="0"/>
      <w:divBdr>
        <w:top w:val="none" w:sz="0" w:space="0" w:color="auto"/>
        <w:left w:val="none" w:sz="0" w:space="0" w:color="auto"/>
        <w:bottom w:val="none" w:sz="0" w:space="0" w:color="auto"/>
        <w:right w:val="none" w:sz="0" w:space="0" w:color="auto"/>
      </w:divBdr>
    </w:div>
    <w:div w:id="1870871321">
      <w:bodyDiv w:val="1"/>
      <w:marLeft w:val="0"/>
      <w:marRight w:val="0"/>
      <w:marTop w:val="0"/>
      <w:marBottom w:val="0"/>
      <w:divBdr>
        <w:top w:val="none" w:sz="0" w:space="0" w:color="auto"/>
        <w:left w:val="none" w:sz="0" w:space="0" w:color="auto"/>
        <w:bottom w:val="none" w:sz="0" w:space="0" w:color="auto"/>
        <w:right w:val="none" w:sz="0" w:space="0" w:color="auto"/>
      </w:divBdr>
    </w:div>
    <w:div w:id="1870953412">
      <w:bodyDiv w:val="1"/>
      <w:marLeft w:val="0"/>
      <w:marRight w:val="0"/>
      <w:marTop w:val="0"/>
      <w:marBottom w:val="0"/>
      <w:divBdr>
        <w:top w:val="none" w:sz="0" w:space="0" w:color="auto"/>
        <w:left w:val="none" w:sz="0" w:space="0" w:color="auto"/>
        <w:bottom w:val="none" w:sz="0" w:space="0" w:color="auto"/>
        <w:right w:val="none" w:sz="0" w:space="0" w:color="auto"/>
      </w:divBdr>
    </w:div>
    <w:div w:id="1870989076">
      <w:bodyDiv w:val="1"/>
      <w:marLeft w:val="0"/>
      <w:marRight w:val="0"/>
      <w:marTop w:val="0"/>
      <w:marBottom w:val="0"/>
      <w:divBdr>
        <w:top w:val="none" w:sz="0" w:space="0" w:color="auto"/>
        <w:left w:val="none" w:sz="0" w:space="0" w:color="auto"/>
        <w:bottom w:val="none" w:sz="0" w:space="0" w:color="auto"/>
        <w:right w:val="none" w:sz="0" w:space="0" w:color="auto"/>
      </w:divBdr>
    </w:div>
    <w:div w:id="1874883140">
      <w:bodyDiv w:val="1"/>
      <w:marLeft w:val="0"/>
      <w:marRight w:val="0"/>
      <w:marTop w:val="0"/>
      <w:marBottom w:val="0"/>
      <w:divBdr>
        <w:top w:val="none" w:sz="0" w:space="0" w:color="auto"/>
        <w:left w:val="none" w:sz="0" w:space="0" w:color="auto"/>
        <w:bottom w:val="none" w:sz="0" w:space="0" w:color="auto"/>
        <w:right w:val="none" w:sz="0" w:space="0" w:color="auto"/>
      </w:divBdr>
    </w:div>
    <w:div w:id="1875455667">
      <w:bodyDiv w:val="1"/>
      <w:marLeft w:val="0"/>
      <w:marRight w:val="0"/>
      <w:marTop w:val="0"/>
      <w:marBottom w:val="0"/>
      <w:divBdr>
        <w:top w:val="none" w:sz="0" w:space="0" w:color="auto"/>
        <w:left w:val="none" w:sz="0" w:space="0" w:color="auto"/>
        <w:bottom w:val="none" w:sz="0" w:space="0" w:color="auto"/>
        <w:right w:val="none" w:sz="0" w:space="0" w:color="auto"/>
      </w:divBdr>
    </w:div>
    <w:div w:id="1876458179">
      <w:bodyDiv w:val="1"/>
      <w:marLeft w:val="0"/>
      <w:marRight w:val="0"/>
      <w:marTop w:val="0"/>
      <w:marBottom w:val="0"/>
      <w:divBdr>
        <w:top w:val="none" w:sz="0" w:space="0" w:color="auto"/>
        <w:left w:val="none" w:sz="0" w:space="0" w:color="auto"/>
        <w:bottom w:val="none" w:sz="0" w:space="0" w:color="auto"/>
        <w:right w:val="none" w:sz="0" w:space="0" w:color="auto"/>
      </w:divBdr>
      <w:divsChild>
        <w:div w:id="429929505">
          <w:marLeft w:val="0"/>
          <w:marRight w:val="0"/>
          <w:marTop w:val="0"/>
          <w:marBottom w:val="0"/>
          <w:divBdr>
            <w:top w:val="none" w:sz="0" w:space="0" w:color="auto"/>
            <w:left w:val="none" w:sz="0" w:space="0" w:color="auto"/>
            <w:bottom w:val="none" w:sz="0" w:space="0" w:color="auto"/>
            <w:right w:val="none" w:sz="0" w:space="0" w:color="auto"/>
          </w:divBdr>
          <w:divsChild>
            <w:div w:id="1576625687">
              <w:marLeft w:val="0"/>
              <w:marRight w:val="0"/>
              <w:marTop w:val="0"/>
              <w:marBottom w:val="0"/>
              <w:divBdr>
                <w:top w:val="none" w:sz="0" w:space="0" w:color="auto"/>
                <w:left w:val="none" w:sz="0" w:space="0" w:color="auto"/>
                <w:bottom w:val="none" w:sz="0" w:space="0" w:color="auto"/>
                <w:right w:val="none" w:sz="0" w:space="0" w:color="auto"/>
              </w:divBdr>
              <w:divsChild>
                <w:div w:id="2189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31164">
      <w:bodyDiv w:val="1"/>
      <w:marLeft w:val="0"/>
      <w:marRight w:val="0"/>
      <w:marTop w:val="0"/>
      <w:marBottom w:val="0"/>
      <w:divBdr>
        <w:top w:val="none" w:sz="0" w:space="0" w:color="auto"/>
        <w:left w:val="none" w:sz="0" w:space="0" w:color="auto"/>
        <w:bottom w:val="none" w:sz="0" w:space="0" w:color="auto"/>
        <w:right w:val="none" w:sz="0" w:space="0" w:color="auto"/>
      </w:divBdr>
    </w:div>
    <w:div w:id="1878735629">
      <w:bodyDiv w:val="1"/>
      <w:marLeft w:val="0"/>
      <w:marRight w:val="0"/>
      <w:marTop w:val="0"/>
      <w:marBottom w:val="0"/>
      <w:divBdr>
        <w:top w:val="none" w:sz="0" w:space="0" w:color="auto"/>
        <w:left w:val="none" w:sz="0" w:space="0" w:color="auto"/>
        <w:bottom w:val="none" w:sz="0" w:space="0" w:color="auto"/>
        <w:right w:val="none" w:sz="0" w:space="0" w:color="auto"/>
      </w:divBdr>
    </w:div>
    <w:div w:id="1882984105">
      <w:bodyDiv w:val="1"/>
      <w:marLeft w:val="0"/>
      <w:marRight w:val="0"/>
      <w:marTop w:val="0"/>
      <w:marBottom w:val="0"/>
      <w:divBdr>
        <w:top w:val="none" w:sz="0" w:space="0" w:color="auto"/>
        <w:left w:val="none" w:sz="0" w:space="0" w:color="auto"/>
        <w:bottom w:val="none" w:sz="0" w:space="0" w:color="auto"/>
        <w:right w:val="none" w:sz="0" w:space="0" w:color="auto"/>
      </w:divBdr>
    </w:div>
    <w:div w:id="1888372046">
      <w:bodyDiv w:val="1"/>
      <w:marLeft w:val="0"/>
      <w:marRight w:val="0"/>
      <w:marTop w:val="0"/>
      <w:marBottom w:val="0"/>
      <w:divBdr>
        <w:top w:val="none" w:sz="0" w:space="0" w:color="auto"/>
        <w:left w:val="none" w:sz="0" w:space="0" w:color="auto"/>
        <w:bottom w:val="none" w:sz="0" w:space="0" w:color="auto"/>
        <w:right w:val="none" w:sz="0" w:space="0" w:color="auto"/>
      </w:divBdr>
    </w:div>
    <w:div w:id="1890872515">
      <w:bodyDiv w:val="1"/>
      <w:marLeft w:val="0"/>
      <w:marRight w:val="0"/>
      <w:marTop w:val="0"/>
      <w:marBottom w:val="0"/>
      <w:divBdr>
        <w:top w:val="none" w:sz="0" w:space="0" w:color="auto"/>
        <w:left w:val="none" w:sz="0" w:space="0" w:color="auto"/>
        <w:bottom w:val="none" w:sz="0" w:space="0" w:color="auto"/>
        <w:right w:val="none" w:sz="0" w:space="0" w:color="auto"/>
      </w:divBdr>
    </w:div>
    <w:div w:id="1891500071">
      <w:bodyDiv w:val="1"/>
      <w:marLeft w:val="0"/>
      <w:marRight w:val="0"/>
      <w:marTop w:val="0"/>
      <w:marBottom w:val="0"/>
      <w:divBdr>
        <w:top w:val="none" w:sz="0" w:space="0" w:color="auto"/>
        <w:left w:val="none" w:sz="0" w:space="0" w:color="auto"/>
        <w:bottom w:val="none" w:sz="0" w:space="0" w:color="auto"/>
        <w:right w:val="none" w:sz="0" w:space="0" w:color="auto"/>
      </w:divBdr>
      <w:divsChild>
        <w:div w:id="963659937">
          <w:marLeft w:val="0"/>
          <w:marRight w:val="0"/>
          <w:marTop w:val="0"/>
          <w:marBottom w:val="0"/>
          <w:divBdr>
            <w:top w:val="none" w:sz="0" w:space="0" w:color="auto"/>
            <w:left w:val="none" w:sz="0" w:space="0" w:color="auto"/>
            <w:bottom w:val="none" w:sz="0" w:space="0" w:color="auto"/>
            <w:right w:val="none" w:sz="0" w:space="0" w:color="auto"/>
          </w:divBdr>
          <w:divsChild>
            <w:div w:id="686177896">
              <w:marLeft w:val="0"/>
              <w:marRight w:val="0"/>
              <w:marTop w:val="0"/>
              <w:marBottom w:val="0"/>
              <w:divBdr>
                <w:top w:val="none" w:sz="0" w:space="0" w:color="auto"/>
                <w:left w:val="none" w:sz="0" w:space="0" w:color="auto"/>
                <w:bottom w:val="none" w:sz="0" w:space="0" w:color="auto"/>
                <w:right w:val="none" w:sz="0" w:space="0" w:color="auto"/>
              </w:divBdr>
              <w:divsChild>
                <w:div w:id="21070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1317">
      <w:bodyDiv w:val="1"/>
      <w:marLeft w:val="0"/>
      <w:marRight w:val="0"/>
      <w:marTop w:val="0"/>
      <w:marBottom w:val="0"/>
      <w:divBdr>
        <w:top w:val="none" w:sz="0" w:space="0" w:color="auto"/>
        <w:left w:val="none" w:sz="0" w:space="0" w:color="auto"/>
        <w:bottom w:val="none" w:sz="0" w:space="0" w:color="auto"/>
        <w:right w:val="none" w:sz="0" w:space="0" w:color="auto"/>
      </w:divBdr>
    </w:div>
    <w:div w:id="1902642727">
      <w:bodyDiv w:val="1"/>
      <w:marLeft w:val="0"/>
      <w:marRight w:val="0"/>
      <w:marTop w:val="0"/>
      <w:marBottom w:val="0"/>
      <w:divBdr>
        <w:top w:val="none" w:sz="0" w:space="0" w:color="auto"/>
        <w:left w:val="none" w:sz="0" w:space="0" w:color="auto"/>
        <w:bottom w:val="none" w:sz="0" w:space="0" w:color="auto"/>
        <w:right w:val="none" w:sz="0" w:space="0" w:color="auto"/>
      </w:divBdr>
    </w:div>
    <w:div w:id="1902984170">
      <w:bodyDiv w:val="1"/>
      <w:marLeft w:val="0"/>
      <w:marRight w:val="0"/>
      <w:marTop w:val="0"/>
      <w:marBottom w:val="0"/>
      <w:divBdr>
        <w:top w:val="none" w:sz="0" w:space="0" w:color="auto"/>
        <w:left w:val="none" w:sz="0" w:space="0" w:color="auto"/>
        <w:bottom w:val="none" w:sz="0" w:space="0" w:color="auto"/>
        <w:right w:val="none" w:sz="0" w:space="0" w:color="auto"/>
      </w:divBdr>
    </w:div>
    <w:div w:id="1903561961">
      <w:bodyDiv w:val="1"/>
      <w:marLeft w:val="0"/>
      <w:marRight w:val="0"/>
      <w:marTop w:val="0"/>
      <w:marBottom w:val="0"/>
      <w:divBdr>
        <w:top w:val="none" w:sz="0" w:space="0" w:color="auto"/>
        <w:left w:val="none" w:sz="0" w:space="0" w:color="auto"/>
        <w:bottom w:val="none" w:sz="0" w:space="0" w:color="auto"/>
        <w:right w:val="none" w:sz="0" w:space="0" w:color="auto"/>
      </w:divBdr>
    </w:div>
    <w:div w:id="1904367350">
      <w:bodyDiv w:val="1"/>
      <w:marLeft w:val="0"/>
      <w:marRight w:val="0"/>
      <w:marTop w:val="0"/>
      <w:marBottom w:val="0"/>
      <w:divBdr>
        <w:top w:val="none" w:sz="0" w:space="0" w:color="auto"/>
        <w:left w:val="none" w:sz="0" w:space="0" w:color="auto"/>
        <w:bottom w:val="none" w:sz="0" w:space="0" w:color="auto"/>
        <w:right w:val="none" w:sz="0" w:space="0" w:color="auto"/>
      </w:divBdr>
    </w:div>
    <w:div w:id="1908832680">
      <w:bodyDiv w:val="1"/>
      <w:marLeft w:val="0"/>
      <w:marRight w:val="0"/>
      <w:marTop w:val="0"/>
      <w:marBottom w:val="0"/>
      <w:divBdr>
        <w:top w:val="none" w:sz="0" w:space="0" w:color="auto"/>
        <w:left w:val="none" w:sz="0" w:space="0" w:color="auto"/>
        <w:bottom w:val="none" w:sz="0" w:space="0" w:color="auto"/>
        <w:right w:val="none" w:sz="0" w:space="0" w:color="auto"/>
      </w:divBdr>
    </w:div>
    <w:div w:id="1911234524">
      <w:bodyDiv w:val="1"/>
      <w:marLeft w:val="0"/>
      <w:marRight w:val="0"/>
      <w:marTop w:val="0"/>
      <w:marBottom w:val="0"/>
      <w:divBdr>
        <w:top w:val="none" w:sz="0" w:space="0" w:color="auto"/>
        <w:left w:val="none" w:sz="0" w:space="0" w:color="auto"/>
        <w:bottom w:val="none" w:sz="0" w:space="0" w:color="auto"/>
        <w:right w:val="none" w:sz="0" w:space="0" w:color="auto"/>
      </w:divBdr>
    </w:div>
    <w:div w:id="1911309339">
      <w:bodyDiv w:val="1"/>
      <w:marLeft w:val="0"/>
      <w:marRight w:val="0"/>
      <w:marTop w:val="0"/>
      <w:marBottom w:val="0"/>
      <w:divBdr>
        <w:top w:val="none" w:sz="0" w:space="0" w:color="auto"/>
        <w:left w:val="none" w:sz="0" w:space="0" w:color="auto"/>
        <w:bottom w:val="none" w:sz="0" w:space="0" w:color="auto"/>
        <w:right w:val="none" w:sz="0" w:space="0" w:color="auto"/>
      </w:divBdr>
    </w:div>
    <w:div w:id="1912083795">
      <w:bodyDiv w:val="1"/>
      <w:marLeft w:val="0"/>
      <w:marRight w:val="0"/>
      <w:marTop w:val="0"/>
      <w:marBottom w:val="0"/>
      <w:divBdr>
        <w:top w:val="none" w:sz="0" w:space="0" w:color="auto"/>
        <w:left w:val="none" w:sz="0" w:space="0" w:color="auto"/>
        <w:bottom w:val="none" w:sz="0" w:space="0" w:color="auto"/>
        <w:right w:val="none" w:sz="0" w:space="0" w:color="auto"/>
      </w:divBdr>
    </w:div>
    <w:div w:id="1912739524">
      <w:bodyDiv w:val="1"/>
      <w:marLeft w:val="0"/>
      <w:marRight w:val="0"/>
      <w:marTop w:val="0"/>
      <w:marBottom w:val="0"/>
      <w:divBdr>
        <w:top w:val="none" w:sz="0" w:space="0" w:color="auto"/>
        <w:left w:val="none" w:sz="0" w:space="0" w:color="auto"/>
        <w:bottom w:val="none" w:sz="0" w:space="0" w:color="auto"/>
        <w:right w:val="none" w:sz="0" w:space="0" w:color="auto"/>
      </w:divBdr>
    </w:div>
    <w:div w:id="1913659754">
      <w:bodyDiv w:val="1"/>
      <w:marLeft w:val="0"/>
      <w:marRight w:val="0"/>
      <w:marTop w:val="0"/>
      <w:marBottom w:val="0"/>
      <w:divBdr>
        <w:top w:val="none" w:sz="0" w:space="0" w:color="auto"/>
        <w:left w:val="none" w:sz="0" w:space="0" w:color="auto"/>
        <w:bottom w:val="none" w:sz="0" w:space="0" w:color="auto"/>
        <w:right w:val="none" w:sz="0" w:space="0" w:color="auto"/>
      </w:divBdr>
    </w:div>
    <w:div w:id="1914196659">
      <w:bodyDiv w:val="1"/>
      <w:marLeft w:val="0"/>
      <w:marRight w:val="0"/>
      <w:marTop w:val="0"/>
      <w:marBottom w:val="0"/>
      <w:divBdr>
        <w:top w:val="none" w:sz="0" w:space="0" w:color="auto"/>
        <w:left w:val="none" w:sz="0" w:space="0" w:color="auto"/>
        <w:bottom w:val="none" w:sz="0" w:space="0" w:color="auto"/>
        <w:right w:val="none" w:sz="0" w:space="0" w:color="auto"/>
      </w:divBdr>
    </w:div>
    <w:div w:id="1921255271">
      <w:bodyDiv w:val="1"/>
      <w:marLeft w:val="0"/>
      <w:marRight w:val="0"/>
      <w:marTop w:val="0"/>
      <w:marBottom w:val="0"/>
      <w:divBdr>
        <w:top w:val="none" w:sz="0" w:space="0" w:color="auto"/>
        <w:left w:val="none" w:sz="0" w:space="0" w:color="auto"/>
        <w:bottom w:val="none" w:sz="0" w:space="0" w:color="auto"/>
        <w:right w:val="none" w:sz="0" w:space="0" w:color="auto"/>
      </w:divBdr>
    </w:div>
    <w:div w:id="1922837911">
      <w:bodyDiv w:val="1"/>
      <w:marLeft w:val="0"/>
      <w:marRight w:val="0"/>
      <w:marTop w:val="0"/>
      <w:marBottom w:val="0"/>
      <w:divBdr>
        <w:top w:val="none" w:sz="0" w:space="0" w:color="auto"/>
        <w:left w:val="none" w:sz="0" w:space="0" w:color="auto"/>
        <w:bottom w:val="none" w:sz="0" w:space="0" w:color="auto"/>
        <w:right w:val="none" w:sz="0" w:space="0" w:color="auto"/>
      </w:divBdr>
    </w:div>
    <w:div w:id="1926450947">
      <w:bodyDiv w:val="1"/>
      <w:marLeft w:val="0"/>
      <w:marRight w:val="0"/>
      <w:marTop w:val="0"/>
      <w:marBottom w:val="0"/>
      <w:divBdr>
        <w:top w:val="none" w:sz="0" w:space="0" w:color="auto"/>
        <w:left w:val="none" w:sz="0" w:space="0" w:color="auto"/>
        <w:bottom w:val="none" w:sz="0" w:space="0" w:color="auto"/>
        <w:right w:val="none" w:sz="0" w:space="0" w:color="auto"/>
      </w:divBdr>
    </w:div>
    <w:div w:id="1928731760">
      <w:bodyDiv w:val="1"/>
      <w:marLeft w:val="0"/>
      <w:marRight w:val="0"/>
      <w:marTop w:val="0"/>
      <w:marBottom w:val="0"/>
      <w:divBdr>
        <w:top w:val="none" w:sz="0" w:space="0" w:color="auto"/>
        <w:left w:val="none" w:sz="0" w:space="0" w:color="auto"/>
        <w:bottom w:val="none" w:sz="0" w:space="0" w:color="auto"/>
        <w:right w:val="none" w:sz="0" w:space="0" w:color="auto"/>
      </w:divBdr>
    </w:div>
    <w:div w:id="1929464240">
      <w:bodyDiv w:val="1"/>
      <w:marLeft w:val="0"/>
      <w:marRight w:val="0"/>
      <w:marTop w:val="0"/>
      <w:marBottom w:val="0"/>
      <w:divBdr>
        <w:top w:val="none" w:sz="0" w:space="0" w:color="auto"/>
        <w:left w:val="none" w:sz="0" w:space="0" w:color="auto"/>
        <w:bottom w:val="none" w:sz="0" w:space="0" w:color="auto"/>
        <w:right w:val="none" w:sz="0" w:space="0" w:color="auto"/>
      </w:divBdr>
    </w:div>
    <w:div w:id="1939562554">
      <w:bodyDiv w:val="1"/>
      <w:marLeft w:val="0"/>
      <w:marRight w:val="0"/>
      <w:marTop w:val="0"/>
      <w:marBottom w:val="0"/>
      <w:divBdr>
        <w:top w:val="none" w:sz="0" w:space="0" w:color="auto"/>
        <w:left w:val="none" w:sz="0" w:space="0" w:color="auto"/>
        <w:bottom w:val="none" w:sz="0" w:space="0" w:color="auto"/>
        <w:right w:val="none" w:sz="0" w:space="0" w:color="auto"/>
      </w:divBdr>
    </w:div>
    <w:div w:id="1944459812">
      <w:bodyDiv w:val="1"/>
      <w:marLeft w:val="0"/>
      <w:marRight w:val="0"/>
      <w:marTop w:val="0"/>
      <w:marBottom w:val="0"/>
      <w:divBdr>
        <w:top w:val="none" w:sz="0" w:space="0" w:color="auto"/>
        <w:left w:val="none" w:sz="0" w:space="0" w:color="auto"/>
        <w:bottom w:val="none" w:sz="0" w:space="0" w:color="auto"/>
        <w:right w:val="none" w:sz="0" w:space="0" w:color="auto"/>
      </w:divBdr>
    </w:div>
    <w:div w:id="1958025224">
      <w:bodyDiv w:val="1"/>
      <w:marLeft w:val="0"/>
      <w:marRight w:val="0"/>
      <w:marTop w:val="0"/>
      <w:marBottom w:val="0"/>
      <w:divBdr>
        <w:top w:val="none" w:sz="0" w:space="0" w:color="auto"/>
        <w:left w:val="none" w:sz="0" w:space="0" w:color="auto"/>
        <w:bottom w:val="none" w:sz="0" w:space="0" w:color="auto"/>
        <w:right w:val="none" w:sz="0" w:space="0" w:color="auto"/>
      </w:divBdr>
    </w:div>
    <w:div w:id="1959486425">
      <w:bodyDiv w:val="1"/>
      <w:marLeft w:val="0"/>
      <w:marRight w:val="0"/>
      <w:marTop w:val="0"/>
      <w:marBottom w:val="0"/>
      <w:divBdr>
        <w:top w:val="none" w:sz="0" w:space="0" w:color="auto"/>
        <w:left w:val="none" w:sz="0" w:space="0" w:color="auto"/>
        <w:bottom w:val="none" w:sz="0" w:space="0" w:color="auto"/>
        <w:right w:val="none" w:sz="0" w:space="0" w:color="auto"/>
      </w:divBdr>
    </w:div>
    <w:div w:id="1963029294">
      <w:bodyDiv w:val="1"/>
      <w:marLeft w:val="0"/>
      <w:marRight w:val="0"/>
      <w:marTop w:val="0"/>
      <w:marBottom w:val="0"/>
      <w:divBdr>
        <w:top w:val="none" w:sz="0" w:space="0" w:color="auto"/>
        <w:left w:val="none" w:sz="0" w:space="0" w:color="auto"/>
        <w:bottom w:val="none" w:sz="0" w:space="0" w:color="auto"/>
        <w:right w:val="none" w:sz="0" w:space="0" w:color="auto"/>
      </w:divBdr>
    </w:div>
    <w:div w:id="1963343722">
      <w:bodyDiv w:val="1"/>
      <w:marLeft w:val="0"/>
      <w:marRight w:val="0"/>
      <w:marTop w:val="0"/>
      <w:marBottom w:val="0"/>
      <w:divBdr>
        <w:top w:val="none" w:sz="0" w:space="0" w:color="auto"/>
        <w:left w:val="none" w:sz="0" w:space="0" w:color="auto"/>
        <w:bottom w:val="none" w:sz="0" w:space="0" w:color="auto"/>
        <w:right w:val="none" w:sz="0" w:space="0" w:color="auto"/>
      </w:divBdr>
      <w:divsChild>
        <w:div w:id="1109859870">
          <w:marLeft w:val="0"/>
          <w:marRight w:val="0"/>
          <w:marTop w:val="0"/>
          <w:marBottom w:val="0"/>
          <w:divBdr>
            <w:top w:val="none" w:sz="0" w:space="0" w:color="auto"/>
            <w:left w:val="none" w:sz="0" w:space="0" w:color="auto"/>
            <w:bottom w:val="none" w:sz="0" w:space="0" w:color="auto"/>
            <w:right w:val="none" w:sz="0" w:space="0" w:color="auto"/>
          </w:divBdr>
          <w:divsChild>
            <w:div w:id="463698891">
              <w:marLeft w:val="0"/>
              <w:marRight w:val="0"/>
              <w:marTop w:val="0"/>
              <w:marBottom w:val="0"/>
              <w:divBdr>
                <w:top w:val="none" w:sz="0" w:space="0" w:color="auto"/>
                <w:left w:val="none" w:sz="0" w:space="0" w:color="auto"/>
                <w:bottom w:val="none" w:sz="0" w:space="0" w:color="auto"/>
                <w:right w:val="none" w:sz="0" w:space="0" w:color="auto"/>
              </w:divBdr>
              <w:divsChild>
                <w:div w:id="9542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2551">
      <w:bodyDiv w:val="1"/>
      <w:marLeft w:val="0"/>
      <w:marRight w:val="0"/>
      <w:marTop w:val="0"/>
      <w:marBottom w:val="0"/>
      <w:divBdr>
        <w:top w:val="none" w:sz="0" w:space="0" w:color="auto"/>
        <w:left w:val="none" w:sz="0" w:space="0" w:color="auto"/>
        <w:bottom w:val="none" w:sz="0" w:space="0" w:color="auto"/>
        <w:right w:val="none" w:sz="0" w:space="0" w:color="auto"/>
      </w:divBdr>
    </w:div>
    <w:div w:id="1966963109">
      <w:bodyDiv w:val="1"/>
      <w:marLeft w:val="0"/>
      <w:marRight w:val="0"/>
      <w:marTop w:val="0"/>
      <w:marBottom w:val="0"/>
      <w:divBdr>
        <w:top w:val="none" w:sz="0" w:space="0" w:color="auto"/>
        <w:left w:val="none" w:sz="0" w:space="0" w:color="auto"/>
        <w:bottom w:val="none" w:sz="0" w:space="0" w:color="auto"/>
        <w:right w:val="none" w:sz="0" w:space="0" w:color="auto"/>
      </w:divBdr>
    </w:div>
    <w:div w:id="1966964630">
      <w:bodyDiv w:val="1"/>
      <w:marLeft w:val="0"/>
      <w:marRight w:val="0"/>
      <w:marTop w:val="0"/>
      <w:marBottom w:val="0"/>
      <w:divBdr>
        <w:top w:val="none" w:sz="0" w:space="0" w:color="auto"/>
        <w:left w:val="none" w:sz="0" w:space="0" w:color="auto"/>
        <w:bottom w:val="none" w:sz="0" w:space="0" w:color="auto"/>
        <w:right w:val="none" w:sz="0" w:space="0" w:color="auto"/>
      </w:divBdr>
    </w:div>
    <w:div w:id="1967806139">
      <w:bodyDiv w:val="1"/>
      <w:marLeft w:val="0"/>
      <w:marRight w:val="0"/>
      <w:marTop w:val="0"/>
      <w:marBottom w:val="0"/>
      <w:divBdr>
        <w:top w:val="none" w:sz="0" w:space="0" w:color="auto"/>
        <w:left w:val="none" w:sz="0" w:space="0" w:color="auto"/>
        <w:bottom w:val="none" w:sz="0" w:space="0" w:color="auto"/>
        <w:right w:val="none" w:sz="0" w:space="0" w:color="auto"/>
      </w:divBdr>
    </w:div>
    <w:div w:id="1969581761">
      <w:bodyDiv w:val="1"/>
      <w:marLeft w:val="0"/>
      <w:marRight w:val="0"/>
      <w:marTop w:val="0"/>
      <w:marBottom w:val="0"/>
      <w:divBdr>
        <w:top w:val="none" w:sz="0" w:space="0" w:color="auto"/>
        <w:left w:val="none" w:sz="0" w:space="0" w:color="auto"/>
        <w:bottom w:val="none" w:sz="0" w:space="0" w:color="auto"/>
        <w:right w:val="none" w:sz="0" w:space="0" w:color="auto"/>
      </w:divBdr>
    </w:div>
    <w:div w:id="1970747164">
      <w:bodyDiv w:val="1"/>
      <w:marLeft w:val="0"/>
      <w:marRight w:val="0"/>
      <w:marTop w:val="0"/>
      <w:marBottom w:val="0"/>
      <w:divBdr>
        <w:top w:val="none" w:sz="0" w:space="0" w:color="auto"/>
        <w:left w:val="none" w:sz="0" w:space="0" w:color="auto"/>
        <w:bottom w:val="none" w:sz="0" w:space="0" w:color="auto"/>
        <w:right w:val="none" w:sz="0" w:space="0" w:color="auto"/>
      </w:divBdr>
    </w:div>
    <w:div w:id="1971283745">
      <w:bodyDiv w:val="1"/>
      <w:marLeft w:val="0"/>
      <w:marRight w:val="0"/>
      <w:marTop w:val="0"/>
      <w:marBottom w:val="0"/>
      <w:divBdr>
        <w:top w:val="none" w:sz="0" w:space="0" w:color="auto"/>
        <w:left w:val="none" w:sz="0" w:space="0" w:color="auto"/>
        <w:bottom w:val="none" w:sz="0" w:space="0" w:color="auto"/>
        <w:right w:val="none" w:sz="0" w:space="0" w:color="auto"/>
      </w:divBdr>
    </w:div>
    <w:div w:id="1971665772">
      <w:bodyDiv w:val="1"/>
      <w:marLeft w:val="0"/>
      <w:marRight w:val="0"/>
      <w:marTop w:val="0"/>
      <w:marBottom w:val="0"/>
      <w:divBdr>
        <w:top w:val="none" w:sz="0" w:space="0" w:color="auto"/>
        <w:left w:val="none" w:sz="0" w:space="0" w:color="auto"/>
        <w:bottom w:val="none" w:sz="0" w:space="0" w:color="auto"/>
        <w:right w:val="none" w:sz="0" w:space="0" w:color="auto"/>
      </w:divBdr>
    </w:div>
    <w:div w:id="1972973280">
      <w:bodyDiv w:val="1"/>
      <w:marLeft w:val="0"/>
      <w:marRight w:val="0"/>
      <w:marTop w:val="0"/>
      <w:marBottom w:val="0"/>
      <w:divBdr>
        <w:top w:val="none" w:sz="0" w:space="0" w:color="auto"/>
        <w:left w:val="none" w:sz="0" w:space="0" w:color="auto"/>
        <w:bottom w:val="none" w:sz="0" w:space="0" w:color="auto"/>
        <w:right w:val="none" w:sz="0" w:space="0" w:color="auto"/>
      </w:divBdr>
    </w:div>
    <w:div w:id="1973437872">
      <w:bodyDiv w:val="1"/>
      <w:marLeft w:val="0"/>
      <w:marRight w:val="0"/>
      <w:marTop w:val="0"/>
      <w:marBottom w:val="0"/>
      <w:divBdr>
        <w:top w:val="none" w:sz="0" w:space="0" w:color="auto"/>
        <w:left w:val="none" w:sz="0" w:space="0" w:color="auto"/>
        <w:bottom w:val="none" w:sz="0" w:space="0" w:color="auto"/>
        <w:right w:val="none" w:sz="0" w:space="0" w:color="auto"/>
      </w:divBdr>
    </w:div>
    <w:div w:id="1976712099">
      <w:bodyDiv w:val="1"/>
      <w:marLeft w:val="0"/>
      <w:marRight w:val="0"/>
      <w:marTop w:val="0"/>
      <w:marBottom w:val="0"/>
      <w:divBdr>
        <w:top w:val="none" w:sz="0" w:space="0" w:color="auto"/>
        <w:left w:val="none" w:sz="0" w:space="0" w:color="auto"/>
        <w:bottom w:val="none" w:sz="0" w:space="0" w:color="auto"/>
        <w:right w:val="none" w:sz="0" w:space="0" w:color="auto"/>
      </w:divBdr>
    </w:div>
    <w:div w:id="1979217441">
      <w:bodyDiv w:val="1"/>
      <w:marLeft w:val="0"/>
      <w:marRight w:val="0"/>
      <w:marTop w:val="0"/>
      <w:marBottom w:val="0"/>
      <w:divBdr>
        <w:top w:val="none" w:sz="0" w:space="0" w:color="auto"/>
        <w:left w:val="none" w:sz="0" w:space="0" w:color="auto"/>
        <w:bottom w:val="none" w:sz="0" w:space="0" w:color="auto"/>
        <w:right w:val="none" w:sz="0" w:space="0" w:color="auto"/>
      </w:divBdr>
    </w:div>
    <w:div w:id="1981232376">
      <w:bodyDiv w:val="1"/>
      <w:marLeft w:val="0"/>
      <w:marRight w:val="0"/>
      <w:marTop w:val="0"/>
      <w:marBottom w:val="0"/>
      <w:divBdr>
        <w:top w:val="none" w:sz="0" w:space="0" w:color="auto"/>
        <w:left w:val="none" w:sz="0" w:space="0" w:color="auto"/>
        <w:bottom w:val="none" w:sz="0" w:space="0" w:color="auto"/>
        <w:right w:val="none" w:sz="0" w:space="0" w:color="auto"/>
      </w:divBdr>
    </w:div>
    <w:div w:id="1987394498">
      <w:bodyDiv w:val="1"/>
      <w:marLeft w:val="0"/>
      <w:marRight w:val="0"/>
      <w:marTop w:val="0"/>
      <w:marBottom w:val="0"/>
      <w:divBdr>
        <w:top w:val="none" w:sz="0" w:space="0" w:color="auto"/>
        <w:left w:val="none" w:sz="0" w:space="0" w:color="auto"/>
        <w:bottom w:val="none" w:sz="0" w:space="0" w:color="auto"/>
        <w:right w:val="none" w:sz="0" w:space="0" w:color="auto"/>
      </w:divBdr>
    </w:div>
    <w:div w:id="1988052388">
      <w:bodyDiv w:val="1"/>
      <w:marLeft w:val="0"/>
      <w:marRight w:val="0"/>
      <w:marTop w:val="0"/>
      <w:marBottom w:val="0"/>
      <w:divBdr>
        <w:top w:val="none" w:sz="0" w:space="0" w:color="auto"/>
        <w:left w:val="none" w:sz="0" w:space="0" w:color="auto"/>
        <w:bottom w:val="none" w:sz="0" w:space="0" w:color="auto"/>
        <w:right w:val="none" w:sz="0" w:space="0" w:color="auto"/>
      </w:divBdr>
    </w:div>
    <w:div w:id="1988438464">
      <w:bodyDiv w:val="1"/>
      <w:marLeft w:val="0"/>
      <w:marRight w:val="0"/>
      <w:marTop w:val="0"/>
      <w:marBottom w:val="0"/>
      <w:divBdr>
        <w:top w:val="none" w:sz="0" w:space="0" w:color="auto"/>
        <w:left w:val="none" w:sz="0" w:space="0" w:color="auto"/>
        <w:bottom w:val="none" w:sz="0" w:space="0" w:color="auto"/>
        <w:right w:val="none" w:sz="0" w:space="0" w:color="auto"/>
      </w:divBdr>
    </w:div>
    <w:div w:id="1992707734">
      <w:bodyDiv w:val="1"/>
      <w:marLeft w:val="0"/>
      <w:marRight w:val="0"/>
      <w:marTop w:val="0"/>
      <w:marBottom w:val="0"/>
      <w:divBdr>
        <w:top w:val="none" w:sz="0" w:space="0" w:color="auto"/>
        <w:left w:val="none" w:sz="0" w:space="0" w:color="auto"/>
        <w:bottom w:val="none" w:sz="0" w:space="0" w:color="auto"/>
        <w:right w:val="none" w:sz="0" w:space="0" w:color="auto"/>
      </w:divBdr>
    </w:div>
    <w:div w:id="1993212257">
      <w:bodyDiv w:val="1"/>
      <w:marLeft w:val="0"/>
      <w:marRight w:val="0"/>
      <w:marTop w:val="0"/>
      <w:marBottom w:val="0"/>
      <w:divBdr>
        <w:top w:val="none" w:sz="0" w:space="0" w:color="auto"/>
        <w:left w:val="none" w:sz="0" w:space="0" w:color="auto"/>
        <w:bottom w:val="none" w:sz="0" w:space="0" w:color="auto"/>
        <w:right w:val="none" w:sz="0" w:space="0" w:color="auto"/>
      </w:divBdr>
    </w:div>
    <w:div w:id="1994672950">
      <w:bodyDiv w:val="1"/>
      <w:marLeft w:val="0"/>
      <w:marRight w:val="0"/>
      <w:marTop w:val="0"/>
      <w:marBottom w:val="0"/>
      <w:divBdr>
        <w:top w:val="none" w:sz="0" w:space="0" w:color="auto"/>
        <w:left w:val="none" w:sz="0" w:space="0" w:color="auto"/>
        <w:bottom w:val="none" w:sz="0" w:space="0" w:color="auto"/>
        <w:right w:val="none" w:sz="0" w:space="0" w:color="auto"/>
      </w:divBdr>
    </w:div>
    <w:div w:id="1998611000">
      <w:bodyDiv w:val="1"/>
      <w:marLeft w:val="0"/>
      <w:marRight w:val="0"/>
      <w:marTop w:val="0"/>
      <w:marBottom w:val="0"/>
      <w:divBdr>
        <w:top w:val="none" w:sz="0" w:space="0" w:color="auto"/>
        <w:left w:val="none" w:sz="0" w:space="0" w:color="auto"/>
        <w:bottom w:val="none" w:sz="0" w:space="0" w:color="auto"/>
        <w:right w:val="none" w:sz="0" w:space="0" w:color="auto"/>
      </w:divBdr>
    </w:div>
    <w:div w:id="1999266495">
      <w:bodyDiv w:val="1"/>
      <w:marLeft w:val="0"/>
      <w:marRight w:val="0"/>
      <w:marTop w:val="0"/>
      <w:marBottom w:val="0"/>
      <w:divBdr>
        <w:top w:val="none" w:sz="0" w:space="0" w:color="auto"/>
        <w:left w:val="none" w:sz="0" w:space="0" w:color="auto"/>
        <w:bottom w:val="none" w:sz="0" w:space="0" w:color="auto"/>
        <w:right w:val="none" w:sz="0" w:space="0" w:color="auto"/>
      </w:divBdr>
    </w:div>
    <w:div w:id="2003122029">
      <w:bodyDiv w:val="1"/>
      <w:marLeft w:val="0"/>
      <w:marRight w:val="0"/>
      <w:marTop w:val="0"/>
      <w:marBottom w:val="0"/>
      <w:divBdr>
        <w:top w:val="none" w:sz="0" w:space="0" w:color="auto"/>
        <w:left w:val="none" w:sz="0" w:space="0" w:color="auto"/>
        <w:bottom w:val="none" w:sz="0" w:space="0" w:color="auto"/>
        <w:right w:val="none" w:sz="0" w:space="0" w:color="auto"/>
      </w:divBdr>
    </w:div>
    <w:div w:id="2005821293">
      <w:bodyDiv w:val="1"/>
      <w:marLeft w:val="0"/>
      <w:marRight w:val="0"/>
      <w:marTop w:val="0"/>
      <w:marBottom w:val="0"/>
      <w:divBdr>
        <w:top w:val="none" w:sz="0" w:space="0" w:color="auto"/>
        <w:left w:val="none" w:sz="0" w:space="0" w:color="auto"/>
        <w:bottom w:val="none" w:sz="0" w:space="0" w:color="auto"/>
        <w:right w:val="none" w:sz="0" w:space="0" w:color="auto"/>
      </w:divBdr>
    </w:div>
    <w:div w:id="2010214188">
      <w:bodyDiv w:val="1"/>
      <w:marLeft w:val="0"/>
      <w:marRight w:val="0"/>
      <w:marTop w:val="0"/>
      <w:marBottom w:val="0"/>
      <w:divBdr>
        <w:top w:val="none" w:sz="0" w:space="0" w:color="auto"/>
        <w:left w:val="none" w:sz="0" w:space="0" w:color="auto"/>
        <w:bottom w:val="none" w:sz="0" w:space="0" w:color="auto"/>
        <w:right w:val="none" w:sz="0" w:space="0" w:color="auto"/>
      </w:divBdr>
    </w:div>
    <w:div w:id="2013095921">
      <w:bodyDiv w:val="1"/>
      <w:marLeft w:val="0"/>
      <w:marRight w:val="0"/>
      <w:marTop w:val="0"/>
      <w:marBottom w:val="0"/>
      <w:divBdr>
        <w:top w:val="none" w:sz="0" w:space="0" w:color="auto"/>
        <w:left w:val="none" w:sz="0" w:space="0" w:color="auto"/>
        <w:bottom w:val="none" w:sz="0" w:space="0" w:color="auto"/>
        <w:right w:val="none" w:sz="0" w:space="0" w:color="auto"/>
      </w:divBdr>
    </w:div>
    <w:div w:id="2014257040">
      <w:bodyDiv w:val="1"/>
      <w:marLeft w:val="0"/>
      <w:marRight w:val="0"/>
      <w:marTop w:val="0"/>
      <w:marBottom w:val="0"/>
      <w:divBdr>
        <w:top w:val="none" w:sz="0" w:space="0" w:color="auto"/>
        <w:left w:val="none" w:sz="0" w:space="0" w:color="auto"/>
        <w:bottom w:val="none" w:sz="0" w:space="0" w:color="auto"/>
        <w:right w:val="none" w:sz="0" w:space="0" w:color="auto"/>
      </w:divBdr>
    </w:div>
    <w:div w:id="2015912197">
      <w:bodyDiv w:val="1"/>
      <w:marLeft w:val="0"/>
      <w:marRight w:val="0"/>
      <w:marTop w:val="0"/>
      <w:marBottom w:val="0"/>
      <w:divBdr>
        <w:top w:val="none" w:sz="0" w:space="0" w:color="auto"/>
        <w:left w:val="none" w:sz="0" w:space="0" w:color="auto"/>
        <w:bottom w:val="none" w:sz="0" w:space="0" w:color="auto"/>
        <w:right w:val="none" w:sz="0" w:space="0" w:color="auto"/>
      </w:divBdr>
    </w:div>
    <w:div w:id="2018144677">
      <w:bodyDiv w:val="1"/>
      <w:marLeft w:val="0"/>
      <w:marRight w:val="0"/>
      <w:marTop w:val="0"/>
      <w:marBottom w:val="0"/>
      <w:divBdr>
        <w:top w:val="none" w:sz="0" w:space="0" w:color="auto"/>
        <w:left w:val="none" w:sz="0" w:space="0" w:color="auto"/>
        <w:bottom w:val="none" w:sz="0" w:space="0" w:color="auto"/>
        <w:right w:val="none" w:sz="0" w:space="0" w:color="auto"/>
      </w:divBdr>
    </w:div>
    <w:div w:id="2021852957">
      <w:bodyDiv w:val="1"/>
      <w:marLeft w:val="0"/>
      <w:marRight w:val="0"/>
      <w:marTop w:val="0"/>
      <w:marBottom w:val="0"/>
      <w:divBdr>
        <w:top w:val="none" w:sz="0" w:space="0" w:color="auto"/>
        <w:left w:val="none" w:sz="0" w:space="0" w:color="auto"/>
        <w:bottom w:val="none" w:sz="0" w:space="0" w:color="auto"/>
        <w:right w:val="none" w:sz="0" w:space="0" w:color="auto"/>
      </w:divBdr>
    </w:div>
    <w:div w:id="2023438108">
      <w:bodyDiv w:val="1"/>
      <w:marLeft w:val="0"/>
      <w:marRight w:val="0"/>
      <w:marTop w:val="0"/>
      <w:marBottom w:val="0"/>
      <w:divBdr>
        <w:top w:val="none" w:sz="0" w:space="0" w:color="auto"/>
        <w:left w:val="none" w:sz="0" w:space="0" w:color="auto"/>
        <w:bottom w:val="none" w:sz="0" w:space="0" w:color="auto"/>
        <w:right w:val="none" w:sz="0" w:space="0" w:color="auto"/>
      </w:divBdr>
    </w:div>
    <w:div w:id="2024239634">
      <w:bodyDiv w:val="1"/>
      <w:marLeft w:val="0"/>
      <w:marRight w:val="0"/>
      <w:marTop w:val="0"/>
      <w:marBottom w:val="0"/>
      <w:divBdr>
        <w:top w:val="none" w:sz="0" w:space="0" w:color="auto"/>
        <w:left w:val="none" w:sz="0" w:space="0" w:color="auto"/>
        <w:bottom w:val="none" w:sz="0" w:space="0" w:color="auto"/>
        <w:right w:val="none" w:sz="0" w:space="0" w:color="auto"/>
      </w:divBdr>
    </w:div>
    <w:div w:id="2028602612">
      <w:bodyDiv w:val="1"/>
      <w:marLeft w:val="0"/>
      <w:marRight w:val="0"/>
      <w:marTop w:val="0"/>
      <w:marBottom w:val="0"/>
      <w:divBdr>
        <w:top w:val="none" w:sz="0" w:space="0" w:color="auto"/>
        <w:left w:val="none" w:sz="0" w:space="0" w:color="auto"/>
        <w:bottom w:val="none" w:sz="0" w:space="0" w:color="auto"/>
        <w:right w:val="none" w:sz="0" w:space="0" w:color="auto"/>
      </w:divBdr>
    </w:div>
    <w:div w:id="2031757182">
      <w:bodyDiv w:val="1"/>
      <w:marLeft w:val="0"/>
      <w:marRight w:val="0"/>
      <w:marTop w:val="0"/>
      <w:marBottom w:val="0"/>
      <w:divBdr>
        <w:top w:val="none" w:sz="0" w:space="0" w:color="auto"/>
        <w:left w:val="none" w:sz="0" w:space="0" w:color="auto"/>
        <w:bottom w:val="none" w:sz="0" w:space="0" w:color="auto"/>
        <w:right w:val="none" w:sz="0" w:space="0" w:color="auto"/>
      </w:divBdr>
    </w:div>
    <w:div w:id="2033988846">
      <w:bodyDiv w:val="1"/>
      <w:marLeft w:val="0"/>
      <w:marRight w:val="0"/>
      <w:marTop w:val="0"/>
      <w:marBottom w:val="0"/>
      <w:divBdr>
        <w:top w:val="none" w:sz="0" w:space="0" w:color="auto"/>
        <w:left w:val="none" w:sz="0" w:space="0" w:color="auto"/>
        <w:bottom w:val="none" w:sz="0" w:space="0" w:color="auto"/>
        <w:right w:val="none" w:sz="0" w:space="0" w:color="auto"/>
      </w:divBdr>
    </w:div>
    <w:div w:id="2036885877">
      <w:bodyDiv w:val="1"/>
      <w:marLeft w:val="0"/>
      <w:marRight w:val="0"/>
      <w:marTop w:val="0"/>
      <w:marBottom w:val="0"/>
      <w:divBdr>
        <w:top w:val="none" w:sz="0" w:space="0" w:color="auto"/>
        <w:left w:val="none" w:sz="0" w:space="0" w:color="auto"/>
        <w:bottom w:val="none" w:sz="0" w:space="0" w:color="auto"/>
        <w:right w:val="none" w:sz="0" w:space="0" w:color="auto"/>
      </w:divBdr>
    </w:div>
    <w:div w:id="2041395446">
      <w:bodyDiv w:val="1"/>
      <w:marLeft w:val="0"/>
      <w:marRight w:val="0"/>
      <w:marTop w:val="0"/>
      <w:marBottom w:val="0"/>
      <w:divBdr>
        <w:top w:val="none" w:sz="0" w:space="0" w:color="auto"/>
        <w:left w:val="none" w:sz="0" w:space="0" w:color="auto"/>
        <w:bottom w:val="none" w:sz="0" w:space="0" w:color="auto"/>
        <w:right w:val="none" w:sz="0" w:space="0" w:color="auto"/>
      </w:divBdr>
    </w:div>
    <w:div w:id="2041542933">
      <w:bodyDiv w:val="1"/>
      <w:marLeft w:val="0"/>
      <w:marRight w:val="0"/>
      <w:marTop w:val="0"/>
      <w:marBottom w:val="0"/>
      <w:divBdr>
        <w:top w:val="none" w:sz="0" w:space="0" w:color="auto"/>
        <w:left w:val="none" w:sz="0" w:space="0" w:color="auto"/>
        <w:bottom w:val="none" w:sz="0" w:space="0" w:color="auto"/>
        <w:right w:val="none" w:sz="0" w:space="0" w:color="auto"/>
      </w:divBdr>
    </w:div>
    <w:div w:id="2048986637">
      <w:bodyDiv w:val="1"/>
      <w:marLeft w:val="0"/>
      <w:marRight w:val="0"/>
      <w:marTop w:val="0"/>
      <w:marBottom w:val="0"/>
      <w:divBdr>
        <w:top w:val="none" w:sz="0" w:space="0" w:color="auto"/>
        <w:left w:val="none" w:sz="0" w:space="0" w:color="auto"/>
        <w:bottom w:val="none" w:sz="0" w:space="0" w:color="auto"/>
        <w:right w:val="none" w:sz="0" w:space="0" w:color="auto"/>
      </w:divBdr>
    </w:div>
    <w:div w:id="2057392656">
      <w:bodyDiv w:val="1"/>
      <w:marLeft w:val="0"/>
      <w:marRight w:val="0"/>
      <w:marTop w:val="0"/>
      <w:marBottom w:val="0"/>
      <w:divBdr>
        <w:top w:val="none" w:sz="0" w:space="0" w:color="auto"/>
        <w:left w:val="none" w:sz="0" w:space="0" w:color="auto"/>
        <w:bottom w:val="none" w:sz="0" w:space="0" w:color="auto"/>
        <w:right w:val="none" w:sz="0" w:space="0" w:color="auto"/>
      </w:divBdr>
    </w:div>
    <w:div w:id="2059551436">
      <w:bodyDiv w:val="1"/>
      <w:marLeft w:val="0"/>
      <w:marRight w:val="0"/>
      <w:marTop w:val="0"/>
      <w:marBottom w:val="0"/>
      <w:divBdr>
        <w:top w:val="none" w:sz="0" w:space="0" w:color="auto"/>
        <w:left w:val="none" w:sz="0" w:space="0" w:color="auto"/>
        <w:bottom w:val="none" w:sz="0" w:space="0" w:color="auto"/>
        <w:right w:val="none" w:sz="0" w:space="0" w:color="auto"/>
      </w:divBdr>
    </w:div>
    <w:div w:id="2059743553">
      <w:bodyDiv w:val="1"/>
      <w:marLeft w:val="0"/>
      <w:marRight w:val="0"/>
      <w:marTop w:val="0"/>
      <w:marBottom w:val="0"/>
      <w:divBdr>
        <w:top w:val="none" w:sz="0" w:space="0" w:color="auto"/>
        <w:left w:val="none" w:sz="0" w:space="0" w:color="auto"/>
        <w:bottom w:val="none" w:sz="0" w:space="0" w:color="auto"/>
        <w:right w:val="none" w:sz="0" w:space="0" w:color="auto"/>
      </w:divBdr>
    </w:div>
    <w:div w:id="2060476396">
      <w:bodyDiv w:val="1"/>
      <w:marLeft w:val="0"/>
      <w:marRight w:val="0"/>
      <w:marTop w:val="0"/>
      <w:marBottom w:val="0"/>
      <w:divBdr>
        <w:top w:val="none" w:sz="0" w:space="0" w:color="auto"/>
        <w:left w:val="none" w:sz="0" w:space="0" w:color="auto"/>
        <w:bottom w:val="none" w:sz="0" w:space="0" w:color="auto"/>
        <w:right w:val="none" w:sz="0" w:space="0" w:color="auto"/>
      </w:divBdr>
    </w:div>
    <w:div w:id="2062051972">
      <w:bodyDiv w:val="1"/>
      <w:marLeft w:val="0"/>
      <w:marRight w:val="0"/>
      <w:marTop w:val="0"/>
      <w:marBottom w:val="0"/>
      <w:divBdr>
        <w:top w:val="none" w:sz="0" w:space="0" w:color="auto"/>
        <w:left w:val="none" w:sz="0" w:space="0" w:color="auto"/>
        <w:bottom w:val="none" w:sz="0" w:space="0" w:color="auto"/>
        <w:right w:val="none" w:sz="0" w:space="0" w:color="auto"/>
      </w:divBdr>
    </w:div>
    <w:div w:id="2064134430">
      <w:bodyDiv w:val="1"/>
      <w:marLeft w:val="0"/>
      <w:marRight w:val="0"/>
      <w:marTop w:val="0"/>
      <w:marBottom w:val="0"/>
      <w:divBdr>
        <w:top w:val="none" w:sz="0" w:space="0" w:color="auto"/>
        <w:left w:val="none" w:sz="0" w:space="0" w:color="auto"/>
        <w:bottom w:val="none" w:sz="0" w:space="0" w:color="auto"/>
        <w:right w:val="none" w:sz="0" w:space="0" w:color="auto"/>
      </w:divBdr>
    </w:div>
    <w:div w:id="2066567788">
      <w:bodyDiv w:val="1"/>
      <w:marLeft w:val="0"/>
      <w:marRight w:val="0"/>
      <w:marTop w:val="0"/>
      <w:marBottom w:val="0"/>
      <w:divBdr>
        <w:top w:val="none" w:sz="0" w:space="0" w:color="auto"/>
        <w:left w:val="none" w:sz="0" w:space="0" w:color="auto"/>
        <w:bottom w:val="none" w:sz="0" w:space="0" w:color="auto"/>
        <w:right w:val="none" w:sz="0" w:space="0" w:color="auto"/>
      </w:divBdr>
    </w:div>
    <w:div w:id="2067758393">
      <w:bodyDiv w:val="1"/>
      <w:marLeft w:val="0"/>
      <w:marRight w:val="0"/>
      <w:marTop w:val="0"/>
      <w:marBottom w:val="0"/>
      <w:divBdr>
        <w:top w:val="none" w:sz="0" w:space="0" w:color="auto"/>
        <w:left w:val="none" w:sz="0" w:space="0" w:color="auto"/>
        <w:bottom w:val="none" w:sz="0" w:space="0" w:color="auto"/>
        <w:right w:val="none" w:sz="0" w:space="0" w:color="auto"/>
      </w:divBdr>
    </w:div>
    <w:div w:id="2068868382">
      <w:bodyDiv w:val="1"/>
      <w:marLeft w:val="0"/>
      <w:marRight w:val="0"/>
      <w:marTop w:val="0"/>
      <w:marBottom w:val="0"/>
      <w:divBdr>
        <w:top w:val="none" w:sz="0" w:space="0" w:color="auto"/>
        <w:left w:val="none" w:sz="0" w:space="0" w:color="auto"/>
        <w:bottom w:val="none" w:sz="0" w:space="0" w:color="auto"/>
        <w:right w:val="none" w:sz="0" w:space="0" w:color="auto"/>
      </w:divBdr>
    </w:div>
    <w:div w:id="2069527841">
      <w:bodyDiv w:val="1"/>
      <w:marLeft w:val="0"/>
      <w:marRight w:val="0"/>
      <w:marTop w:val="0"/>
      <w:marBottom w:val="0"/>
      <w:divBdr>
        <w:top w:val="none" w:sz="0" w:space="0" w:color="auto"/>
        <w:left w:val="none" w:sz="0" w:space="0" w:color="auto"/>
        <w:bottom w:val="none" w:sz="0" w:space="0" w:color="auto"/>
        <w:right w:val="none" w:sz="0" w:space="0" w:color="auto"/>
      </w:divBdr>
    </w:div>
    <w:div w:id="2070952767">
      <w:bodyDiv w:val="1"/>
      <w:marLeft w:val="0"/>
      <w:marRight w:val="0"/>
      <w:marTop w:val="0"/>
      <w:marBottom w:val="0"/>
      <w:divBdr>
        <w:top w:val="none" w:sz="0" w:space="0" w:color="auto"/>
        <w:left w:val="none" w:sz="0" w:space="0" w:color="auto"/>
        <w:bottom w:val="none" w:sz="0" w:space="0" w:color="auto"/>
        <w:right w:val="none" w:sz="0" w:space="0" w:color="auto"/>
      </w:divBdr>
    </w:div>
    <w:div w:id="2084444447">
      <w:bodyDiv w:val="1"/>
      <w:marLeft w:val="0"/>
      <w:marRight w:val="0"/>
      <w:marTop w:val="0"/>
      <w:marBottom w:val="0"/>
      <w:divBdr>
        <w:top w:val="none" w:sz="0" w:space="0" w:color="auto"/>
        <w:left w:val="none" w:sz="0" w:space="0" w:color="auto"/>
        <w:bottom w:val="none" w:sz="0" w:space="0" w:color="auto"/>
        <w:right w:val="none" w:sz="0" w:space="0" w:color="auto"/>
      </w:divBdr>
    </w:div>
    <w:div w:id="2085837038">
      <w:bodyDiv w:val="1"/>
      <w:marLeft w:val="0"/>
      <w:marRight w:val="0"/>
      <w:marTop w:val="0"/>
      <w:marBottom w:val="0"/>
      <w:divBdr>
        <w:top w:val="none" w:sz="0" w:space="0" w:color="auto"/>
        <w:left w:val="none" w:sz="0" w:space="0" w:color="auto"/>
        <w:bottom w:val="none" w:sz="0" w:space="0" w:color="auto"/>
        <w:right w:val="none" w:sz="0" w:space="0" w:color="auto"/>
      </w:divBdr>
    </w:div>
    <w:div w:id="2088265872">
      <w:bodyDiv w:val="1"/>
      <w:marLeft w:val="0"/>
      <w:marRight w:val="0"/>
      <w:marTop w:val="0"/>
      <w:marBottom w:val="0"/>
      <w:divBdr>
        <w:top w:val="none" w:sz="0" w:space="0" w:color="auto"/>
        <w:left w:val="none" w:sz="0" w:space="0" w:color="auto"/>
        <w:bottom w:val="none" w:sz="0" w:space="0" w:color="auto"/>
        <w:right w:val="none" w:sz="0" w:space="0" w:color="auto"/>
      </w:divBdr>
    </w:div>
    <w:div w:id="2088306579">
      <w:bodyDiv w:val="1"/>
      <w:marLeft w:val="0"/>
      <w:marRight w:val="0"/>
      <w:marTop w:val="0"/>
      <w:marBottom w:val="0"/>
      <w:divBdr>
        <w:top w:val="none" w:sz="0" w:space="0" w:color="auto"/>
        <w:left w:val="none" w:sz="0" w:space="0" w:color="auto"/>
        <w:bottom w:val="none" w:sz="0" w:space="0" w:color="auto"/>
        <w:right w:val="none" w:sz="0" w:space="0" w:color="auto"/>
      </w:divBdr>
    </w:div>
    <w:div w:id="2089643487">
      <w:bodyDiv w:val="1"/>
      <w:marLeft w:val="0"/>
      <w:marRight w:val="0"/>
      <w:marTop w:val="0"/>
      <w:marBottom w:val="0"/>
      <w:divBdr>
        <w:top w:val="none" w:sz="0" w:space="0" w:color="auto"/>
        <w:left w:val="none" w:sz="0" w:space="0" w:color="auto"/>
        <w:bottom w:val="none" w:sz="0" w:space="0" w:color="auto"/>
        <w:right w:val="none" w:sz="0" w:space="0" w:color="auto"/>
      </w:divBdr>
    </w:div>
    <w:div w:id="2091268774">
      <w:bodyDiv w:val="1"/>
      <w:marLeft w:val="0"/>
      <w:marRight w:val="0"/>
      <w:marTop w:val="0"/>
      <w:marBottom w:val="0"/>
      <w:divBdr>
        <w:top w:val="none" w:sz="0" w:space="0" w:color="auto"/>
        <w:left w:val="none" w:sz="0" w:space="0" w:color="auto"/>
        <w:bottom w:val="none" w:sz="0" w:space="0" w:color="auto"/>
        <w:right w:val="none" w:sz="0" w:space="0" w:color="auto"/>
      </w:divBdr>
    </w:div>
    <w:div w:id="2093579468">
      <w:bodyDiv w:val="1"/>
      <w:marLeft w:val="0"/>
      <w:marRight w:val="0"/>
      <w:marTop w:val="0"/>
      <w:marBottom w:val="0"/>
      <w:divBdr>
        <w:top w:val="none" w:sz="0" w:space="0" w:color="auto"/>
        <w:left w:val="none" w:sz="0" w:space="0" w:color="auto"/>
        <w:bottom w:val="none" w:sz="0" w:space="0" w:color="auto"/>
        <w:right w:val="none" w:sz="0" w:space="0" w:color="auto"/>
      </w:divBdr>
    </w:div>
    <w:div w:id="2107844871">
      <w:bodyDiv w:val="1"/>
      <w:marLeft w:val="0"/>
      <w:marRight w:val="0"/>
      <w:marTop w:val="0"/>
      <w:marBottom w:val="0"/>
      <w:divBdr>
        <w:top w:val="none" w:sz="0" w:space="0" w:color="auto"/>
        <w:left w:val="none" w:sz="0" w:space="0" w:color="auto"/>
        <w:bottom w:val="none" w:sz="0" w:space="0" w:color="auto"/>
        <w:right w:val="none" w:sz="0" w:space="0" w:color="auto"/>
      </w:divBdr>
    </w:div>
    <w:div w:id="2113209386">
      <w:bodyDiv w:val="1"/>
      <w:marLeft w:val="0"/>
      <w:marRight w:val="0"/>
      <w:marTop w:val="0"/>
      <w:marBottom w:val="0"/>
      <w:divBdr>
        <w:top w:val="none" w:sz="0" w:space="0" w:color="auto"/>
        <w:left w:val="none" w:sz="0" w:space="0" w:color="auto"/>
        <w:bottom w:val="none" w:sz="0" w:space="0" w:color="auto"/>
        <w:right w:val="none" w:sz="0" w:space="0" w:color="auto"/>
      </w:divBdr>
      <w:divsChild>
        <w:div w:id="214969303">
          <w:marLeft w:val="0"/>
          <w:marRight w:val="0"/>
          <w:marTop w:val="0"/>
          <w:marBottom w:val="0"/>
          <w:divBdr>
            <w:top w:val="none" w:sz="0" w:space="0" w:color="auto"/>
            <w:left w:val="none" w:sz="0" w:space="0" w:color="auto"/>
            <w:bottom w:val="none" w:sz="0" w:space="0" w:color="auto"/>
            <w:right w:val="none" w:sz="0" w:space="0" w:color="auto"/>
          </w:divBdr>
          <w:divsChild>
            <w:div w:id="186798359">
              <w:marLeft w:val="0"/>
              <w:marRight w:val="0"/>
              <w:marTop w:val="0"/>
              <w:marBottom w:val="0"/>
              <w:divBdr>
                <w:top w:val="none" w:sz="0" w:space="0" w:color="auto"/>
                <w:left w:val="none" w:sz="0" w:space="0" w:color="auto"/>
                <w:bottom w:val="none" w:sz="0" w:space="0" w:color="auto"/>
                <w:right w:val="none" w:sz="0" w:space="0" w:color="auto"/>
              </w:divBdr>
              <w:divsChild>
                <w:div w:id="398141081">
                  <w:marLeft w:val="0"/>
                  <w:marRight w:val="0"/>
                  <w:marTop w:val="0"/>
                  <w:marBottom w:val="0"/>
                  <w:divBdr>
                    <w:top w:val="none" w:sz="0" w:space="0" w:color="auto"/>
                    <w:left w:val="none" w:sz="0" w:space="0" w:color="auto"/>
                    <w:bottom w:val="none" w:sz="0" w:space="0" w:color="auto"/>
                    <w:right w:val="none" w:sz="0" w:space="0" w:color="auto"/>
                  </w:divBdr>
                </w:div>
                <w:div w:id="15954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4679">
      <w:bodyDiv w:val="1"/>
      <w:marLeft w:val="0"/>
      <w:marRight w:val="0"/>
      <w:marTop w:val="0"/>
      <w:marBottom w:val="0"/>
      <w:divBdr>
        <w:top w:val="none" w:sz="0" w:space="0" w:color="auto"/>
        <w:left w:val="none" w:sz="0" w:space="0" w:color="auto"/>
        <w:bottom w:val="none" w:sz="0" w:space="0" w:color="auto"/>
        <w:right w:val="none" w:sz="0" w:space="0" w:color="auto"/>
      </w:divBdr>
    </w:div>
    <w:div w:id="2114665680">
      <w:bodyDiv w:val="1"/>
      <w:marLeft w:val="0"/>
      <w:marRight w:val="0"/>
      <w:marTop w:val="0"/>
      <w:marBottom w:val="0"/>
      <w:divBdr>
        <w:top w:val="none" w:sz="0" w:space="0" w:color="auto"/>
        <w:left w:val="none" w:sz="0" w:space="0" w:color="auto"/>
        <w:bottom w:val="none" w:sz="0" w:space="0" w:color="auto"/>
        <w:right w:val="none" w:sz="0" w:space="0" w:color="auto"/>
      </w:divBdr>
    </w:div>
    <w:div w:id="2117670190">
      <w:bodyDiv w:val="1"/>
      <w:marLeft w:val="0"/>
      <w:marRight w:val="0"/>
      <w:marTop w:val="0"/>
      <w:marBottom w:val="0"/>
      <w:divBdr>
        <w:top w:val="none" w:sz="0" w:space="0" w:color="auto"/>
        <w:left w:val="none" w:sz="0" w:space="0" w:color="auto"/>
        <w:bottom w:val="none" w:sz="0" w:space="0" w:color="auto"/>
        <w:right w:val="none" w:sz="0" w:space="0" w:color="auto"/>
      </w:divBdr>
    </w:div>
    <w:div w:id="2118325114">
      <w:bodyDiv w:val="1"/>
      <w:marLeft w:val="0"/>
      <w:marRight w:val="0"/>
      <w:marTop w:val="0"/>
      <w:marBottom w:val="0"/>
      <w:divBdr>
        <w:top w:val="none" w:sz="0" w:space="0" w:color="auto"/>
        <w:left w:val="none" w:sz="0" w:space="0" w:color="auto"/>
        <w:bottom w:val="none" w:sz="0" w:space="0" w:color="auto"/>
        <w:right w:val="none" w:sz="0" w:space="0" w:color="auto"/>
      </w:divBdr>
      <w:divsChild>
        <w:div w:id="1211310089">
          <w:marLeft w:val="0"/>
          <w:marRight w:val="0"/>
          <w:marTop w:val="0"/>
          <w:marBottom w:val="0"/>
          <w:divBdr>
            <w:top w:val="none" w:sz="0" w:space="0" w:color="auto"/>
            <w:left w:val="none" w:sz="0" w:space="0" w:color="auto"/>
            <w:bottom w:val="none" w:sz="0" w:space="0" w:color="auto"/>
            <w:right w:val="none" w:sz="0" w:space="0" w:color="auto"/>
          </w:divBdr>
          <w:divsChild>
            <w:div w:id="159541354">
              <w:marLeft w:val="0"/>
              <w:marRight w:val="0"/>
              <w:marTop w:val="0"/>
              <w:marBottom w:val="0"/>
              <w:divBdr>
                <w:top w:val="none" w:sz="0" w:space="0" w:color="auto"/>
                <w:left w:val="none" w:sz="0" w:space="0" w:color="auto"/>
                <w:bottom w:val="none" w:sz="0" w:space="0" w:color="auto"/>
                <w:right w:val="none" w:sz="0" w:space="0" w:color="auto"/>
              </w:divBdr>
              <w:divsChild>
                <w:div w:id="4844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72580">
      <w:bodyDiv w:val="1"/>
      <w:marLeft w:val="0"/>
      <w:marRight w:val="0"/>
      <w:marTop w:val="0"/>
      <w:marBottom w:val="0"/>
      <w:divBdr>
        <w:top w:val="none" w:sz="0" w:space="0" w:color="auto"/>
        <w:left w:val="none" w:sz="0" w:space="0" w:color="auto"/>
        <w:bottom w:val="none" w:sz="0" w:space="0" w:color="auto"/>
        <w:right w:val="none" w:sz="0" w:space="0" w:color="auto"/>
      </w:divBdr>
    </w:div>
    <w:div w:id="2129396640">
      <w:bodyDiv w:val="1"/>
      <w:marLeft w:val="0"/>
      <w:marRight w:val="0"/>
      <w:marTop w:val="0"/>
      <w:marBottom w:val="0"/>
      <w:divBdr>
        <w:top w:val="none" w:sz="0" w:space="0" w:color="auto"/>
        <w:left w:val="none" w:sz="0" w:space="0" w:color="auto"/>
        <w:bottom w:val="none" w:sz="0" w:space="0" w:color="auto"/>
        <w:right w:val="none" w:sz="0" w:space="0" w:color="auto"/>
      </w:divBdr>
    </w:div>
    <w:div w:id="2131319718">
      <w:bodyDiv w:val="1"/>
      <w:marLeft w:val="0"/>
      <w:marRight w:val="0"/>
      <w:marTop w:val="0"/>
      <w:marBottom w:val="0"/>
      <w:divBdr>
        <w:top w:val="none" w:sz="0" w:space="0" w:color="auto"/>
        <w:left w:val="none" w:sz="0" w:space="0" w:color="auto"/>
        <w:bottom w:val="none" w:sz="0" w:space="0" w:color="auto"/>
        <w:right w:val="none" w:sz="0" w:space="0" w:color="auto"/>
      </w:divBdr>
    </w:div>
    <w:div w:id="2134248166">
      <w:bodyDiv w:val="1"/>
      <w:marLeft w:val="0"/>
      <w:marRight w:val="0"/>
      <w:marTop w:val="0"/>
      <w:marBottom w:val="0"/>
      <w:divBdr>
        <w:top w:val="none" w:sz="0" w:space="0" w:color="auto"/>
        <w:left w:val="none" w:sz="0" w:space="0" w:color="auto"/>
        <w:bottom w:val="none" w:sz="0" w:space="0" w:color="auto"/>
        <w:right w:val="none" w:sz="0" w:space="0" w:color="auto"/>
      </w:divBdr>
    </w:div>
    <w:div w:id="2136750611">
      <w:bodyDiv w:val="1"/>
      <w:marLeft w:val="0"/>
      <w:marRight w:val="0"/>
      <w:marTop w:val="0"/>
      <w:marBottom w:val="0"/>
      <w:divBdr>
        <w:top w:val="none" w:sz="0" w:space="0" w:color="auto"/>
        <w:left w:val="none" w:sz="0" w:space="0" w:color="auto"/>
        <w:bottom w:val="none" w:sz="0" w:space="0" w:color="auto"/>
        <w:right w:val="none" w:sz="0" w:space="0" w:color="auto"/>
      </w:divBdr>
    </w:div>
    <w:div w:id="2137529654">
      <w:bodyDiv w:val="1"/>
      <w:marLeft w:val="0"/>
      <w:marRight w:val="0"/>
      <w:marTop w:val="0"/>
      <w:marBottom w:val="0"/>
      <w:divBdr>
        <w:top w:val="none" w:sz="0" w:space="0" w:color="auto"/>
        <w:left w:val="none" w:sz="0" w:space="0" w:color="auto"/>
        <w:bottom w:val="none" w:sz="0" w:space="0" w:color="auto"/>
        <w:right w:val="none" w:sz="0" w:space="0" w:color="auto"/>
      </w:divBdr>
    </w:div>
    <w:div w:id="2137944040">
      <w:bodyDiv w:val="1"/>
      <w:marLeft w:val="0"/>
      <w:marRight w:val="0"/>
      <w:marTop w:val="0"/>
      <w:marBottom w:val="0"/>
      <w:divBdr>
        <w:top w:val="none" w:sz="0" w:space="0" w:color="auto"/>
        <w:left w:val="none" w:sz="0" w:space="0" w:color="auto"/>
        <w:bottom w:val="none" w:sz="0" w:space="0" w:color="auto"/>
        <w:right w:val="none" w:sz="0" w:space="0" w:color="auto"/>
      </w:divBdr>
    </w:div>
    <w:div w:id="2138259658">
      <w:bodyDiv w:val="1"/>
      <w:marLeft w:val="0"/>
      <w:marRight w:val="0"/>
      <w:marTop w:val="0"/>
      <w:marBottom w:val="0"/>
      <w:divBdr>
        <w:top w:val="none" w:sz="0" w:space="0" w:color="auto"/>
        <w:left w:val="none" w:sz="0" w:space="0" w:color="auto"/>
        <w:bottom w:val="none" w:sz="0" w:space="0" w:color="auto"/>
        <w:right w:val="none" w:sz="0" w:space="0" w:color="auto"/>
      </w:divBdr>
    </w:div>
    <w:div w:id="2144225863">
      <w:bodyDiv w:val="1"/>
      <w:marLeft w:val="0"/>
      <w:marRight w:val="0"/>
      <w:marTop w:val="0"/>
      <w:marBottom w:val="0"/>
      <w:divBdr>
        <w:top w:val="none" w:sz="0" w:space="0" w:color="auto"/>
        <w:left w:val="none" w:sz="0" w:space="0" w:color="auto"/>
        <w:bottom w:val="none" w:sz="0" w:space="0" w:color="auto"/>
        <w:right w:val="none" w:sz="0" w:space="0" w:color="auto"/>
      </w:divBdr>
    </w:div>
    <w:div w:id="214638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chre Thesis">
      <a:dk1>
        <a:srgbClr val="941100"/>
      </a:dk1>
      <a:lt1>
        <a:srgbClr val="FFFFFF"/>
      </a:lt1>
      <a:dk2>
        <a:srgbClr val="696464"/>
      </a:dk2>
      <a:lt2>
        <a:srgbClr val="E9E5DC"/>
      </a:lt2>
      <a:accent1>
        <a:srgbClr val="941100"/>
      </a:accent1>
      <a:accent2>
        <a:srgbClr val="941100"/>
      </a:accent2>
      <a:accent3>
        <a:srgbClr val="000000"/>
      </a:accent3>
      <a:accent4>
        <a:srgbClr val="956251"/>
      </a:accent4>
      <a:accent5>
        <a:srgbClr val="918485"/>
      </a:accent5>
      <a:accent6>
        <a:srgbClr val="855D5D"/>
      </a:accent6>
      <a:hlink>
        <a:srgbClr val="CC9900"/>
      </a:hlink>
      <a:folHlink>
        <a:srgbClr val="96A9A9"/>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Hal08</b:Tag>
    <b:SourceType>JournalArticle</b:SourceType>
    <b:Guid>{DEC82FFD-636D-4941-B954-828EDB31FB32}</b:Guid>
    <b:Title>Infant Death in Late Prehistoric Southeast Asia</b:Title>
    <b:Year>2008</b:Year>
    <b:Author>
      <b:Author>
        <b:NameList>
          <b:Person>
            <b:Last>Halcrow</b:Last>
            <b:Middle>E</b:Middle>
            <b:First>Siân</b:First>
          </b:Person>
          <b:Person>
            <b:Last>Tayles</b:Last>
            <b:First>Nancy</b:First>
          </b:Person>
          <b:Person>
            <b:Last>Livingstone</b:Last>
            <b:First>Vicki</b:First>
          </b:Person>
        </b:NameList>
      </b:Author>
    </b:Author>
    <b:JournalName>Asian Perspectives</b:JournalName>
    <b:Volume>47</b:Volume>
    <b:Issue>2</b:Issue>
    <b:Pages>371-404</b:Pages>
    <b:RefOrder>2</b:RefOrder>
  </b:Source>
  <b:Source>
    <b:Tag>Bui94</b:Tag>
    <b:SourceType>Book</b:SourceType>
    <b:Guid>{86B3A2DE-6A2D-6B42-AAE7-4111028C560A}</b:Guid>
    <b:Title>Standards for Data Collection from Human Skeletal Remains</b:Title>
    <b:Year>1994</b:Year>
    <b:City>Fayetteville, Arkansas</b:City>
    <b:Publisher>Arkansas archeological survey research series no 44.</b:Publisher>
    <b:Author>
      <b:Author>
        <b:NameList>
          <b:Person>
            <b:Last>Buikstra</b:Last>
            <b:Middle>E </b:Middle>
            <b:First>J</b:First>
          </b:Person>
          <b:Person>
            <b:Last>Ubelaker</b:Last>
            <b:Middle>H</b:Middle>
            <b:First>D</b:First>
          </b:Person>
        </b:NameList>
      </b:Author>
    </b:Author>
    <b:RefOrder>3</b:RefOrder>
  </b:Source>
  <b:Source>
    <b:Tag>Smi14</b:Tag>
    <b:SourceType>InternetSite</b:SourceType>
    <b:Guid>{12FC202F-C825-134C-9CEE-D838A79B0C17}</b:Guid>
    <b:Title>Encyclopedia of Global Archaeology</b:Title>
    <b:Year>2014</b:Year>
    <b:Author>
      <b:Author>
        <b:NameList>
          <b:Person>
            <b:Last>Smith</b:Last>
            <b:First>C</b:First>
          </b:Person>
        </b:NameList>
      </b:Author>
    </b:Author>
    <b:URL>https://link.springer.com/referenceworkentry/10.1007%2F978-1-4419-0465-2_132</b:URL>
    <b:YearAccessed>2020</b:YearAccessed>
    <b:MonthAccessed>02</b:MonthAccessed>
    <b:DayAccessed>11</b:DayAccessed>
    <b:RefOrder>4</b:RefOrder>
  </b:Source>
  <b:Source>
    <b:Tag>Bla18</b:Tag>
    <b:SourceType>BookSection</b:SourceType>
    <b:Guid>{43F41112-8138-334B-A5C7-C0F74103B3BD}</b:Guid>
    <b:Title>The Biology of the Fetal Period: Interpreting life from fetal skeletal remains</b:Title>
    <b:Year>2018</b:Year>
    <b:BookTitle>The Anthropology of the Fetus: Biology, Cultutre and Society</b:BookTitle>
    <b:City>Oxford</b:City>
    <b:Publisher>Berghahn</b:Publisher>
    <b:Pages>34-58</b:Pages>
    <b:Author>
      <b:Author>
        <b:NameList>
          <b:Person>
            <b:Last>Blake</b:Last>
            <b:Middle>A S</b:Middle>
            <b:First>K</b:First>
          </b:Person>
        </b:NameList>
      </b:Author>
      <b:Editor>
        <b:NameList>
          <b:Person>
            <b:Last>Han</b:Last>
            <b:First>S</b:First>
          </b:Person>
          <b:Person>
            <b:Last>Betsinger</b:Last>
            <b:Middle>K</b:Middle>
            <b:First>T</b:First>
          </b:Person>
          <b:Person>
            <b:Last>Scott</b:Last>
            <b:Middle>B</b:Middle>
            <b:First>A</b:First>
          </b:Person>
        </b:NameList>
      </b:Editor>
    </b:Author>
    <b:RefOrder>5</b:RefOrder>
  </b:Source>
  <b:Source>
    <b:Tag>Sch00</b:Tag>
    <b:SourceType>BookSection</b:SourceType>
    <b:Guid>{5E51EE76-A337-A148-B0F2-01C4611B3C7F}</b:Guid>
    <b:Title>Development and Ageing of the Juvenile Skeleton</b:Title>
    <b:BookTitle>Human Osteology in Archaeology and Forensic Science</b:BookTitle>
    <b:City>Cambridge</b:City>
    <b:Publisher>Cambridge University Press</b:Publisher>
    <b:Year>2000</b:Year>
    <b:Pages>9-22</b:Pages>
    <b:Author>
      <b:Author>
        <b:NameList>
          <b:Person>
            <b:Last>Scheuer</b:Last>
            <b:First>L</b:First>
          </b:Person>
          <b:Person>
            <b:Last>Black</b:Last>
            <b:First>S</b:First>
          </b:Person>
        </b:NameList>
      </b:Author>
      <b:Editor>
        <b:NameList>
          <b:Person>
            <b:Last>Cox</b:Last>
            <b:First>M</b:First>
          </b:Person>
          <b:Person>
            <b:Last>Mays</b:Last>
            <b:First>S</b:First>
          </b:Person>
        </b:NameList>
      </b:Editor>
    </b:Author>
    <b:RefOrder>6</b:RefOrder>
  </b:Source>
  <b:Source>
    <b:Tag>Lew00</b:Tag>
    <b:SourceType>BookSection</b:SourceType>
    <b:Guid>{86CE409A-1D50-7E4A-A10E-F8DA795803B0}</b:Guid>
    <b:Title>Non-adult Palaeopathology: Current Status and Future Potential</b:Title>
    <b:BookTitle>Human Osteology in Archaeology and Forensic Anthropology</b:BookTitle>
    <b:City>Cambridge</b:City>
    <b:Publisher>Cambridge University Press</b:Publisher>
    <b:Year>2000</b:Year>
    <b:Pages>39-57</b:Pages>
    <b:Author>
      <b:Author>
        <b:NameList>
          <b:Person>
            <b:Last>Lewis</b:Last>
            <b:Middle>E</b:Middle>
            <b:First>M</b:First>
          </b:Person>
        </b:NameList>
      </b:Author>
      <b:Editor>
        <b:NameList>
          <b:Person>
            <b:Last>Cox</b:Last>
            <b:First>M</b:First>
          </b:Person>
          <b:Person>
            <b:Last>Mays</b:Last>
            <b:First>S</b:First>
          </b:Person>
        </b:NameList>
      </b:Editor>
    </b:Author>
    <b:RefOrder>7</b:RefOrder>
  </b:Source>
  <b:Source>
    <b:Tag>Hig90</b:Tag>
    <b:SourceType>Book</b:SourceType>
    <b:Guid>{EAB97B13-64F5-E84B-840F-3DD4BA3382A1}</b:Guid>
    <b:Title>The Excavation of Khok Phanom Di, A Prehistoric Site in Central Thailand, Volume: I The Excavation, Chronology and Human Burials</b:Title>
    <b:City>London</b:City>
    <b:Publisher>The Society of Antiquaries</b:Publisher>
    <b:Year>1990</b:Year>
    <b:Author>
      <b:Author>
        <b:NameList>
          <b:Person>
            <b:Last>Higham</b:Last>
            <b:Middle>F W</b:Middle>
            <b:First>C</b:First>
          </b:Person>
          <b:Person>
            <b:Last>Bannanurag</b:Last>
            <b:First>R</b:First>
          </b:Person>
        </b:NameList>
      </b:Author>
    </b:Author>
    <b:RefOrder>8</b:RefOrder>
  </b:Source>
  <b:Source>
    <b:Tag>Tay99</b:Tag>
    <b:SourceType>Book</b:SourceType>
    <b:Guid>{4D3B9F30-9A4D-D542-AB6F-64C41084C822}</b:Guid>
    <b:Title>The Excavation of Khok Phanom Di, A Prehistoric Site in Central Thailand, Volume V: The People</b:Title>
    <b:City>London</b:City>
    <b:Publisher>The Society of Antiquaries</b:Publisher>
    <b:Year>1999</b:Year>
    <b:Author>
      <b:Author>
        <b:NameList>
          <b:Person>
            <b:Last>Tayles</b:Last>
            <b:First>N</b:First>
          </b:Person>
        </b:NameList>
      </b:Author>
    </b:Author>
    <b:RefOrder>9</b:RefOrder>
  </b:Source>
  <b:Source>
    <b:Tag>Wal09</b:Tag>
    <b:SourceType>Book</b:SourceType>
    <b:Guid>{7111F45B-1C0F-594B-B363-E46708DDBC99}</b:Guid>
    <b:Title>Palaeopathology</b:Title>
    <b:City>Cambridge</b:City>
    <b:Publisher>Cambridge University Press</b:Publisher>
    <b:Year>2009</b:Year>
    <b:Author>
      <b:Author>
        <b:NameList>
          <b:Person>
            <b:Last>Waldron</b:Last>
            <b:First>T</b:First>
          </b:Person>
        </b:NameList>
      </b:Author>
    </b:Author>
    <b:RefOrder>10</b:RefOrder>
  </b:Source>
  <b:Source>
    <b:Tag>Eve90</b:Tag>
    <b:SourceType>Book</b:SourceType>
    <b:Guid>{6A710B96-27D2-EC4C-A037-12FEAB1CA69F}</b:Guid>
    <b:Title>Worldwide Variation in Human Growth</b:Title>
    <b:City>Cambridge</b:City>
    <b:Publisher>Cambridge University Press</b:Publisher>
    <b:Year>1990</b:Year>
    <b:Edition>2nd Edition</b:Edition>
    <b:Author>
      <b:Author>
        <b:NameList>
          <b:Person>
            <b:Last>Eveleth</b:Last>
            <b:Middle>B</b:Middle>
            <b:First>P</b:First>
          </b:Person>
          <b:Person>
            <b:Last>Tanner</b:Last>
            <b:Middle>M</b:Middle>
            <b:First>J</b:First>
          </b:Person>
        </b:NameList>
      </b:Author>
    </b:Author>
    <b:RefOrder>11</b:RefOrder>
  </b:Source>
  <b:Source>
    <b:Tag>Sch04</b:Tag>
    <b:SourceType>Book</b:SourceType>
    <b:Guid>{6D5504AC-4F6D-AD49-B377-90EC449E9012}</b:Guid>
    <b:Title>The Juvenile Skeleton</b:Title>
    <b:City>London</b:City>
    <b:Publisher>Elsevier Academic Press</b:Publisher>
    <b:Year>2004</b:Year>
    <b:Author>
      <b:Author>
        <b:NameList>
          <b:Person>
            <b:Last>Scheuer</b:Last>
            <b:First>L</b:First>
          </b:Person>
          <b:Person>
            <b:Last>Black</b:Last>
            <b:First>S</b:First>
          </b:Person>
        </b:NameList>
      </b:Author>
    </b:Author>
    <b:RefOrder>12</b:RefOrder>
  </b:Source>
  <b:Source>
    <b:Tag>Rut18</b:Tag>
    <b:SourceType>BookSection</b:SourceType>
    <b:Guid>{94C03CBA-EAE5-EE41-B996-87D8E41971DE}</b:Guid>
    <b:Title>The Borderless Fetus: Temporal Complexity of the Lived Fetal Experience</b:Title>
    <b:City>New York</b:City>
    <b:Publisher>Berghahn</b:Publisher>
    <b:Year>2018</b:Year>
    <b:BookTitle>The Anthroplogy of the Fetus</b:BookTitle>
    <b:Pages>15-33</b:Pages>
    <b:Author>
      <b:Author>
        <b:NameList>
          <b:Person>
            <b:Last>Rutherford</b:Last>
            <b:First>J</b:First>
          </b:Person>
        </b:NameList>
      </b:Author>
    </b:Author>
    <b:RefOrder>13</b:RefOrder>
  </b:Source>
  <b:Source>
    <b:Tag>Kin09</b:Tag>
    <b:SourceType>JournalArticle</b:SourceType>
    <b:Guid>{BD728C2C-06DA-134C-B183-1A97C093D1B3}</b:Guid>
    <b:Title>Investigating foetal and perinatal mortality in prehistoric skeletal samples: a case study from a 3000-year-old Pacific Island cemetery site</b:Title>
    <b:Year>2009</b:Year>
    <b:Pages>2780-2787</b:Pages>
    <b:JournalName>Journal of Archaeological Science</b:JournalName>
    <b:Volume>36</b:Volume>
    <b:Author>
      <b:Author>
        <b:NameList>
          <b:Person>
            <b:Last>Kinaston</b:Last>
            <b:Middle>L</b:Middle>
            <b:First>R</b:First>
          </b:Person>
          <b:Person>
            <b:Last>Buckley</b:Last>
            <b:Middle>R</b:Middle>
            <b:First>H</b:First>
          </b:Person>
          <b:Person>
            <b:Last>Halcrow</b:Last>
            <b:Middle>E</b:Middle>
            <b:First>S</b:First>
          </b:Person>
          <b:Person>
            <b:Last>Spriggs</b:Last>
            <b:Middle>J T</b:Middle>
            <b:First>M</b:First>
          </b:Person>
          <b:Person>
            <b:Last>Bedford</b:Last>
            <b:First>S</b:First>
          </b:Person>
          <b:Person>
            <b:Last>Neal</b:Last>
            <b:First>K</b:First>
          </b:Person>
          <b:Person>
            <b:Last>Gray</b:Last>
            <b:First>A</b:First>
          </b:Person>
        </b:NameList>
      </b:Author>
    </b:Author>
    <b:RefOrder>14</b:RefOrder>
  </b:Source>
  <b:Source>
    <b:Tag>Hal12</b:Tag>
    <b:SourceType>JournalArticle</b:SourceType>
    <b:Guid>{E998C27E-8A97-F649-86A0-D9B73918DAF8}</b:Guid>
    <b:Title>Newborn twins from prehistoric mainland Southeast Asia: birth, death and personhood</b:Title>
    <b:JournalName>Antiquity</b:JournalName>
    <b:Year>2012</b:Year>
    <b:Volume>86</b:Volume>
    <b:Pages>838-852</b:Pages>
    <b:Author>
      <b:Author>
        <b:NameList>
          <b:Person>
            <b:Last>Halcrow</b:Last>
            <b:First>Sian</b:First>
          </b:Person>
          <b:Person>
            <b:Last>Tayles</b:Last>
            <b:First>N</b:First>
          </b:Person>
          <b:Person>
            <b:Last>Inglis</b:Last>
            <b:First>R</b:First>
          </b:Person>
          <b:Person>
            <b:Last>Higham</b:Last>
            <b:First>C</b:First>
          </b:Person>
        </b:NameList>
      </b:Author>
    </b:Author>
    <b:RefOrder>15</b:RefOrder>
  </b:Source>
  <b:Source>
    <b:Tag>Ben07</b:Tag>
    <b:SourceType>JournalArticle</b:SourceType>
    <b:Guid>{B3B1A0A4-89BB-2A45-A825-90053959E2EE}</b:Guid>
    <b:Title>Shifting Gender Relations at Khok Phanom Di, Thailand: Isotopic Evidence from the Skeletons</b:Title>
    <b:JournalName>Current Anthropology</b:JournalName>
    <b:Year>2007</b:Year>
    <b:Volume>48</b:Volume>
    <b:Issue>2</b:Issue>
    <b:Pages>301-314</b:Pages>
    <b:Author>
      <b:Author>
        <b:NameList>
          <b:Person>
            <b:Last>Bentley</b:Last>
            <b:First>A</b:First>
          </b:Person>
          <b:Person>
            <b:Last>Tayles</b:Last>
            <b:First>N</b:First>
          </b:Person>
          <b:Person>
            <b:Last>Higham</b:Last>
            <b:First>C</b:First>
          </b:Person>
          <b:Person>
            <b:Last>Macpherson</b:Last>
            <b:First>C</b:First>
          </b:Person>
          <b:Person>
            <b:Last>Atkinson</b:Last>
            <b:First>T</b:First>
          </b:Person>
        </b:NameList>
      </b:Author>
    </b:Author>
    <b:RefOrder>16</b:RefOrder>
  </b:Source>
  <b:Source>
    <b:Tag>Hig89</b:Tag>
    <b:SourceType>JournalArticle</b:SourceType>
    <b:Guid>{CDC0F234-4C05-1646-873A-F54F4C4EFD1A}</b:Guid>
    <b:Title>Social Organisation at Khok Phanom Di, Central Thailand (2000-1500 B.C.)</b:Title>
    <b:JournalName>Arts Asiatiques</b:JournalName>
    <b:Year>1989</b:Year>
    <b:Volume>44</b:Volume>
    <b:Pages>25-43</b:Pages>
    <b:Author>
      <b:Author>
        <b:NameList>
          <b:Person>
            <b:Last>Higham</b:Last>
            <b:Middle>F W</b:Middle>
            <b:First>C</b:First>
          </b:Person>
        </b:NameList>
      </b:Author>
    </b:Author>
    <b:RefOrder>17</b:RefOrder>
  </b:Source>
  <b:Source>
    <b:Tag>Vin04</b:Tag>
    <b:SourceType>Book</b:SourceType>
    <b:Guid>{A1BE5F44-85DC-5349-9F3D-9F8C65CCB464}</b:Guid>
    <b:Title>The Excavation of Khok Phanom Di, A Prehistoric Site in Central Thailand, Volume VI: The Material Culture (Part II)</b:Title>
    <b:City>London</b:City>
    <b:Publisher>The Society of Antiquaries</b:Publisher>
    <b:Year>2004</b:Year>
    <b:Author>
      <b:Author>
        <b:NameList>
          <b:Person>
            <b:Last>Vincent</b:Last>
            <b:Middle>A</b:Middle>
            <b:First>B</b:First>
          </b:Person>
        </b:NameList>
      </b:Author>
    </b:Author>
    <b:RefOrder>18</b:RefOrder>
  </b:Source>
  <b:Source>
    <b:Tag>Tho96</b:Tag>
    <b:SourceType>Book</b:SourceType>
    <b:Guid>{8B88E01B-86DD-3742-91F5-EEE8743977F4}</b:Guid>
    <b:Title>The Excavation of Khok Phanom Di, A Prehistoric Site in Central Thailand, Volume 4: Subsistence and Environment - The Botanical Evidence</b:Title>
    <b:City>London</b:City>
    <b:Publisher>The Society of Antiquaries</b:Publisher>
    <b:Year>1996</b:Year>
    <b:Author>
      <b:Author>
        <b:NameList>
          <b:Person>
            <b:Last>Thompson</b:Last>
            <b:Middle>B</b:Middle>
            <b:First>G</b:First>
          </b:Person>
          <b:Person>
            <b:Last>Higham</b:Last>
            <b:Middle>F W</b:Middle>
            <b:First>C</b:First>
          </b:Person>
        </b:NameList>
      </b:Author>
    </b:Author>
    <b:RefOrder>19</b:RefOrder>
  </b:Source>
  <b:Source>
    <b:Tag>Hig04</b:Tag>
    <b:SourceType>Book</b:SourceType>
    <b:Guid>{1F5A8E0F-A92F-614D-B0FA-9120AAF35377}</b:Guid>
    <b:Title>The Excavation of Khok Phanom Di, A Prehistoric Site in Central Thailand, Volume VII: Summary and Conclusions</b:Title>
    <b:City>London</b:City>
    <b:Publisher>The Society of Antiquaries</b:Publisher>
    <b:Year>2004</b:Year>
    <b:Author>
      <b:Author>
        <b:NameList>
          <b:Person>
            <b:Last>Higham</b:Last>
            <b:Middle>F W</b:Middle>
            <b:First>C</b:First>
          </b:Person>
          <b:Person>
            <b:Last>Thosarat</b:Last>
            <b:First>R</b:First>
          </b:Person>
        </b:NameList>
      </b:Author>
    </b:Author>
    <b:RefOrder>20</b:RefOrder>
  </b:Source>
  <b:Source>
    <b:Tag>Hig93</b:Tag>
    <b:SourceType>Book</b:SourceType>
    <b:Guid>{8CBE70DB-5EA9-5844-8DA4-6154F3DFCCE1}</b:Guid>
    <b:Title>The Excavation of Khok Phanom Di, A Prehistoric Site in Central Thailand, Volume: III The Material Culture (Part I)</b:Title>
    <b:City>London</b:City>
    <b:Publisher>The Society of Antiquaries</b:Publisher>
    <b:Year>1993</b:Year>
    <b:Author>
      <b:Author>
        <b:NameList>
          <b:Person>
            <b:Last>Higham</b:Last>
            <b:Middle>F W</b:Middle>
            <b:First>C</b:First>
          </b:Person>
          <b:Person>
            <b:Last>Thosarat</b:Last>
            <b:First>R</b:First>
          </b:Person>
        </b:NameList>
      </b:Author>
    </b:Author>
    <b:RefOrder>21</b:RefOrder>
  </b:Source>
  <b:Source>
    <b:Tag>Hig91</b:Tag>
    <b:SourceType>Book</b:SourceType>
    <b:Guid>{90E65D29-7090-744A-823B-3B71D92D6AEF}</b:Guid>
    <b:Title>The Excavation of Khok Phanom Di, A Prehistoric Site in Central Thailand, Volume: II The Biological Remains (Part I)</b:Title>
    <b:Year>1991</b:Year>
    <b:Author>
      <b:Author>
        <b:NameList>
          <b:Person>
            <b:Last>Higham</b:Last>
            <b:Middle>F W</b:Middle>
            <b:First>C</b:First>
          </b:Person>
          <b:Person>
            <b:Last>Bannanurag</b:Last>
            <b:First>R</b:First>
          </b:Person>
        </b:NameList>
      </b:Author>
    </b:Author>
    <b:City>London</b:City>
    <b:Publisher>The Society of Antiquaries</b:Publisher>
    <b:RefOrder>22</b:RefOrder>
  </b:Source>
  <b:Source>
    <b:Tag>Pie02</b:Tag>
    <b:SourceType>Book</b:SourceType>
    <b:Guid>{86FEBF07-6F3C-5A47-B0D7-350CD9D17E38}</b:Guid>
    <b:Title>Ban Chiang, a Prehistoric Village Site in Nort-east Thailand I: The Human Skeletal Remains</b:Title>
    <b:City>Philadelphia</b:City>
    <b:Year>2002</b:Year>
    <b:Author>
      <b:Author>
        <b:NameList>
          <b:Person>
            <b:Last>Pietrusewsky</b:Last>
            <b:First>M</b:First>
          </b:Person>
          <b:Person>
            <b:Last>Douglas</b:Last>
            <b:Middle>T</b:Middle>
            <b:First>M</b:First>
          </b:Person>
        </b:NameList>
      </b:Author>
    </b:Author>
    <b:RefOrder>23</b:RefOrder>
  </b:Source>
  <b:Source>
    <b:Tag>Moo93</b:Tag>
    <b:SourceType>BookSection</b:SourceType>
    <b:Guid>{FBCA7101-750C-704C-8307-23AE6D189765}</b:Guid>
    <b:Title>The Burnishing Stone</b:Title>
    <b:BookTitle>The Excavation of Khok Phanom Di, A Prehistoric Site in Central Thailand, Volume: III The Material Culture (Part I)</b:BookTitle>
    <b:City>London</b:City>
    <b:Publisher>The Society of Antiquaries</b:Publisher>
    <b:Year>1993</b:Year>
    <b:Pages>105-118</b:Pages>
    <b:Author>
      <b:Author>
        <b:NameList>
          <b:Person>
            <b:Last>Moore</b:Last>
            <b:Middle>N</b:Middle>
            <b:First>M</b:First>
          </b:Person>
        </b:NameList>
      </b:Author>
      <b:Editor>
        <b:NameList>
          <b:Person>
            <b:Last>Higham</b:Last>
            <b:Middle>F W</b:Middle>
            <b:First>C</b:First>
          </b:Person>
          <b:Person>
            <b:Last>Thosarat</b:Last>
            <b:First>R</b:First>
          </b:Person>
        </b:NameList>
      </b:Editor>
    </b:Author>
    <b:RefOrder>24</b:RefOrder>
  </b:Source>
  <b:Source>
    <b:Tag>Pis</b:Tag>
    <b:SourceType>BookSection</b:SourceType>
    <b:Guid>{80538590-DDD6-B042-B789-90CF1215D2E9}</b:Guid>
    <b:Title>The Industrial Stone Technology</b:Title>
    <b:Author>
      <b:Author>
        <b:NameList>
          <b:Person>
            <b:Last>Pisnupong</b:Last>
            <b:First>P</b:First>
          </b:Person>
        </b:NameList>
      </b:Author>
      <b:Editor>
        <b:NameList>
          <b:Person>
            <b:Last>Higham</b:Last>
            <b:Middle>F W</b:Middle>
            <b:First>C</b:First>
          </b:Person>
          <b:Person>
            <b:Last>Thosarat</b:Last>
            <b:First>R</b:First>
          </b:Person>
        </b:NameList>
      </b:Editor>
    </b:Author>
    <b:BookTitle>The Excavation of Khok Phanom Di, A Prehistoric Site in Central Thailand, Volume: III The Material Culture (Part I)</b:BookTitle>
    <b:City>London</b:City>
    <b:Publisher>The Society of Antiquaries</b:Publisher>
    <b:Year>1993</b:Year>
    <b:Pages>45-104</b:Pages>
    <b:RefOrder>25</b:RefOrder>
  </b:Source>
  <b:Source>
    <b:Tag>Pil93</b:Tag>
    <b:SourceType>BookSection</b:SourceType>
    <b:Guid>{6C67E87B-7280-1B4F-A0AC-9A6853EC6B7C}</b:Guid>
    <b:Title>The Personal Ornaments</b:Title>
    <b:BookTitle>The Excavation of Khok Phanom Di, A Prehistoric Site in Central Thailand, Volume: III The Material Culture (Part I)</b:BookTitle>
    <b:City>London</b:City>
    <b:Publisher>The Society Antiquaries</b:Publisher>
    <b:Year>1993</b:Year>
    <b:Pages>119-176</b:Pages>
    <b:Author>
      <b:Author>
        <b:NameList>
          <b:Person>
            <b:Last>Pilditch</b:Last>
            <b:Middle>S</b:Middle>
            <b:First>J</b:First>
          </b:Person>
        </b:NameList>
      </b:Author>
      <b:Editor>
        <b:NameList>
          <b:Person>
            <b:Last>Higham</b:Last>
            <b:Middle>F W</b:Middle>
            <b:First>C</b:First>
          </b:Person>
          <b:Person>
            <b:Last>Thosarat</b:Last>
            <b:First>R</b:First>
          </b:Person>
        </b:NameList>
      </b:Editor>
    </b:Author>
    <b:RefOrder>26</b:RefOrder>
  </b:Source>
  <b:Source>
    <b:Tag>Hal93</b:Tag>
    <b:SourceType>BookSection</b:SourceType>
    <b:Guid>{2649C3A8-CC32-6F42-8E28-8A30F51CBAE6}</b:Guid>
    <b:Title>Aspects of the Pottery Decoration</b:Title>
    <b:BookTitle>The Excavation of Khok Phanom Di, A Prehistoric Site in Central Thailand, Volume: III The Material Culture (Part I)</b:BookTitle>
    <b:City>London</b:City>
    <b:Publisher>The Society of Antiquaries</b:Publisher>
    <b:Year>1993</b:Year>
    <b:Pages>239-274</b:Pages>
    <b:Author>
      <b:Author>
        <b:NameList>
          <b:Person>
            <b:Last>Hall</b:Last>
            <b:Middle>D</b:Middle>
            <b:First>M</b:First>
          </b:Person>
        </b:NameList>
      </b:Author>
      <b:Editor>
        <b:NameList>
          <b:Person>
            <b:Last>Higham</b:Last>
            <b:Middle>F W</b:Middle>
            <b:First>C</b:First>
          </b:Person>
          <b:Person>
            <b:Last>Thosarat</b:Last>
            <b:First>R</b:First>
          </b:Person>
        </b:NameList>
      </b:Editor>
    </b:Author>
    <b:RefOrder>27</b:RefOrder>
  </b:Source>
  <b:Source>
    <b:Tag>Mat14</b:Tag>
    <b:SourceType>JournalArticle</b:SourceType>
    <b:Guid>{1248ED68-8074-9E4C-A2D0-D58FC1D7603A}</b:Guid>
    <b:Title>Demographic Transitions and Migration in Prehistoric East/Southeast Asia Through the Lens of Nonmetric Dental Traits</b:Title>
    <b:Year>2014</b:Year>
    <b:Pages>45-65</b:Pages>
    <b:Author>
      <b:Author>
        <b:NameList>
          <b:Person>
            <b:Last>Matsumura</b:Last>
            <b:First>H</b:First>
          </b:Person>
          <b:Person>
            <b:Last>Oxenham</b:Last>
            <b:Middle>F</b:Middle>
            <b:First>M</b:First>
          </b:Person>
        </b:NameList>
      </b:Author>
    </b:Author>
    <b:JournalName>American Journal of Physical Anthropology</b:JournalName>
    <b:Volume>155</b:Volume>
    <b:RefOrder>28</b:RefOrder>
  </b:Source>
  <b:Source>
    <b:Tag>Mat16</b:Tag>
    <b:SourceType>Report</b:SourceType>
    <b:Guid>{9C8A1C18-9FD7-5D42-AF51-B969EA0B4A7E}</b:Guid>
    <b:Title>Complete Report of Research Project</b:Title>
    <b:Year>2016</b:Year>
    <b:Publisher>National Research Council of Thailand</b:Publisher>
    <b:City>Bangkok</b:City>
    <b:Author>
      <b:Author>
        <b:NameList>
          <b:Person>
            <b:Last>Matsumura</b:Last>
            <b:First>H</b:First>
          </b:Person>
        </b:NameList>
      </b:Author>
    </b:Author>
    <b:RefOrder>29</b:RefOrder>
  </b:Source>
  <b:Source>
    <b:Tag>Mat19</b:Tag>
    <b:SourceType>JournalArticle</b:SourceType>
    <b:Guid>{7EDC880C-AD8D-754F-B93F-DD882090191A}</b:Guid>
    <b:Title>Craniometrics Reveal "Two Layers" of Prehistoric Human Dispersal in Easter Eurasia</b:Title>
    <b:Year>2019</b:Year>
    <b:JournalName>Nature Scientific Reports</b:JournalName>
    <b:Volume>9</b:Volume>
    <b:Issue>1451</b:Issue>
    <b:Pages>1-12</b:Pages>
    <b:Author>
      <b:Author>
        <b:NameList>
          <b:Person>
            <b:Last>Matsumura</b:Last>
            <b:First>H</b:First>
          </b:Person>
          <b:Person>
            <b:Last>Hung</b:Last>
            <b:First>H</b:First>
          </b:Person>
          <b:Person>
            <b:Last>Higham</b:Last>
            <b:First>C</b:First>
            <b:Middle>F W</b:Middle>
          </b:Person>
          <b:Person>
            <b:Last>Zhang</b:Last>
            <b:First>C</b:First>
          </b:Person>
          <b:Person>
            <b:Last>Yamagata</b:Last>
            <b:First>M</b:First>
          </b:Person>
          <b:Person>
            <b:Last>Nguyen</b:Last>
            <b:First>L</b:First>
            <b:Middle>C</b:Middle>
          </b:Person>
          <b:Person>
            <b:Last>Li</b:Last>
            <b:First>Z</b:First>
          </b:Person>
          <b:Person>
            <b:Last>Fan</b:Last>
            <b:First>X</b:First>
          </b:Person>
          <b:Person>
            <b:Last>Simanjuntak</b:Last>
            <b:First>T</b:First>
          </b:Person>
          <b:Person>
            <b:Last>Oktaviana</b:Last>
            <b:First>A</b:First>
          </b:Person>
          <b:Person>
            <b:Last>He</b:Last>
            <b:First>J</b:First>
          </b:Person>
          <b:Person>
            <b:Last>Chen</b:Last>
            <b:First>C</b:First>
          </b:Person>
          <b:Person>
            <b:Last>Pan</b:Last>
            <b:First>C</b:First>
          </b:Person>
          <b:Person>
            <b:Last>He</b:Last>
            <b:First>G</b:First>
          </b:Person>
          <b:Person>
            <b:Last>Sun</b:Last>
            <b:First>G</b:First>
          </b:Person>
          <b:Person>
            <b:Last>Huang</b:Last>
            <b:First>W</b:First>
          </b:Person>
          <b:Person>
            <b:Last>Li</b:Last>
            <b:First>X</b:First>
          </b:Person>
          <b:Person>
            <b:Last>Wei</b:Last>
            <b:First>X</b:First>
          </b:Person>
          <b:Person>
            <b:Last>Domett</b:Last>
            <b:First>K</b:First>
          </b:Person>
          <b:Person>
            <b:Last>Halcrow</b:Last>
            <b:First>S</b:First>
          </b:Person>
          <b:Person>
            <b:Last>Nguyen</b:Last>
            <b:First>K</b:First>
          </b:Person>
          <b:Person>
            <b:Last>Trinh</b:Last>
            <b:First>H</b:First>
          </b:Person>
          <b:Person>
            <b:Last>Bui</b:Last>
            <b:First>C</b:First>
          </b:Person>
          <b:Person>
            <b:Last>Nguyen</b:Last>
            <b:First>K</b:First>
          </b:Person>
          <b:Person>
            <b:Last>Reinecke</b:Last>
          </b:Person>
        </b:NameList>
      </b:Author>
    </b:Author>
    <b:RefOrder>30</b:RefOrder>
  </b:Source>
  <b:Source>
    <b:Tag>Ren89</b:Tag>
    <b:SourceType>JournalArticle</b:SourceType>
    <b:Guid>{A7C195F1-4D90-954C-B609-9F4435FBEA63}</b:Guid>
    <b:Title>Models of Change in Language and Archaeology</b:Title>
    <b:JournalName>Transactions of the Philological Society</b:JournalName>
    <b:Year>1989</b:Year>
    <b:Volume>87</b:Volume>
    <b:Issue>2</b:Issue>
    <b:Pages>103-155</b:Pages>
    <b:Author>
      <b:Author>
        <b:NameList>
          <b:Person>
            <b:Last>Renfrew</b:Last>
            <b:First>C</b:First>
          </b:Person>
        </b:NameList>
      </b:Author>
    </b:Author>
    <b:RefOrder>31</b:RefOrder>
  </b:Source>
  <b:Source>
    <b:Tag>Ren92</b:Tag>
    <b:SourceType>BookSection</b:SourceType>
    <b:Guid>{04AC1436-71F1-B54F-A88B-38E8A46A3150}</b:Guid>
    <b:Title>World Languages and Human Dispersals: a minimalist view</b:Title>
    <b:Year>1992</b:Year>
    <b:Pages>11-68</b:Pages>
    <b:BookTitle>Transition to Modernity: Essaus on Power, Wealth and Belif</b:BookTitle>
    <b:City>Cambridge</b:City>
    <b:Publisher>Cambridge University Press</b:Publisher>
    <b:Author>
      <b:Author>
        <b:NameList>
          <b:Person>
            <b:Last>Renfrew</b:Last>
            <b:First>C</b:First>
          </b:Person>
        </b:NameList>
      </b:Author>
      <b:Editor>
        <b:NameList>
          <b:Person>
            <b:Last>Hall</b:Last>
            <b:Middle>A</b:Middle>
            <b:First>J</b:First>
          </b:Person>
          <b:Person>
            <b:Last>Jarvie</b:Last>
            <b:Middle>C</b:Middle>
            <b:First>I</b:First>
          </b:Person>
        </b:NameList>
      </b:Editor>
    </b:Author>
    <b:RefOrder>32</b:RefOrder>
  </b:Source>
  <b:Source>
    <b:Tag>Cox00</b:Tag>
    <b:SourceType>BookSection</b:SourceType>
    <b:Guid>{195472DF-01DB-FE43-823F-79E762B27195}</b:Guid>
    <b:Title>Ageing Adults from the Skeleton</b:Title>
    <b:BookTitle>Human Osteology in Archaeological and Forensic Science</b:BookTitle>
    <b:City>London</b:City>
    <b:Publisher>Greenwich Medical Media</b:Publisher>
    <b:Year>2000</b:Year>
    <b:Pages>61-81</b:Pages>
    <b:Author>
      <b:Author>
        <b:NameList>
          <b:Person>
            <b:Last>Cox </b:Last>
            <b:First>M</b:First>
          </b:Person>
        </b:NameList>
      </b:Author>
    </b:Author>
    <b:RefOrder>33</b:RefOrder>
  </b:Source>
  <b:Source>
    <b:Tag>Rob00</b:Tag>
    <b:SourceType>BookSection</b:SourceType>
    <b:Guid>{CC2BB2BC-AD2F-4148-A4B0-C9F6051D8194}</b:Guid>
    <b:Title>Analysing Human Skeletal Data</b:Title>
    <b:BookTitle>Human Osteology in Archaeology and Forensic Science</b:BookTitle>
    <b:City>Cambridge</b:City>
    <b:Publisher>Cambridge University Press</b:Publisher>
    <b:Year>2000</b:Year>
    <b:Pages>475-490</b:Pages>
    <b:Author>
      <b:Author>
        <b:NameList>
          <b:Person>
            <b:Last>Robb</b:Last>
            <b:First>J</b:First>
          </b:Person>
        </b:NameList>
      </b:Author>
      <b:Editor>
        <b:NameList>
          <b:Person>
            <b:Last>Cox</b:Last>
            <b:First>M</b:First>
          </b:Person>
          <b:Person>
            <b:Last>Mays</b:Last>
            <b:First>S</b:First>
          </b:Person>
        </b:NameList>
      </b:Editor>
    </b:Author>
    <b:RefOrder>34</b:RefOrder>
  </b:Source>
  <b:Source>
    <b:Tag>Bri17</b:Tag>
    <b:SourceType>BookSection</b:SourceType>
    <b:Guid>{A524D3FD-A4E7-944F-AFF9-63AC62C7B5A9}</b:Guid>
    <b:Title>Compiling a skeletal inventory: articulted inhumed bone</b:Title>
    <b:BookTitle>Updated Guidelines to the Standards for Recording Human Remains</b:BookTitle>
    <b:City>Reading</b:City>
    <b:Publisher>Chartered Institute for Archaeologists/British Association for Biological Anthropology and Osteoarchaeology</b:Publisher>
    <b:Year>2017</b:Year>
    <b:Pages>7-9</b:Pages>
    <b:Author>
      <b:Author>
        <b:NameList>
          <b:Person>
            <b:Last>Brickley</b:Last>
            <b:First>M</b:First>
          </b:Person>
        </b:NameList>
      </b:Author>
      <b:Editor>
        <b:NameList>
          <b:Person>
            <b:Last>Mitchell</b:Last>
            <b:Middle>D</b:Middle>
            <b:First>P</b:First>
          </b:Person>
          <b:Person>
            <b:Last>Brickley</b:Last>
            <b:First>M</b:First>
          </b:Person>
        </b:NameList>
      </b:Editor>
    </b:Author>
    <b:RefOrder>35</b:RefOrder>
  </b:Source>
  <b:Source>
    <b:Tag>McK04</b:Tag>
    <b:SourceType>BookSection</b:SourceType>
    <b:Guid>{C9552F10-259E-0E44-B6EF-088DC5737C55}</b:Guid>
    <b:Title>Compiling a skeletal inventory: disarticulated abd co-mingled remains</b:Title>
    <b:BookTitle>Guidelines to the Standards for Recording Human Remains</b:BookTitle>
    <b:City>Southampton</b:City>
    <b:Publisher>British Association of Biological Anthropology and Osteoarchaeology/Institute of Field Archaeologists</b:Publisher>
    <b:Year>2004</b:Year>
    <b:Pages>14-17</b:Pages>
    <b:Author>
      <b:Author>
        <b:NameList>
          <b:Person>
            <b:Last>McKinley</b:Last>
            <b:Middle>I</b:Middle>
            <b:First>J</b:First>
          </b:Person>
        </b:NameList>
      </b:Author>
      <b:BookAuthor>
        <b:NameList>
          <b:Person>
            <b:Last>Brickley</b:Last>
            <b:First>M</b:First>
          </b:Person>
          <b:Person>
            <b:Last>McKinley</b:Last>
            <b:Middle>I</b:Middle>
            <b:First>J</b:First>
          </b:Person>
        </b:NameList>
      </b:BookAuthor>
    </b:Author>
    <b:Volume>IfA Paper no' 7</b:Volume>
    <b:RefOrder>36</b:RefOrder>
  </b:Source>
  <b:Source>
    <b:Tag>Mit17</b:Tag>
    <b:SourceType>Book</b:SourceType>
    <b:Guid>{35E4B378-8990-5B4C-8683-EFF8482F07C3}</b:Guid>
    <b:Title>Updated Guidelines to the Standards for Recording Human Remains: Appendices</b:Title>
    <b:City>Reading</b:City>
    <b:Publisher>Chartered Institute for Archaeologists/British Association for Anthropologists and Osteoarchaeologists</b:Publisher>
    <b:Year>2017</b:Year>
    <b:Author>
      <b:Author>
        <b:NameList>
          <b:Person>
            <b:Last>Mitchell</b:Last>
            <b:Middle>D</b:Middle>
            <b:First>P</b:First>
          </b:Person>
          <b:Person>
            <b:Last>Brickley</b:Last>
            <b:First>M</b:First>
          </b:Person>
        </b:NameList>
      </b:Author>
    </b:Author>
    <b:RefOrder>37</b:RefOrder>
  </b:Source>
  <b:Source>
    <b:Tag>Cun16</b:Tag>
    <b:SourceType>Book</b:SourceType>
    <b:Guid>{8027639F-559D-2944-A511-FD219A633D8F}</b:Guid>
    <b:Title>Developmental Juvenile Osteology</b:Title>
    <b:City>London</b:City>
    <b:Publisher>Elsevier</b:Publisher>
    <b:Year>2016</b:Year>
    <b:Edition>2nd Edition</b:Edition>
    <b:Author>
      <b:Author>
        <b:NameList>
          <b:Person>
            <b:Last>Cunningham</b:Last>
            <b:First>C</b:First>
          </b:Person>
          <b:Person>
            <b:Last>Scheuer</b:Last>
            <b:First>L</b:First>
          </b:Person>
          <b:Person>
            <b:Last>Black</b:Last>
            <b:First>S</b:First>
          </b:Person>
        </b:NameList>
      </b:Author>
    </b:Author>
    <b:RefOrder>38</b:RefOrder>
  </b:Source>
  <b:Source>
    <b:Tag>Lov85</b:Tag>
    <b:SourceType>JournalArticle</b:SourceType>
    <b:Guid>{A9AC5671-CE92-024E-BDCC-ADC0FE1B2322}</b:Guid>
    <b:Title>Chronological metamorphosis of the auricular surface of the ilium: A new method for the determination of adult skeletal age at death</b:Title>
    <b:Year>1985</b:Year>
    <b:JournalName>American Journal of Physical Anthropology </b:JournalName>
    <b:Volume>68</b:Volume>
    <b:Pages>15-28</b:Pages>
    <b:Author>
      <b:Author>
        <b:NameList>
          <b:Person>
            <b:Last>Lovejoy</b:Last>
            <b:Middle>O</b:Middle>
            <b:First>C</b:First>
          </b:Person>
          <b:Person>
            <b:Last>Meindl</b:Last>
            <b:Middle>S</b:Middle>
            <b:First>R</b:First>
          </b:Person>
          <b:Person>
            <b:Last>Pryzbeck</b:Last>
            <b:Middle>R</b:Middle>
            <b:First>T</b:First>
          </b:Person>
          <b:Person>
            <b:Last>Mensforth</b:Last>
            <b:Middle>P</b:Middle>
            <b:First>R</b:First>
          </b:Person>
        </b:NameList>
      </b:Author>
    </b:Author>
    <b:RefOrder>39</b:RefOrder>
  </b:Source>
  <b:Source>
    <b:Tag>Bro90</b:Tag>
    <b:SourceType>JournalArticle</b:SourceType>
    <b:Guid>{A493F39B-52DB-3246-8261-A96955CFCC12}</b:Guid>
    <b:Title>Skeletal age dertermination based on the os pubis: A comparison of the Acsadi-Nemeskeri and Suchey-Brooks methods</b:Title>
    <b:JournalName>Human Evolution</b:JournalName>
    <b:Year>1990</b:Year>
    <b:Volume>5</b:Volume>
    <b:Pages>227-238</b:Pages>
    <b:Author>
      <b:Author>
        <b:NameList>
          <b:Person>
            <b:Last>Brooks</b:Last>
            <b:First>S</b:First>
          </b:Person>
          <b:Person>
            <b:Last>Suchey</b:Last>
            <b:Middle>M</b:Middle>
            <b:First>J</b:First>
          </b:Person>
        </b:NameList>
      </b:Author>
    </b:Author>
    <b:RefOrder>40</b:RefOrder>
  </b:Source>
  <b:Source>
    <b:Tag>Kat89</b:Tag>
    <b:SourceType>JournalArticle</b:SourceType>
    <b:Guid>{23DBC8F6-51F9-DE4D-AFDA-317A17B1360F}</b:Guid>
    <b:Title>Race Differences in Pubic Symphyseal Aging Patterns in the Male</b:Title>
    <b:JournalName>American Journal od Physical Anthroplogy</b:JournalName>
    <b:Year>1989</b:Year>
    <b:Volume>80</b:Volume>
    <b:Pages>167-172</b:Pages>
    <b:Author>
      <b:Author>
        <b:NameList>
          <b:Person>
            <b:Last>Katz</b:Last>
            <b:First>D</b:First>
          </b:Person>
          <b:Person>
            <b:Last>Suchey</b:Last>
            <b:Middle>M</b:Middle>
            <b:First>J</b:First>
          </b:Person>
        </b:NameList>
      </b:Author>
    </b:Author>
    <b:RefOrder>41</b:RefOrder>
  </b:Source>
  <b:Source>
    <b:Tag>Phe69</b:Tag>
    <b:SourceType>JournalArticle</b:SourceType>
    <b:Guid>{8F64D272-26CF-3040-83A6-718A82840E83}</b:Guid>
    <b:Title>A newly developed visiual method of sexing in the os pubis</b:Title>
    <b:JournalName>American Journal of Physical Anthropology </b:JournalName>
    <b:Year>1969</b:Year>
    <b:Volume>30</b:Volume>
    <b:Pages>297-301</b:Pages>
    <b:Author>
      <b:Author>
        <b:NameList>
          <b:Person>
            <b:Last>Phenice</b:Last>
            <b:Middle>W</b:Middle>
            <b:First>T</b:First>
          </b:Person>
        </b:NameList>
      </b:Author>
    </b:Author>
    <b:RefOrder>42</b:RefOrder>
  </b:Source>
  <b:Source>
    <b:Tag>Bri171</b:Tag>
    <b:SourceType>BookSection</b:SourceType>
    <b:Guid>{C9074451-BDE2-D244-89E4-1B8065BA26E1}</b:Guid>
    <b:Title>Undertaking sex assessment</b:Title>
    <b:Year>2017</b:Year>
    <b:BookTitle>Updated Guidelines to the Standards for Recording Human Remains</b:BookTitle>
    <b:Pages>33-34</b:Pages>
    <b:Author>
      <b:Author>
        <b:NameList>
          <b:Person>
            <b:Last>Brickley</b:Last>
            <b:First>M</b:First>
          </b:Person>
          <b:Person>
            <b:Last>Buckberry</b:Last>
            <b:First>J</b:First>
          </b:Person>
        </b:NameList>
      </b:Author>
      <b:Editor>
        <b:NameList>
          <b:Person>
            <b:Last>Mitchell</b:Last>
            <b:Middle>D</b:Middle>
            <b:First>P</b:First>
          </b:Person>
          <b:Person>
            <b:Last>Brickley</b:Last>
            <b:First>M</b:First>
          </b:Person>
        </b:NameList>
      </b:Editor>
    </b:Author>
    <b:City>Reading</b:City>
    <b:Publisher>Chartered Institute for Archaeologists/British Association for Biological Anthropology and Osteoarchaeology</b:Publisher>
    <b:RefOrder>43</b:RefOrder>
  </b:Source>
  <b:Source>
    <b:Tag>Vla08</b:Tag>
    <b:SourceType>JournalArticle</b:SourceType>
    <b:Guid>{24C817D2-B9B8-6648-82E0-1315BF336D24}</b:Guid>
    <b:Title>Greater sciatic notch as a sex indicator in juveniles</b:Title>
    <b:Year>2008</b:Year>
    <b:Pages>309-315</b:Pages>
    <b:JournalName>American Journal of Physcial Anthropology</b:JournalName>
    <b:Volume>137</b:Volume>
    <b:Author>
      <b:Author>
        <b:NameList>
          <b:Person>
            <b:Last>Vlak</b:Last>
            <b:First>D</b:First>
          </b:Person>
          <b:Person>
            <b:Last>Roksandic</b:Last>
            <b:First>M</b:First>
          </b:Person>
          <b:Person>
            <b:Last>Schillaci</b:Last>
            <b:Middle>A</b:Middle>
            <b:First>M</b:First>
          </b:Person>
        </b:NameList>
      </b:Author>
    </b:Author>
    <b:RefOrder>44</b:RefOrder>
  </b:Source>
  <b:Source>
    <b:Tag>Acs70</b:Tag>
    <b:SourceType>Book</b:SourceType>
    <b:Guid>{585ECC4B-EA5C-6746-97BE-C3DBF6917F39}</b:Guid>
    <b:Title>History of Human Life Span and Mortality</b:Title>
    <b:Year>1970</b:Year>
    <b:Author>
      <b:Author>
        <b:NameList>
          <b:Person>
            <b:Last>Acsadi</b:Last>
            <b:First>G</b:First>
          </b:Person>
          <b:Person>
            <b:Last>Nemeskeri</b:Last>
            <b:First>J</b:First>
          </b:Person>
        </b:NameList>
      </b:Author>
    </b:Author>
    <b:City>Budapest</b:City>
    <b:Publisher>Akademiai Kiado</b:Publisher>
    <b:RefOrder>45</b:RefOrder>
  </b:Source>
  <b:Source>
    <b:Tag>Hou74</b:Tag>
    <b:SourceType>JournalArticle</b:SourceType>
    <b:Guid>{1A3A288C-4C57-6541-B2CC-58959BA05315}</b:Guid>
    <b:Title>The relationship of the pre-auricular groove of the ilium to pregnancy</b:Title>
    <b:Year>1974</b:Year>
    <b:JournalName>American Journal of Physical Anthropology</b:JournalName>
    <b:Volume>41</b:Volume>
    <b:Pages>381-390</b:Pages>
    <b:Author>
      <b:Author>
        <b:NameList>
          <b:Person>
            <b:Last>Houghten</b:Last>
            <b:First>P</b:First>
          </b:Person>
        </b:NameList>
      </b:Author>
    </b:Author>
    <b:RefOrder>46</b:RefOrder>
  </b:Source>
  <b:Source>
    <b:Tag>Mar57</b:Tag>
    <b:SourceType>Book</b:SourceType>
    <b:Guid>{D47D1641-E98F-6947-9228-F4D1F155C8FD}</b:Guid>
    <b:Title>Lehrbuch der Anthropologie</b:Title>
    <b:Year>1957</b:Year>
    <b:Author>
      <b:Author>
        <b:NameList>
          <b:Person>
            <b:Last>Martin</b:Last>
            <b:First>R</b:First>
          </b:Person>
          <b:Person>
            <b:Last>Saller</b:Last>
            <b:First>K</b:First>
          </b:Person>
        </b:NameList>
      </b:Author>
    </b:Author>
    <b:City>Stuttgart</b:City>
    <b:Publisher>Bd II. Gustav Fischer</b:Publisher>
    <b:RefOrder>47</b:RefOrder>
  </b:Source>
  <b:Source>
    <b:Tag>Gow02</b:Tag>
    <b:SourceType>JournalArticle</b:SourceType>
    <b:Guid>{AF5ECACF-ACF0-6445-92F2-BB0C385A558B}</b:Guid>
    <b:Title>A Bayesian Approach to Ageing Perinatal Skeletal Meterial from Archaeological Sites: Implications for the Evidence for Infantacide in Roman-Britain</b:Title>
    <b:Year>2002</b:Year>
    <b:JournalName>Journal of Archaeological Science</b:JournalName>
    <b:Volume>29</b:Volume>
    <b:Pages>677-685</b:Pages>
    <b:Author>
      <b:Author>
        <b:NameList>
          <b:Person>
            <b:Last>Gowland</b:Last>
            <b:Middle>L</b:Middle>
            <b:First>R</b:First>
          </b:Person>
          <b:Person>
            <b:Last>Chamberlain</b:Last>
            <b:Middle>T</b:Middle>
            <b:First>A</b:First>
          </b:Person>
        </b:NameList>
      </b:Author>
    </b:Author>
    <b:RefOrder>48</b:RefOrder>
  </b:Source>
  <b:Source>
    <b:Tag>Sym08</b:Tag>
    <b:SourceType>Book</b:SourceType>
    <b:Guid>{5E628C11-868D-8743-B167-D5DF0B7DB5BF}</b:Guid>
    <b:Title>An Atlas of Skiagrams Illustrating the Development of the Teeth</b:Title>
    <b:Year>1908</b:Year>
    <b:Author>
      <b:Author>
        <b:NameList>
          <b:Person>
            <b:Last>Symington</b:Last>
            <b:First>J</b:First>
          </b:Person>
          <b:Person>
            <b:Last>Rankin</b:Last>
            <b:Middle>C</b:Middle>
            <b:First>J</b:First>
          </b:Person>
        </b:NameList>
      </b:Author>
    </b:Author>
    <b:City>London</b:City>
    <b:Publisher>Longmans, Green</b:Publisher>
    <b:RefOrder>49</b:RefOrder>
  </b:Source>
  <b:Source>
    <b:Tag>Joh62</b:Tag>
    <b:SourceType>JournalArticle</b:SourceType>
    <b:Guid>{0B78930B-3079-4548-99A2-59011E3D7EE7}</b:Guid>
    <b:Title>Growth of the long bones of infants and young children at Indian Knoll</b:Title>
    <b:Year>1962</b:Year>
    <b:JournalName>American Journal of Physical Anthrology</b:JournalName>
    <b:Volume>20</b:Volume>
    <b:Issue>249-254</b:Issue>
    <b:Author>
      <b:Author>
        <b:NameList>
          <b:Person>
            <b:Last>Johonston</b:Last>
            <b:Middle>E</b:Middle>
            <b:First>F</b:First>
          </b:Person>
        </b:NameList>
      </b:Author>
    </b:Author>
    <b:RefOrder>50</b:RefOrder>
  </b:Source>
  <b:Source>
    <b:Tag>Moo63</b:Tag>
    <b:SourceType>JournalArticle</b:SourceType>
    <b:Guid>{D060700C-52C6-4A47-AD2E-D8EE99BE9A84}</b:Guid>
    <b:Title>Age variation of formation stages for ten permanent teeth</b:Title>
    <b:JournalName>Journal of Dental Research</b:JournalName>
    <b:Year>1963</b:Year>
    <b:Volume>42</b:Volume>
    <b:Pages>1490-1502</b:Pages>
    <b:Author>
      <b:Author>
        <b:NameList>
          <b:Person>
            <b:Last>Moorrees</b:Last>
            <b:Middle>F A</b:Middle>
            <b:First>C</b:First>
          </b:Person>
          <b:Person>
            <b:Last>Fanning</b:Last>
            <b:Middle>A</b:Middle>
            <b:First>E</b:First>
          </b:Person>
          <b:Person>
            <b:Last>Hunt</b:Last>
            <b:Middle>A</b:Middle>
            <b:First>A</b:First>
          </b:Person>
        </b:NameList>
      </b:Author>
    </b:Author>
    <b:RefOrder>51</b:RefOrder>
  </b:Source>
  <b:Source>
    <b:Tag>van76</b:Tag>
    <b:SourceType>Book</b:SourceType>
    <b:Guid>{98AA3B74-9AF8-D242-88AB-93DEDC747E22}</b:Guid>
    <b:Title>Development of the Human Dentition: An Atlas</b:Title>
    <b:Year>1976</b:Year>
    <b:Author>
      <b:Author>
        <b:NameList>
          <b:Person>
            <b:Last>van der Linden</b:Last>
            <b:Middle>P G M</b:Middle>
            <b:First>F </b:First>
          </b:Person>
          <b:Person>
            <b:Last>Duterloo</b:Last>
            <b:Middle>S</b:Middle>
            <b:First>H</b:First>
          </b:Person>
        </b:NameList>
      </b:Author>
    </b:Author>
    <b:City>Hagerstown</b:City>
    <b:Publisher>Harper and Row</b:Publisher>
    <b:RefOrder>52</b:RefOrder>
  </b:Source>
  <b:Source>
    <b:Tag>Mer77</b:Tag>
    <b:SourceType>JournalArticle</b:SourceType>
    <b:Guid>{B02512AB-8A64-8B40-9467-BDB992B12E20}</b:Guid>
    <b:Title>Skeletal growth of the protohistoric Arikara</b:Title>
    <b:Year>1977</b:Year>
    <b:JournalName>American Journal of Physical Anthropology</b:JournalName>
    <b:Volume>46</b:Volume>
    <b:Pages>61-72</b:Pages>
    <b:Author>
      <b:Author>
        <b:NameList>
          <b:Person>
            <b:Last>Merchant</b:Last>
            <b:Middle>L</b:Middle>
            <b:First>V</b:First>
          </b:Person>
          <b:Person>
            <b:Last>Ubelaker</b:Last>
            <b:Middle>H</b:Middle>
            <b:First>D</b:First>
          </b:Person>
        </b:NameList>
      </b:Author>
    </b:Author>
    <b:RefOrder>53</b:RefOrder>
  </b:Source>
  <b:Source>
    <b:Tag>Sun78</b:Tag>
    <b:SourceType>JournalArticle</b:SourceType>
    <b:Guid>{D6F0D6FC-DE6F-3648-B3F3-47AC7CC22BBA}</b:Guid>
    <b:Title>Human skeletal growth and age determination</b:Title>
    <b:JournalName>Homo</b:JournalName>
    <b:Year>1978</b:Year>
    <b:Volume>29</b:Volume>
    <b:Pages>228-249</b:Pages>
    <b:Author>
      <b:Author>
        <b:NameList>
          <b:Person>
            <b:Last>Sundick</b:Last>
            <b:Middle>I</b:Middle>
            <b:First>R</b:First>
          </b:Person>
        </b:NameList>
      </b:Author>
    </b:Author>
    <b:RefOrder>54</b:RefOrder>
  </b:Source>
  <b:Source>
    <b:Tag>Jea81</b:Tag>
    <b:SourceType>JournalArticle</b:SourceType>
    <b:Guid>{E6D419F6-2D09-FC49-BF68-B65E870059BD}</b:Guid>
    <b:Title>Ultrasonic evaluation of fetal limb growth. Part II</b:Title>
    <b:Year>1981</b:Year>
    <b:Author>
      <b:Author>
        <b:NameList>
          <b:Person>
            <b:Last>Jeanty</b:Last>
            <b:First>P</b:First>
          </b:Person>
          <b:Person>
            <b:Last>Dramaix-Wilmet</b:Last>
            <b:First>M</b:First>
          </b:Person>
          <b:Person>
            <b:Last>van Kerkem</b:Last>
            <b:First>J</b:First>
          </b:Person>
          <b:Person>
            <b:Last>Schwers</b:Last>
            <b:First>J</b:First>
          </b:Person>
        </b:NameList>
      </b:Author>
    </b:Author>
    <b:JournalName>Radiology</b:JournalName>
    <b:Volume>140</b:Volume>
    <b:Pages>165-168</b:Pages>
    <b:RefOrder>55</b:RefOrder>
  </b:Source>
  <b:Source>
    <b:Tag>Jea811</b:Tag>
    <b:SourceType>Book</b:SourceType>
    <b:Guid>{0A888876-9567-ED4F-8664-3EE8D1F2C153}</b:Guid>
    <b:Title>Obstetrical Ultrasound</b:Title>
    <b:Year>1981</b:Year>
    <b:Author>
      <b:Author>
        <b:NameList>
          <b:Person>
            <b:Last>Jeanty</b:Last>
            <b:First>P</b:First>
          </b:Person>
          <b:Person>
            <b:Last>Kirkpatrick</b:Last>
            <b:First>C</b:First>
          </b:Person>
          <b:Person>
            <b:Last>Dramaix-Wilmet</b:Last>
            <b:First>D</b:First>
          </b:Person>
          <b:Person>
            <b:Last>Struyven</b:Last>
            <b:First>J</b:First>
          </b:Person>
        </b:NameList>
      </b:Author>
    </b:Author>
    <b:City>London</b:City>
    <b:Publisher>McGraw Hill</b:Publisher>
    <b:RefOrder>56</b:RefOrder>
  </b:Source>
  <b:Source>
    <b:Tag>Sch80</b:Tag>
    <b:SourceType>JournalArticle</b:SourceType>
    <b:Guid>{C41650F8-EC2C-504E-B70D-B4DBF4D587E1}</b:Guid>
    <b:Title>The estimation of late fetal and perinatal age from limb bone length by linear and logarithmic regression</b:Title>
    <b:Year>1980</b:Year>
    <b:JournalName>Annals of Human Biology</b:JournalName>
    <b:Volume>7</b:Volume>
    <b:Pages>257-265</b:Pages>
    <b:Author>
      <b:Author>
        <b:NameList>
          <b:Person>
            <b:Last>Scheuer</b:Last>
            <b:Middle>L</b:Middle>
            <b:First>J</b:First>
          </b:Person>
          <b:Person>
            <b:Last>Musgrave</b:Last>
            <b:Middle>H</b:Middle>
            <b:First>J</b:First>
          </b:Person>
          <b:Person>
            <b:Last>Evans</b:Last>
            <b:Middle>P</b:Middle>
            <b:First>S</b:First>
          </b:Person>
        </b:NameList>
      </b:Author>
    </b:Author>
    <b:RefOrder>57</b:RefOrder>
  </b:Source>
  <b:Source>
    <b:Tag>Mar39</b:Tag>
    <b:SourceType>JournalArticle</b:SourceType>
    <b:Guid>{07BE6792-393B-0D4B-833D-27147D3BBAC7}</b:Guid>
    <b:Title>The growth of long bones in 80 infants</b:Title>
    <b:JournalName>Child Development</b:JournalName>
    <b:Year>1939</b:Year>
    <b:Volume>10</b:Volume>
    <b:Pages>91-100</b:Pages>
    <b:Author>
      <b:Author>
        <b:NameList>
          <b:Person>
            <b:Last>Maresh</b:Last>
            <b:Middle>M</b:Middle>
            <b:First>M</b:First>
          </b:Person>
          <b:Person>
            <b:Last>Deming</b:Last>
            <b:First>J</b:First>
          </b:Person>
        </b:NameList>
      </b:Author>
    </b:Author>
    <b:RefOrder>58</b:RefOrder>
  </b:Source>
  <b:Source>
    <b:Tag>Mar55</b:Tag>
    <b:SourceType>JournalArticle</b:SourceType>
    <b:Guid>{1FA83A55-F104-3445-BCD7-7CA25AEBD605}</b:Guid>
    <b:Title>Linear growth from long bones of extemities from indancy through adolesence</b:Title>
    <b:JournalName>American Journal of Diseases in Childhood</b:JournalName>
    <b:Year>1955</b:Year>
    <b:Volume>89</b:Volume>
    <b:Pages>725-742</b:Pages>
    <b:Author>
      <b:Author>
        <b:NameList>
          <b:Person>
            <b:Last>Maresh</b:Last>
            <b:Middle>M</b:Middle>
            <b:First>M</b:First>
          </b:Person>
        </b:NameList>
      </b:Author>
    </b:Author>
    <b:RefOrder>59</b:RefOrder>
  </b:Source>
  <b:Source>
    <b:Tag>Cha87</b:Tag>
    <b:SourceType>JournalArticle</b:SourceType>
    <b:Guid>{02B70FB0-F897-A348-B83A-5E6E14BBD278}</b:Guid>
    <b:Title>Developments in prehistoric Thai archaeology</b:Title>
    <b:JournalName>Man and Culturein Oceana</b:JournalName>
    <b:Year>1987</b:Year>
    <b:Volume>3 (Special Issue)</b:Volume>
    <b:Pages>79-89</b:Pages>
    <b:Author>
      <b:Author>
        <b:NameList>
          <b:Person>
            <b:Last>Charoenwongsa</b:Last>
            <b:First>P</b:First>
          </b:Person>
        </b:NameList>
      </b:Author>
    </b:Author>
    <b:RefOrder>60</b:RefOrder>
  </b:Source>
  <b:Source>
    <b:Tag>Nov06</b:Tag>
    <b:SourceType>BookSection</b:SourceType>
    <b:Guid>{6CB560B1-687C-124F-B838-62BE2F441A91}</b:Guid>
    <b:Title>Beneath the Facade: A Skeletal Model of Domestic Violence</b:Title>
    <b:Year>2006</b:Year>
    <b:Pages>238-252</b:Pages>
    <b:BookTitle>Social Archaeology of Funerary Remains</b:BookTitle>
    <b:City>Oxford</b:City>
    <b:Publisher>Oxbow Books</b:Publisher>
    <b:Author>
      <b:Author>
        <b:NameList>
          <b:Person>
            <b:Last>Novak</b:Last>
            <b:Middle>A</b:Middle>
            <b:First>S</b:First>
          </b:Person>
        </b:NameList>
      </b:Author>
    </b:Author>
    <b:RefOrder>61</b:RefOrder>
  </b:Source>
  <b:Source>
    <b:Tag>Lin20</b:Tag>
    <b:SourceType>Misc</b:SourceType>
    <b:Guid>{38340068-9B29-A743-AF90-EC8B75BBAAD1}</b:Guid>
    <b:Title>Personal Commentary</b:Title>
    <b:City>University of Otago</b:City>
    <b:Publisher>PhD research </b:Publisher>
    <b:Year>2020</b:Year>
    <b:Author>
      <b:Author>
        <b:NameList>
          <b:Person>
            <b:Last>Ling</b:Last>
            <b:First>N</b:First>
          </b:Person>
        </b:NameList>
      </b:Author>
    </b:Author>
    <b:RefOrder>62</b:RefOrder>
  </b:Source>
  <b:Source>
    <b:Tag>Sca10</b:Tag>
    <b:SourceType>Book</b:SourceType>
    <b:Guid>{A4A82BCB-3C37-5842-A0D2-2C6CAA668127}</b:Guid>
    <b:Title>Juvenile Osteology: A laboratory and field manual</b:Title>
    <b:Year>2009</b:Year>
    <b:Author>
      <b:Author>
        <b:NameList>
          <b:Person>
            <b:Last>Schaefer</b:Last>
            <b:First>M</b:First>
            <b:Middle>C</b:Middle>
          </b:Person>
          <b:Person>
            <b:Last>Scheuer</b:Last>
            <b:First>L</b:First>
          </b:Person>
          <b:Person>
            <b:Last>Black</b:Last>
            <b:First>S</b:First>
          </b:Person>
        </b:NameList>
      </b:Author>
    </b:Author>
    <b:City>London</b:City>
    <b:Publisher>Elselvier Academic Press</b:Publisher>
    <b:Edition>2nd Edition</b:Edition>
    <b:RefOrder>63</b:RefOrder>
  </b:Source>
  <b:Source>
    <b:Tag>Faz781</b:Tag>
    <b:SourceType>Book</b:SourceType>
    <b:Guid>{9F7A7E83-8CE0-654B-A5C2-9F6E1D776A89}</b:Guid>
    <b:Title>Forensic Fetal Osteology</b:Title>
    <b:Year>1978</b:Year>
    <b:City>Budapest</b:City>
    <b:Publisher>Akademiai Kiado</b:Publisher>
    <b:Author>
      <b:Author>
        <b:NameList>
          <b:Person>
            <b:Last>Fazekas</b:Last>
            <b:Middle>G</b:Middle>
            <b:First>I</b:First>
          </b:Person>
          <b:Person>
            <b:Last>Kosa</b:Last>
            <b:First>F</b:First>
          </b:Person>
        </b:NameList>
      </b:Author>
    </b:Author>
    <b:RefOrder>64</b:RefOrder>
  </b:Source>
  <b:Source>
    <b:Tag>Fra10</b:Tag>
    <b:SourceType>JournalArticle</b:SourceType>
    <b:Guid>{A2BEFA90-ED74-9D42-8DB0-9FBB8377957B}</b:Guid>
    <b:Title>Forensic Age Estimation in Human Skeletal Remains: current concepts and future directions</b:Title>
    <b:Year>2010</b:Year>
    <b:JournalName>Legal Medicine</b:JournalName>
    <b:Volume>12</b:Volume>
    <b:Pages>1-7</b:Pages>
    <b:Author>
      <b:Author>
        <b:NameList>
          <b:Person>
            <b:Last>Franklin</b:Last>
            <b:First>D</b:First>
          </b:Person>
        </b:NameList>
      </b:Author>
    </b:Author>
    <b:RefOrder>65</b:RefOrder>
  </b:Source>
  <b:Source>
    <b:Tag>Cha00</b:Tag>
    <b:SourceType>BookSection</b:SourceType>
    <b:Guid>{B2936D6D-A02E-D641-A015-BD140D826FC9}</b:Guid>
    <b:Title>Problems and prospects in palaeodemography</b:Title>
    <b:Year>2000</b:Year>
    <b:Pages>101-115</b:Pages>
    <b:Author>
      <b:Author>
        <b:NameList>
          <b:Person>
            <b:Last>Chamberlain</b:Last>
          </b:Person>
        </b:NameList>
      </b:Author>
    </b:Author>
    <b:BookTitle>Human Osteology in Archaeology and Forensic Science</b:BookTitle>
    <b:City>London</b:City>
    <b:Publisher>Greenwich Medical Media</b:Publisher>
    <b:RefOrder>66</b:RefOrder>
  </b:Source>
  <b:Source>
    <b:Tag>Car16</b:Tag>
    <b:SourceType>JournalArticle</b:SourceType>
    <b:Guid>{618F8B43-93C2-C34B-9C83-FEC12A4154DE}</b:Guid>
    <b:Title>A method for estimating gestational age of fetal remains based on long bone lengths</b:Title>
    <b:Year>2016</b:Year>
    <b:Pages>1333-1341</b:Pages>
    <b:JournalName>International Journal of Legal Medicine </b:JournalName>
    <b:Volume>130</b:Volume>
    <b:Author>
      <b:Author>
        <b:NameList>
          <b:Person>
            <b:Last>Carneiro</b:Last>
            <b:First>C</b:First>
          </b:Person>
          <b:Person>
            <b:Last>Curate</b:Last>
            <b:First>F</b:First>
          </b:Person>
          <b:Person>
            <b:Last>Cunha</b:Last>
            <b:First>E</b:First>
          </b:Person>
        </b:NameList>
      </b:Author>
    </b:Author>
    <b:RefOrder>67</b:RefOrder>
  </b:Source>
  <b:Source>
    <b:Tag>RSt16</b:Tag>
    <b:SourceType>Misc</b:SourceType>
    <b:Guid>{DF3974F2-0272-AB4F-8D6D-84DCDA76A2A7}</b:Guid>
    <b:Title>RStudio: Integrated Development for R</b:Title>
    <b:Year>2016</b:Year>
    <b:Author>
      <b:Author>
        <b:NameList>
          <b:Person>
            <b:Last>R</b:Last>
            <b:First>Studio</b:First>
            <b:Middle>Studio</b:Middle>
          </b:Person>
        </b:NameList>
      </b:Author>
    </b:Author>
    <b:RefOrder>68</b:RefOrder>
  </b:Source>
  <b:Source>
    <b:Tag>Lew06</b:Tag>
    <b:SourceType>Book</b:SourceType>
    <b:Guid>{45342F2C-B07A-1A41-8572-C5F977101A07}</b:Guid>
    <b:Title>The Bioarchaeology of Children</b:Title>
    <b:City>Reading</b:City>
    <b:Publisher>University of Reading</b:Publisher>
    <b:Year>2006</b:Year>
    <b:Author>
      <b:Author>
        <b:NameList>
          <b:Person>
            <b:Last>Lewis</b:Last>
            <b:Middle>E</b:Middle>
            <b:First>M</b:First>
          </b:Person>
        </b:NameList>
      </b:Author>
    </b:Author>
    <b:RefOrder>69</b:RefOrder>
  </b:Source>
  <b:Source>
    <b:Tag>Hal19</b:Tag>
    <b:SourceType>BookSection</b:SourceType>
    <b:Guid>{034C9A97-034A-534C-B1F4-A74F4196C0E6}</b:Guid>
    <b:Title>Infants in the Bioarchaeological Past: Who Cares?</b:Title>
    <b:City>Springer</b:City>
    <b:Publisher>Switzerland</b:Publisher>
    <b:Year>2019</b:Year>
    <b:BookTitle>The Mother Infant-Nexus in Anthropology: Small Beginings, Significant Outcomes</b:BookTitle>
    <b:Pages>19-38</b:Pages>
    <b:Author>
      <b:Author>
        <b:NameList>
          <b:Person>
            <b:Last>Halcrow</b:Last>
            <b:First>S</b:First>
          </b:Person>
        </b:NameList>
      </b:Author>
      <b:Editor>
        <b:NameList>
          <b:Person>
            <b:Last>Gowland</b:Last>
            <b:First>R</b:First>
          </b:Person>
          <b:Person>
            <b:Last>Halcrow</b:Last>
            <b:First>S</b:First>
          </b:Person>
        </b:NameList>
      </b:Editor>
    </b:Author>
    <b:RefOrder>70</b:RefOrder>
  </b:Source>
  <b:Source>
    <b:Tag>You17</b:Tag>
    <b:SourceType>JournalArticle</b:SourceType>
    <b:Guid>{887F70EF-00AB-1D4A-AF73-042A568FE7B0}</b:Guid>
    <b:Title>Surivival and Neurodevelopmental Outcomes among Periviable Infants</b:Title>
    <b:Year>2017</b:Year>
    <b:JournalName>The New England Journal of Medicine</b:JournalName>
    <b:Volume>376</b:Volume>
    <b:Issue>7</b:Issue>
    <b:Pages>617-628</b:Pages>
    <b:Author>
      <b:Author>
        <b:NameList>
          <b:Person>
            <b:Last>Younge</b:Last>
            <b:First>N</b:First>
          </b:Person>
          <b:Person>
            <b:Last>Goldstein</b:Last>
            <b:Middle>F</b:Middle>
            <b:First>R</b:First>
          </b:Person>
          <b:Person>
            <b:Last>Bann</b:Last>
            <b:Middle>M</b:Middle>
            <b:First>C</b:First>
          </b:Person>
          <b:Person>
            <b:Last>Hintz</b:Last>
            <b:Middle>R</b:Middle>
            <b:First>S</b:First>
          </b:Person>
          <b:Person>
            <b:Last>Patel</b:Last>
            <b:Middle>M</b:Middle>
            <b:First>R</b:First>
          </b:Person>
          <b:Person>
            <b:Last>Smith</b:Last>
            <b:Middle>B</b:Middle>
            <b:First>P</b:First>
          </b:Person>
          <b:Person>
            <b:Last>Bell</b:Last>
            <b:Middle>F</b:Middle>
            <b:First>E</b:First>
          </b:Person>
          <b:Person>
            <b:Last>Rysavy</b:Last>
            <b:Middle>A</b:Middle>
            <b:First>M</b:First>
          </b:Person>
          <b:Person>
            <b:Last>Duncan</b:Last>
            <b:Middle>F</b:Middle>
            <b:First>A</b:First>
          </b:Person>
          <b:Person>
            <b:Last>Vohr</b:Last>
            <b:Middle>R</b:Middle>
            <b:First>B</b:First>
          </b:Person>
          <b:Person>
            <b:Last>Das</b:Last>
            <b:First>A</b:First>
          </b:Person>
          <b:Person>
            <b:Last>Goldberg</b:Last>
            <b:Middle>N</b:Middle>
            <b:First>R</b:First>
          </b:Person>
          <b:Person>
            <b:Last>Higgins</b:Last>
            <b:Middle>D</b:Middle>
            <b:First>R</b:First>
          </b:Person>
          <b:Person>
            <b:Last>Cotten</b:Last>
            <b:Middle>M</b:Middle>
            <b:First>C</b:First>
          </b:Person>
        </b:NameList>
      </b:Author>
    </b:Author>
    <b:RefOrder>71</b:RefOrder>
  </b:Source>
  <b:Source>
    <b:Tag>Pre19</b:Tag>
    <b:SourceType>InternetSite</b:SourceType>
    <b:Guid>{1DAD8D98-0B9A-3145-9095-4E812D03E22D}</b:Guid>
    <b:Title>How extremely preterm babies can survive and thrive</b:Title>
    <b:Year>2019</b:Year>
    <b:URL>https://www.washingtontimes.com/news/2019/nov/14/how-extremely-preterm-babies-can-survive-and-thriv/</b:URL>
    <b:YearAccessed>2020</b:YearAccessed>
    <b:MonthAccessed>08</b:MonthAccessed>
    <b:DayAccessed>18</b:DayAccessed>
    <b:Author>
      <b:Author>
        <b:NameList>
          <b:Person>
            <b:Last>Prentice</b:Last>
            <b:Middle>A</b:Middle>
            <b:First>D</b:First>
          </b:Person>
        </b:NameList>
      </b:Author>
    </b:Author>
    <b:InternetSiteTitle>Washington Times</b:InternetSiteTitle>
    <b:RefOrder>72</b:RefOrder>
  </b:Source>
  <b:Source>
    <b:Tag>Bog97</b:Tag>
    <b:SourceType>JournalArticle</b:SourceType>
    <b:Guid>{D1FEE3A1-315F-5B43-9447-27C6A3B6C3B1}</b:Guid>
    <b:Title>Evolutionary hypotheses for human chldhood</b:Title>
    <b:Year>1997</b:Year>
    <b:JournalName>Yearbook of Physical Athropology</b:JournalName>
    <b:Volume>40</b:Volume>
    <b:Pages>63-89</b:Pages>
    <b:Author>
      <b:Author>
        <b:NameList>
          <b:Person>
            <b:Last>Bogin</b:Last>
            <b:First>B</b:First>
          </b:Person>
        </b:NameList>
      </b:Author>
    </b:Author>
    <b:RefOrder>73</b:RefOrder>
  </b:Source>
  <b:Source>
    <b:Tag>Gow06</b:Tag>
    <b:SourceType>BookSection</b:SourceType>
    <b:Guid>{EE43D527-FAEA-A047-B2C6-A6908897C880}</b:Guid>
    <b:Title>Ageing the Past: Examining Age Identity from Funerary Evidence</b:Title>
    <b:Year>2006</b:Year>
    <b:Pages>143-154</b:Pages>
    <b:BookTitle>Social Archaeology of Funerary Remains</b:BookTitle>
    <b:City>Oxford</b:City>
    <b:Publisher>Oxbow Books</b:Publisher>
    <b:Author>
      <b:Author>
        <b:NameList>
          <b:Person>
            <b:Last>Gowland</b:Last>
            <b:First>R</b:First>
          </b:Person>
        </b:NameList>
      </b:Author>
      <b:Editor>
        <b:NameList>
          <b:Person>
            <b:Last>Gowland </b:Last>
            <b:First>R</b:First>
          </b:Person>
          <b:Person>
            <b:Last>Knüsel</b:Last>
            <b:First>C</b:First>
          </b:Person>
        </b:NameList>
      </b:Editor>
    </b:Author>
    <b:RefOrder>74</b:RefOrder>
  </b:Source>
  <b:Source>
    <b:Tag>Hal11</b:Tag>
    <b:SourceType>BookSection</b:SourceType>
    <b:Guid>{4F06C81E-457B-C340-8438-AB6A90276466}</b:Guid>
    <b:Title>The Bioarchaeological Investigation of Children and Childhood</b:Title>
    <b:BookTitle>Social Bioarchaeology</b:BookTitle>
    <b:City>Chichester</b:City>
    <b:Publisher>Wiley-Blackwell</b:Publisher>
    <b:Year>2011</b:Year>
    <b:Pages>333-360</b:Pages>
    <b:Author>
      <b:Author>
        <b:NameList>
          <b:Person>
            <b:Last>Halcrow</b:Last>
            <b:First>S</b:First>
          </b:Person>
          <b:Person>
            <b:Last>Tayles</b:Last>
            <b:First>N</b:First>
          </b:Person>
        </b:NameList>
      </b:Author>
      <b:Editor>
        <b:NameList>
          <b:Person>
            <b:Last>Agarwal</b:Last>
            <b:Middle>C</b:Middle>
            <b:First>S</b:First>
          </b:Person>
          <b:Person>
            <b:Last>Glencross</b:Last>
            <b:Middle>A</b:Middle>
            <b:First>B</b:First>
          </b:Person>
        </b:NameList>
      </b:Editor>
    </b:Author>
    <b:RefOrder>75</b:RefOrder>
  </b:Source>
  <b:Source>
    <b:Tag>Fox13</b:Tag>
    <b:SourceType>BookSection</b:SourceType>
    <b:Guid>{854A4AF2-709C-2445-89A6-7F59FF62353E}</b:Guid>
    <b:Title>Adolescent consent to testing: a review of current policies and issues in sub-Saharan Africa</b:Title>
    <b:Year>2013</b:Year>
    <b:Pages>Annex 15</b:Pages>
    <b:BookTitle>HIV and Adolescents: Guidance for HIV Testing and Counselling and Care for Adolescents Living with HIV: Recommendations for a Public Health Approach and Considerations for Policy-Makers and Managers.</b:BookTitle>
    <b:City>Geneva</b:City>
    <b:Publisher>World Health Organization</b:Publisher>
    <b:Author>
      <b:Author>
        <b:NameList>
          <b:Person>
            <b:Last>Fox</b:Last>
            <b:First>K</b:First>
          </b:Person>
          <b:Person>
            <b:Last>Ferguson</b:Last>
            <b:First>J</b:First>
          </b:Person>
          <b:Person>
            <b:Last>Ajose</b:Last>
            <b:First>W</b:First>
          </b:Person>
          <b:Person>
            <b:Last>Singh</b:Last>
            <b:First>J</b:First>
          </b:Person>
          <b:Person>
            <b:Last>Marum</b:Last>
            <b:First>E</b:First>
          </b:Person>
          <b:Person>
            <b:Last>Baggaley</b:Last>
            <b:First>R</b:First>
          </b:Person>
        </b:NameList>
      </b:Author>
    </b:Author>
    <b:RefOrder>76</b:RefOrder>
  </b:Source>
  <b:Source>
    <b:Tag>Hum08</b:Tag>
    <b:SourceType>JournalArticle</b:SourceType>
    <b:Guid>{11B6B95D-0718-9447-949A-C44C254CD6CD}</b:Guid>
    <b:Title>Adults Before Their Time: Children in Saudi Arabia's Criminal Justice System</b:Title>
    <b:Year>2008</b:Year>
    <b:Author>
      <b:Author>
        <b:Corporate>Human Rights Watch</b:Corporate>
      </b:Author>
    </b:Author>
    <b:Publisher>Human Rights Watch</b:Publisher>
    <b:City>New York</b:City>
    <b:JournalName>Human Rights Watch</b:JournalName>
    <b:Volume>20</b:Volume>
    <b:Issue>4</b:Issue>
    <b:RefOrder>77</b:RefOrder>
  </b:Source>
  <b:Source>
    <b:Tag>Ira91</b:Tag>
    <b:SourceType>InternetSite</b:SourceType>
    <b:Guid>{6DAA762E-C66A-7240-BF14-B06C52C17848}</b:Guid>
    <b:Title>Article 147</b:Title>
    <b:URL>https://www.refworld.org/docid/518a19404.html</b:URL>
    <b:Year>1991</b:Year>
    <b:YearAccessed>2020</b:YearAccessed>
    <b:MonthAccessed>08</b:MonthAccessed>
    <b:DayAccessed>19</b:DayAccessed>
    <b:Publisher>Amended 2013</b:Publisher>
    <b:Author>
      <b:Author>
        <b:Corporate>Iran: Islamic Penal Code</b:Corporate>
      </b:Author>
    </b:Author>
    <b:Month>11</b:Month>
    <b:Day>20</b:Day>
    <b:RefOrder>78</b:RefOrder>
  </b:Source>
  <b:Source>
    <b:Tag>ONS19</b:Tag>
    <b:SourceType>InternetSite</b:SourceType>
    <b:Guid>{A6308331-F653-4746-AFDD-FCE0E9D3ABE3}</b:Guid>
    <b:Title>Office for National Statistics</b:Title>
    <b:Year>2019</b:Year>
    <b:Author>
      <b:Author>
        <b:Corporate>ONS</b:Corporate>
      </b:Author>
    </b:Author>
    <b:URL>https://www.ons.gov.uk/peoplepopulationandcommunity/birthsdeathsandmarriages/families/datasets/youngadultslivingwiththeirparents</b:URL>
    <b:YearAccessed>2020</b:YearAccessed>
    <b:MonthAccessed>08</b:MonthAccessed>
    <b:DayAccessed>19</b:DayAccessed>
    <b:RefOrder>79</b:RefOrder>
  </b:Source>
  <b:Source>
    <b:Tag>OED09</b:Tag>
    <b:SourceType>Book</b:SourceType>
    <b:Guid>{8A4E60E7-3982-2E40-B7DF-9F509F7766C7}</b:Guid>
    <b:Title>Oxford Dictionary of Law</b:Title>
    <b:Year>2009</b:Year>
    <b:City>Oxford</b:City>
    <b:Publisher>Oxford University Press</b:Publisher>
    <b:Edition>7</b:Edition>
    <b:Author>
      <b:Author>
        <b:Corporate>OED Law</b:Corporate>
      </b:Author>
      <b:Editor>
        <b:NameList>
          <b:Person>
            <b:Last>Law</b:Last>
            <b:First>J</b:First>
          </b:Person>
          <b:Person>
            <b:Last>Martin</b:Last>
            <b:Middle>A</b:Middle>
            <b:First>E</b:First>
          </b:Person>
        </b:NameList>
      </b:Editor>
    </b:Author>
    <b:RefOrder>80</b:RefOrder>
  </b:Source>
  <b:Source>
    <b:Tag>Gov20</b:Tag>
    <b:SourceType>InternetSite</b:SourceType>
    <b:Guid>{1967CD0C-E1ED-C749-9165-EADFA246F1EE}</b:Guid>
    <b:Author>
      <b:Author>
        <b:Corporate>UK Gov</b:Corporate>
      </b:Author>
    </b:Author>
    <b:Title>National Minimum Wage and National Living Wage rates</b:Title>
    <b:Year>2020</b:Year>
    <b:URL>https://www.gov.uk/national-minimum-wage-rates</b:URL>
    <b:YearAccessed>2020</b:YearAccessed>
    <b:MonthAccessed>08</b:MonthAccessed>
    <b:DayAccessed>19</b:DayAccessed>
    <b:RefOrder>81</b:RefOrder>
  </b:Source>
  <b:Source>
    <b:Tag>UN90</b:Tag>
    <b:SourceType>InternetSite</b:SourceType>
    <b:Guid>{F2321448-938E-134A-A8EE-FA04DCAB4EF4}</b:Guid>
    <b:Author>
      <b:Author>
        <b:Corporate>UN</b:Corporate>
      </b:Author>
    </b:Author>
    <b:Title>United Nations Human Rights Office of the High Commisioner</b:Title>
    <b:URL>https://www.ohchr.org/en/professionalinterest/pages/crc.aspx</b:URL>
    <b:Year>1990</b:Year>
    <b:YearAccessed>2020</b:YearAccessed>
    <b:MonthAccessed>08</b:MonthAccessed>
    <b:DayAccessed>19</b:DayAccessed>
    <b:InternetSiteTitle>Convention on the Rights of the Child, Article 1</b:InternetSiteTitle>
    <b:RefOrder>82</b:RefOrder>
  </b:Source>
  <b:Source>
    <b:Tag>OED10</b:Tag>
    <b:SourceType>Book</b:SourceType>
    <b:Guid>{915C3CB9-9BCC-2644-8037-CB4E52E8081D}</b:Guid>
    <b:Title>Oxford English Dictionary, Concise Medical</b:Title>
    <b:City>Oxford</b:City>
    <b:Publisher>Oxford University Press</b:Publisher>
    <b:Year>2010</b:Year>
    <b:Edition>8</b:Edition>
    <b:Author>
      <b:Author>
        <b:Corporate>OED Concise Medical </b:Corporate>
      </b:Author>
    </b:Author>
    <b:RefOrder>83</b:RefOrder>
  </b:Source>
  <b:Source>
    <b:Tag>Wal73</b:Tag>
    <b:SourceType>JournalArticle</b:SourceType>
    <b:Guid>{ED52821D-15CB-D94F-B6ED-2D893A6B54A3}</b:Guid>
    <b:Title>Proof of Age in Feudal Heirs in Medieval England</b:Title>
    <b:JournalName>Mediaeval Studies</b:JournalName>
    <b:Year>1973</b:Year>
    <b:Volume>35</b:Volume>
    <b:Issue>1</b:Issue>
    <b:Pages>306-323</b:Pages>
    <b:Author>
      <b:Author>
        <b:NameList>
          <b:Person>
            <b:Last>Walker</b:Last>
            <b:Middle>S</b:Middle>
            <b:First>S</b:First>
          </b:Person>
        </b:NameList>
      </b:Author>
    </b:Author>
    <b:RefOrder>84</b:RefOrder>
  </b:Source>
  <b:Source>
    <b:Tag>Chi20</b:Tag>
    <b:SourceType>InternetSite</b:SourceType>
    <b:Guid>{365E288B-8BBE-9E46-BBB5-86B2045AB8F7}</b:Guid>
    <b:Title>Parents Guide to Developmental Milestones</b:Title>
    <b:Year>2020</b:Year>
    <b:URL>https://childmind.org/guide/developmental-milestones/#milestones-at-1-year</b:URL>
    <b:YearAccessed>2020</b:YearAccessed>
    <b:MonthAccessed>08</b:MonthAccessed>
    <b:DayAccessed>18</b:DayAccessed>
    <b:Author>
      <b:Author>
        <b:Corporate>Child Mind Institute</b:Corporate>
      </b:Author>
    </b:Author>
    <b:InternetSiteTitle>Child Mind Institute</b:InternetSiteTitle>
    <b:ProductionCompany>American Academy of Pediatrics</b:ProductionCompany>
    <b:RefOrder>85</b:RefOrder>
  </b:Source>
  <b:Source>
    <b:Tag>Bro94</b:Tag>
    <b:SourceType>Book</b:SourceType>
    <b:Guid>{7D9CBEB9-2CC5-7045-8A11-D2FF71DF57E2}</b:Guid>
    <b:Title>Digging Up Bones</b:Title>
    <b:Year>1994</b:Year>
    <b:City>Bew York</b:City>
    <b:Publisher>Cornell University Press</b:Publisher>
    <b:Edition>3rd</b:Edition>
    <b:Author>
      <b:Author>
        <b:NameList>
          <b:Person>
            <b:Last>Brothwell</b:Last>
            <b:Middle>R</b:Middle>
            <b:First>D</b:First>
          </b:Person>
        </b:NameList>
      </b:Author>
    </b:Author>
    <b:RefOrder>86</b:RefOrder>
  </b:Source>
  <b:Source>
    <b:Tag>San</b:Tag>
    <b:SourceType>Book</b:SourceType>
    <b:Guid>{3BC25996-8A40-554D-A939-DE7B4EB59CC6}</b:Guid>
    <b:Author>
      <b:Author>
        <b:NameList>
          <b:Person>
            <b:Last>Sangvichien</b:Last>
            <b:First>S</b:First>
          </b:Person>
          <b:Person>
            <b:Last>Srisurin</b:Last>
            <b:First>V</b:First>
          </b:Person>
          <b:Person>
            <b:Last>Wattanayinsakul</b:Last>
            <b:First>V</b:First>
          </b:Person>
          <b:Person>
            <b:Last>Theerarattakul</b:Last>
            <b:First>P</b:First>
          </b:Person>
          <b:Person>
            <b:Last>Rakvanichpong</b:Last>
            <b:First>S</b:First>
          </b:Person>
        </b:NameList>
      </b:Author>
    </b:Author>
    <b:Title>Equations for estimation of the Thai's stature from the length of long bones</b:Title>
    <b:Publisher>Unpublished ms, Department of Anatomy, Faculty of Medicine, Siriraj Hospital, Mahidol, Bangkok</b:Publisher>
    <b:Year>n.d.</b:Year>
    <b:RefOrder>87</b:RefOrder>
  </b:Source>
  <b:Source>
    <b:Tag>San85</b:Tag>
    <b:SourceType>JournalArticle</b:SourceType>
    <b:Guid>{98CEA371-3828-9947-AEC2-70BB41C22604}</b:Guid>
    <b:Title>Estimation of stature of Thai and Chinese from the length of femur, tibia and fibula</b:Title>
    <b:Year>1985</b:Year>
    <b:Author>
      <b:Author>
        <b:NameList>
          <b:Person>
            <b:Last>Sangvichien</b:Last>
            <b:Middle>J</b:Middle>
            <b:First>S</b:First>
          </b:Person>
          <b:Person>
            <b:Last>Srisurin</b:Last>
            <b:First>V</b:First>
          </b:Person>
          <b:Person>
            <b:Last>Watthanayingsakul</b:Last>
            <b:First>V</b:First>
          </b:Person>
        </b:NameList>
      </b:Author>
    </b:Author>
    <b:JournalName>Siriraj Hospital Gazette</b:JournalName>
    <b:Volume>37</b:Volume>
    <b:Pages>215-218</b:Pages>
    <b:RefOrder>88</b:RefOrder>
  </b:Source>
  <b:Source>
    <b:Tag>Wal091</b:Tag>
    <b:SourceType>JournalArticle</b:SourceType>
    <b:Guid>{865D6644-96DD-D34A-B473-AE81EC63C046}</b:Guid>
    <b:Title>The causes of porotic hyperostosis and bribra orbitalia: a reappraisal of the iron-deficiency-anaemia hypothesis</b:Title>
    <b:JournalName>American Journal of Physical Anthropology</b:JournalName>
    <b:Year>2009</b:Year>
    <b:Volume>139</b:Volume>
    <b:Issue>2</b:Issue>
    <b:Pages>109-125</b:Pages>
    <b:Author>
      <b:Author>
        <b:NameList>
          <b:Person>
            <b:Last>Walker</b:Last>
            <b:Middle>L</b:Middle>
            <b:First>P</b:First>
          </b:Person>
          <b:Person>
            <b:Last>Bathurst</b:Last>
            <b:Middle>R</b:Middle>
            <b:First>R</b:First>
          </b:Person>
          <b:Person>
            <b:Last>Richman</b:Last>
            <b:First>R</b:First>
          </b:Person>
          <b:Person>
            <b:Last>Gjerdrum</b:Last>
            <b:First>T</b:First>
          </b:Person>
          <b:Person>
            <b:Last>Andrushkp</b:Last>
            <b:Middle>A</b:Middle>
            <b:First>V</b:First>
          </b:Person>
        </b:NameList>
      </b:Author>
    </b:Author>
    <b:RefOrder>89</b:RefOrder>
  </b:Source>
  <b:Source>
    <b:Tag>Bri18</b:Tag>
    <b:SourceType>JournalArticle</b:SourceType>
    <b:Guid>{D2B08888-428B-4040-848C-F0336F27B6DA}</b:Guid>
    <b:Title>Cribra orbitalia and porotic hyperstosis: A biological approach to diagnosis</b:Title>
    <b:JournalName>American Journal of Physical Anthropology</b:JournalName>
    <b:Year>2018</b:Year>
    <b:Volume>167</b:Volume>
    <b:Issue>4</b:Issue>
    <b:Pages>896-902</b:Pages>
    <b:Author>
      <b:Author>
        <b:NameList>
          <b:Person>
            <b:Last>Brickley</b:Last>
            <b:Middle>B</b:Middle>
            <b:First>M</b:First>
          </b:Person>
        </b:NameList>
      </b:Author>
    </b:Author>
    <b:RefOrder>90</b:RefOrder>
  </b:Source>
  <b:Source>
    <b:Tag>Wea15</b:Tag>
    <b:SourceType>BookSection</b:SourceType>
    <b:Guid>{7E112F4E-4C83-6848-AFF1-BA6280303B07}</b:Guid>
    <b:Title>The Thalassemias: Disorders of Globin Synthesis</b:Title>
    <b:Year>2015</b:Year>
    <b:Pages>725</b:Pages>
    <b:BookTitle>William Hematology</b:BookTitle>
    <b:Publisher>McGraw Hill Professional</b:Publisher>
    <b:Author>
      <b:Author>
        <b:NameList>
          <b:Person>
            <b:Last>Weatherall</b:Last>
            <b:Middle>J</b:Middle>
            <b:First>D</b:First>
          </b:Person>
        </b:NameList>
      </b:Author>
      <b:Editor>
        <b:NameList>
          <b:Person>
            <b:Last>Kaushansky</b:Last>
            <b:First>K</b:First>
          </b:Person>
          <b:Person>
            <b:Last>Lichtman</b:Last>
            <b:Middle>A</b:Middle>
            <b:First>M</b:First>
          </b:Person>
          <b:Person>
            <b:Last>Prchal</b:Last>
            <b:Middle>T</b:Middle>
            <b:First>J</b:First>
          </b:Person>
          <b:Person>
            <b:Last>Levi</b:Last>
            <b:Middle>M</b:Middle>
            <b:First>M</b:First>
          </b:Person>
          <b:Person>
            <b:Last>Press</b:Last>
            <b:Middle>W</b:Middle>
            <b:First>O</b:First>
          </b:Person>
          <b:Person>
            <b:Last>Burns</b:Last>
            <b:Middle>J</b:Middle>
            <b:First>L</b:First>
          </b:Person>
          <b:Person>
            <b:Last>Caligiuri</b:Last>
            <b:Middle>A</b:Middle>
            <b:First>M</b:First>
          </b:Person>
        </b:NameList>
      </b:Editor>
    </b:Author>
    <b:Edition>9th</b:Edition>
    <b:RefOrder>91</b:RefOrder>
  </b:Source>
  <b:Source>
    <b:Tag>Gur07</b:Tag>
    <b:SourceType>JournalArticle</b:SourceType>
    <b:Guid>{ADBC76E7-D31E-0147-A09C-6034E27B0DD8}</b:Guid>
    <b:Title>Conversion of red bone marrow into yellow - Cause and mechanisms</b:Title>
    <b:Year>2007</b:Year>
    <b:Pages>531-536</b:Pages>
    <b:Author>
      <b:Author>
        <b:NameList>
          <b:Person>
            <b:Last>Gurevitch</b:Last>
            <b:First>O</b:First>
          </b:Person>
          <b:Person>
            <b:Last>Skavin</b:Last>
            <b:First>S</b:First>
          </b:Person>
          <b:Person>
            <b:Last>Feldman</b:Last>
            <b:Middle>G</b:Middle>
            <b:First>A</b:First>
          </b:Person>
        </b:NameList>
      </b:Author>
    </b:Author>
    <b:JournalName>Medical Hypothesis</b:JournalName>
    <b:Volume>69</b:Volume>
    <b:Issue>3</b:Issue>
    <b:RefOrder>92</b:RefOrder>
  </b:Source>
  <b:Source>
    <b:Tag>Kar16</b:Tag>
    <b:SourceType>JournalArticle</b:SourceType>
    <b:Guid>{62D58445-B4D9-424D-806F-3563EE68ADE0}</b:Guid>
    <b:Title>Craniofacial Charactersitics of Thalassemia Major Patients</b:Title>
    <b:JournalName>The Eurasian Journal of Medicine</b:JournalName>
    <b:Year>2016</b:Year>
    <b:Volume>48</b:Volume>
    <b:Issue>3</b:Issue>
    <b:Pages>204-208</b:Pages>
    <b:Author>
      <b:Author>
        <b:NameList>
          <b:Person>
            <b:Last>Karakas</b:Last>
            <b:First>S</b:First>
          </b:Person>
          <b:Person>
            <b:Last>Tellioglu</b:Last>
            <b:Middle>M</b:Middle>
            <b:First>A</b:First>
          </b:Person>
          <b:Person>
            <b:Last>Bilgin</b:Last>
            <b:First>M</b:First>
          </b:Person>
          <b:Person>
            <b:Last>Omurlu</b:Last>
            <b:Middle>K</b:Middle>
            <b:First>I</b:First>
          </b:Person>
          <b:Person>
            <b:Last>Caliskan</b:Last>
            <b:First>S</b:First>
          </b:Person>
          <b:Person>
            <b:Last>Coskun</b:Last>
            <b:First>S</b:First>
          </b:Person>
        </b:NameList>
      </b:Author>
    </b:Author>
    <b:RefOrder>93</b:RefOrder>
  </b:Source>
  <b:Source>
    <b:Tag>Ort03</b:Tag>
    <b:SourceType>Book</b:SourceType>
    <b:Guid>{D146CFF3-6106-BC40-9247-6B0075E09F07}</b:Guid>
    <b:Title>Identificationof Pathological Conditions in Human Skeletal Remains</b:Title>
    <b:Year>2003</b:Year>
    <b:City>San Diego</b:City>
    <b:Publisher>Academic Press</b:Publisher>
    <b:Edition>2nd</b:Edition>
    <b:Author>
      <b:Author>
        <b:NameList>
          <b:Person>
            <b:Last>Ortner</b:Last>
            <b:Middle>J</b:Middle>
            <b:First>D</b:First>
          </b:Person>
        </b:NameList>
      </b:Author>
    </b:Author>
    <b:RefOrder>94</b:RefOrder>
  </b:Source>
  <b:Source>
    <b:Tag>Wea81</b:Tag>
    <b:SourceType>Book</b:SourceType>
    <b:Guid>{6837E30C-F025-1A48-8288-2C8F65791AB9}</b:Guid>
    <b:Title>The Thalassaemia Syndromws</b:Title>
    <b:City>Oxford</b:City>
    <b:Publisher>Blackwell</b:Publisher>
    <b:Year>1981</b:Year>
    <b:Author>
      <b:Author>
        <b:NameList>
          <b:Person>
            <b:Last>Weatherall</b:Last>
            <b:Middle>J</b:Middle>
            <b:First>D</b:First>
          </b:Person>
          <b:Person>
            <b:Last>Clegg</b:Last>
            <b:Middle>B</b:Middle>
            <b:First>J</b:First>
          </b:Person>
        </b:NameList>
      </b:Author>
    </b:Author>
    <b:RefOrder>95</b:RefOrder>
  </b:Source>
  <b:Source>
    <b:Tag>Wal94</b:Tag>
    <b:SourceType>Book</b:SourceType>
    <b:Guid>{0354413B-0454-2346-BB6C-D0CCBB6E5CF1}</b:Guid>
    <b:Title>Counting the Dead: The Epidemiology of Skeletal Populations</b:Title>
    <b:Year>1994</b:Year>
    <b:City>Chichester</b:City>
    <b:Publisher>Wiley</b:Publisher>
    <b:Author>
      <b:Author>
        <b:NameList>
          <b:Person>
            <b:Last>Waldron</b:Last>
            <b:First>T</b:First>
          </b:Person>
        </b:NameList>
      </b:Author>
    </b:Author>
    <b:RefOrder>96</b:RefOrder>
  </b:Source>
  <b:Source>
    <b:Tag>Dom11</b:Tag>
    <b:SourceType>JournalArticle</b:SourceType>
    <b:Guid>{A5440554-2AA9-9B4E-89EB-3AB82C503409}</b:Guid>
    <b:Title>Cultural Modification of the Dentition in Prehistoric Cambodia</b:Title>
    <b:Year>2011</b:Year>
    <b:JournalName>International Journal of Osteology</b:JournalName>
    <b:Volume>23</b:Volume>
    <b:Issue>3</b:Issue>
    <b:Pages>274-286</b:Pages>
    <b:Author>
      <b:Author>
        <b:NameList>
          <b:Person>
            <b:Last>Domett</b:Last>
            <b:Middle>M</b:Middle>
            <b:First>K</b:First>
          </b:Person>
          <b:Person>
            <b:Last>Newton</b:Last>
            <b:First>J</b:First>
          </b:Person>
          <b:Person>
            <b:Last>O'Reilly</b:Last>
            <b:Middle>J W</b:Middle>
            <b:First>D</b:First>
          </b:Person>
          <b:Person>
            <b:Last>Tayles</b:Last>
            <b:First>N</b:First>
          </b:Person>
          <b:Person>
            <b:Last>Shewan</b:Last>
            <b:First>L</b:First>
          </b:Person>
          <b:Person>
            <b:Last>Beavan</b:Last>
            <b:First>N</b:First>
          </b:Person>
        </b:NameList>
      </b:Author>
    </b:Author>
    <b:RefOrder>97</b:RefOrder>
  </b:Source>
  <b:Source>
    <b:Tag>Ino95</b:Tag>
    <b:SourceType>JournalArticle</b:SourceType>
    <b:Guid>{048623B1-45C0-6948-9313-962EE3C7F9F6}</b:Guid>
    <b:Title>Ritual ablation of front teeth in modern and recent Kenyans</b:Title>
    <b:JournalName>Anthropological Science</b:JournalName>
    <b:Year>1995</b:Year>
    <b:Volume>103</b:Volume>
    <b:Issue>3</b:Issue>
    <b:Pages>263-277</b:Pages>
    <b:Author>
      <b:Author>
        <b:NameList>
          <b:Person>
            <b:Last>Inoue</b:Last>
            <b:First>N</b:First>
          </b:Person>
          <b:Person>
            <b:Last>Sakashita</b:Last>
            <b:First>R</b:First>
          </b:Person>
          <b:Person>
            <b:Last>Inoue</b:Last>
            <b:First>M</b:First>
          </b:Person>
          <b:Person>
            <b:Last>Kamegai</b:Last>
            <b:First>T</b:First>
          </b:Person>
          <b:Person>
            <b:Last>Ohashi</b:Last>
            <b:First>K</b:First>
          </b:Person>
          <b:Person>
            <b:Last>Katsivo</b:Last>
            <b:First>M</b:First>
          </b:Person>
        </b:NameList>
      </b:Author>
    </b:Author>
    <b:RefOrder>98</b:RefOrder>
  </b:Source>
  <b:Source>
    <b:Tag>Pin15</b:Tag>
    <b:SourceType>JournalArticle</b:SourceType>
    <b:Guid>{2AE2DBE2-FFC9-314C-90AA-DDD3A137E6EB}</b:Guid>
    <b:Title>Dental Ritual Mutilations and Forensic Odontologist Practice</b:Title>
    <b:JournalName>Acta Stomatologica Croatia</b:JournalName>
    <b:Year>2015</b:Year>
    <b:Volume>49</b:Volume>
    <b:Issue>1</b:Issue>
    <b:Pages>3-13</b:Pages>
    <b:Author>
      <b:Author>
        <b:NameList>
          <b:Person>
            <b:Last>Pinchi</b:Last>
            <b:First>V</b:First>
          </b:Person>
          <b:Person>
            <b:Last>Barbieri</b:Last>
            <b:First>P</b:First>
          </b:Person>
          <b:Person>
            <b:Last>Pradella</b:Last>
            <b:First>F</b:First>
          </b:Person>
          <b:Person>
            <b:Last>Focardi</b:Last>
            <b:First>M</b:First>
          </b:Person>
          <b:Person>
            <b:Last>Bartolini</b:Last>
            <b:First>V</b:First>
          </b:Person>
          <b:Person>
            <b:Last>Norelli</b:Last>
            <b:First>G-A</b:First>
          </b:Person>
        </b:NameList>
      </b:Author>
    </b:Author>
    <b:RefOrder>99</b:RefOrder>
  </b:Source>
  <b:Source>
    <b:Tag>Kin20</b:Tag>
    <b:SourceType>JournalArticle</b:SourceType>
    <b:Guid>{8C13E3B6-8397-FE41-9EF2-FF9EA8101756}</b:Guid>
    <b:Title>Ritual Tooth Ablation and the Austronesian Expansion: Evidence from eastern Indonesia and the Pacific Islands</b:Title>
    <b:JournalName>The Journal of Island and Coastal Archaeology</b:JournalName>
    <b:Year>2020</b:Year>
    <b:Pages>DOI: 10.1080/15564894.2020.1754971</b:Pages>
    <b:Author>
      <b:Author>
        <b:NameList>
          <b:Person>
            <b:Last>Kinaston</b:Last>
            <b:Middle>L</b:Middle>
            <b:First>R</b:First>
          </b:Person>
          <b:Person>
            <b:Last>Koesbardiati</b:Last>
            <b:First>T</b:First>
          </b:Person>
          <b:Person>
            <b:Last>Suriyanto</b:Last>
            <b:Middle>A</b:Middle>
            <b:First>R</b:First>
          </b:Person>
          <b:Person>
            <b:Last>Buckley</b:Last>
            <b:Middle>R</b:Middle>
            <b:First>H</b:First>
          </b:Person>
          <b:Person>
            <b:Last>Halcrow</b:Last>
            <b:Middle>E</b:Middle>
            <b:First>S</b:First>
          </b:Person>
          <b:Person>
            <b:Last>Foster</b:Last>
            <b:First>A</b:First>
          </b:Person>
          <b:Person>
            <b:Last>Simanjuntak</b:Last>
            <b:First>T</b:First>
          </b:Person>
          <b:Person>
            <b:Last>Bedford</b:Last>
            <b:First>S</b:First>
          </b:Person>
          <b:Person>
            <b:Last>Murti</b:Last>
            <b:Middle>B</b:Middle>
            <b:First>D</b:First>
          </b:Person>
          <b:Person>
            <b:Last>Purti</b:Last>
            <b:Middle>S</b:Middle>
            <b:First>R</b:First>
          </b:Person>
          <b:Person>
            <b:Last>Galipaud</b:Last>
            <b:First>J-C</b:First>
          </b:Person>
        </b:NameList>
      </b:Author>
    </b:Author>
    <b:RefOrder>100</b:RefOrder>
  </b:Source>
  <b:Source>
    <b:Tag>ODo20</b:Tag>
    <b:SourceType>JournalArticle</b:SourceType>
    <b:Guid>{97E58A3A-0F45-E44E-AD3C-5914147B16B1}</b:Guid>
    <b:Title>Cribra orbitalia and porotic hyperostosis are associated with respiratory infections in a contemporary mortality sample from New Mexico</b:Title>
    <b:JournalName>American Journal of Physical Anthropology</b:JournalName>
    <b:Year>2020</b:Year>
    <b:Pages>1-13</b:Pages>
    <b:Author>
      <b:Author>
        <b:NameList>
          <b:Person>
            <b:Last>O'Donnell</b:Last>
            <b:First>L</b:First>
          </b:Person>
          <b:Person>
            <b:Last>Hill</b:Last>
            <b:Middle>C</b:Middle>
            <b:First>E</b:First>
          </b:Person>
          <b:Person>
            <b:Last>Anderson Anderson</b:Last>
            <b:Middle>S</b:Middle>
            <b:First>A</b:First>
          </b:Person>
          <b:Person>
            <b:Last>Edgar</b:Last>
            <b:Middle>K H</b:Middle>
            <b:First>H</b:First>
          </b:Person>
        </b:NameList>
      </b:Author>
    </b:Author>
    <b:Comments>DOI: 10.1002/ajpa.24131</b:Comments>
    <b:RefOrder>101</b:RefOrder>
  </b:Source>
  <b:Source>
    <b:Tag>Lew11</b:Tag>
    <b:SourceType>BookSection</b:SourceType>
    <b:Guid>{EB99DEFA-A04D-DB41-8A10-DF15C6959C2B}</b:Guid>
    <b:Title>The Osteology of Infancy and Childhood: Misconceptions and Potential</b:Title>
    <b:Year>2011</b:Year>
    <b:Author>
      <b:Author>
        <b:NameList>
          <b:Person>
            <b:Last>Lewis</b:Last>
            <b:Middle>E</b:Middle>
            <b:First>M</b:First>
          </b:Person>
        </b:NameList>
      </b:Author>
      <b:Editor>
        <b:NameList>
          <b:Person>
            <b:Last>Lally</b:Last>
            <b:First>M</b:First>
          </b:Person>
          <b:Person>
            <b:Last>Moore</b:Last>
            <b:First>A</b:First>
          </b:Person>
        </b:NameList>
      </b:Editor>
    </b:Author>
    <b:BookTitle>(Re)Thinking the Little Ancestor: New Perspective on the Archaeology of Infancy and Childhood</b:BookTitle>
    <b:City>Oxford</b:City>
    <b:Publisher>British Archaeological Reports Oxford Ltd</b:Publisher>
    <b:RefOrder>102</b:RefOrder>
  </b:Source>
  <b:Source>
    <b:Tag>Hil14</b:Tag>
    <b:SourceType>Book</b:SourceType>
    <b:Guid>{4FF0E131-3086-6243-9DF9-EC4C0D507B8B}</b:Guid>
    <b:Title>Tooth Devlopment in Human Evolution and Bioarchaeology</b:Title>
    <b:City>Cambridge</b:City>
    <b:Publisher>Cambridge University Press</b:Publisher>
    <b:Year>2014</b:Year>
    <b:Author>
      <b:Author>
        <b:NameList>
          <b:Person>
            <b:Last>Hillson</b:Last>
            <b:First>S</b:First>
          </b:Person>
        </b:NameList>
      </b:Author>
    </b:Author>
    <b:RefOrder>103</b:RefOrder>
  </b:Source>
  <b:Source>
    <b:Tag>Hil97</b:Tag>
    <b:SourceType>Book</b:SourceType>
    <b:Guid>{F3220064-ECC1-9348-B7AC-2D6B6BA454F3}</b:Guid>
    <b:Title>Dental Anthropology</b:Title>
    <b:City>Cambridge</b:City>
    <b:Publisher>Cambridge University Press</b:Publisher>
    <b:Year>1997</b:Year>
    <b:Author>
      <b:Author>
        <b:NameList>
          <b:Person>
            <b:Last>Hillson</b:Last>
            <b:First>S</b:First>
          </b:Person>
        </b:NameList>
      </b:Author>
    </b:Author>
    <b:RefOrder>104</b:RefOrder>
  </b:Source>
  <b:Source>
    <b:Tag>Ben04</b:Tag>
    <b:SourceType>BookSection</b:SourceType>
    <b:Guid>{E91A2DE5-9A8B-3145-96E1-2D83FB39E4C1}</b:Guid>
    <b:Title>Appendix Characterising Human Mobility by Strontium Analysis of the Skeleton</b:Title>
    <b:Year>2004</b:Year>
    <b:BookTitle>The Excavation of Khok Phanom Di, A Prehistoric Site in Central Thailand, Volume VII: Summary and Conclusions</b:BookTitle>
    <b:Pages>159-166</b:Pages>
    <b:Author>
      <b:Author>
        <b:NameList>
          <b:Person>
            <b:Last>Bentley</b:Last>
            <b:Middle>A</b:Middle>
            <b:First>R</b:First>
          </b:Person>
        </b:NameList>
      </b:Author>
      <b:Editor>
        <b:NameList>
          <b:Person>
            <b:Last>Higham</b:Last>
            <b:Middle>F W</b:Middle>
            <b:First>C</b:First>
          </b:Person>
          <b:Person>
            <b:Last>Thosarat</b:Last>
            <b:First>R</b:First>
          </b:Person>
        </b:NameList>
      </b:Editor>
    </b:Author>
    <b:City>London</b:City>
    <b:Publisher>The Society of Antiquaries</b:Publisher>
    <b:RefOrder>105</b:RefOrder>
  </b:Source>
  <b:Source>
    <b:Tag>Hig15</b:Tag>
    <b:SourceType>BookSection</b:SourceType>
    <b:Guid>{013A0F5C-CE0B-8949-958F-6EBD792B058D}</b:Guid>
    <b:Title>Death and Mortality Rituals in Mainland Southeast Asia: From Hunter Gatherers to the God Kings of Angkor</b:Title>
    <b:BookTitle>Death Rituals, Social Order and the Archaeology of Immortality in the Ancient World. 'Death Shall Have No Dominion'.</b:BookTitle>
    <b:City>Cambridge</b:City>
    <b:Publisher>Cambridge University Press</b:Publisher>
    <b:Year>2015</b:Year>
    <b:Pages>280-300</b:Pages>
    <b:Author>
      <b:Author>
        <b:NameList>
          <b:Person>
            <b:Last>Higham</b:Last>
            <b:Middle>F W</b:Middle>
            <b:First>C</b:First>
          </b:Person>
        </b:NameList>
      </b:Author>
      <b:Editor>
        <b:NameList>
          <b:Person>
            <b:Last>Renfrew</b:Last>
            <b:First>C</b:First>
          </b:Person>
          <b:Person>
            <b:Last>Boyd</b:Last>
            <b:Middle>J</b:Middle>
            <b:First>M</b:First>
          </b:Person>
          <b:Person>
            <b:Last>Morley</b:Last>
            <b:First>I</b:First>
          </b:Person>
        </b:NameList>
      </b:Editor>
    </b:Author>
    <b:RefOrder>106</b:RefOrder>
  </b:Source>
  <b:Source>
    <b:Tag>Bel06</b:Tag>
    <b:SourceType>BookSection</b:SourceType>
    <b:Guid>{1380EA9D-12EA-244D-99E6-BB70DE775B63}</b:Guid>
    <b:Title>The Intrinsic Pattern of Preservation of Human Behaviours and its Influence on the Interpretation of Funerary Behaviours</b:Title>
    <b:BookTitle>Social Archaeology of Funerary Remains</b:BookTitle>
    <b:City>Oxford</b:City>
    <b:Publisher>Oxbow Books</b:Publisher>
    <b:Year>2006</b:Year>
    <b:Pages>1-13</b:Pages>
    <b:Author>
      <b:Author>
        <b:NameList>
          <b:Person>
            <b:Last>Bello</b:Last>
            <b:First>S</b:First>
          </b:Person>
          <b:Person>
            <b:Last>Andrews</b:Last>
            <b:First>P</b:First>
          </b:Person>
        </b:NameList>
      </b:Author>
      <b:Editor>
        <b:NameList>
          <b:Person>
            <b:Last>Gowland</b:Last>
            <b:First>R</b:First>
          </b:Person>
          <b:Person>
            <b:Last>Knüsel</b:Last>
            <b:First>C</b:First>
          </b:Person>
        </b:NameList>
      </b:Editor>
    </b:Author>
    <b:RefOrder>107</b:RefOrder>
  </b:Source>
  <b:Source>
    <b:Tag>Lam16</b:Tag>
    <b:SourceType>JournalArticle</b:SourceType>
    <b:Guid>{B39AB59D-B51A-204B-9777-FE30B165204A}</b:Guid>
    <b:Title>Evaluating three methods to estimate the number of individuls from a commingled context</b:Title>
    <b:Year>2016</b:Year>
    <b:Pages>674-683</b:Pages>
    <b:JournalName>Journal of Archaeological Science: Reports</b:JournalName>
    <b:Volume>10</b:Volume>
    <b:Author>
      <b:Author>
        <b:NameList>
          <b:Person>
            <b:Last>Lambacher</b:Last>
            <b:First>N</b:First>
          </b:Person>
          <b:Person>
            <b:Last>Gerdau-Radonic</b:Last>
            <b:First>K</b:First>
          </b:Person>
          <b:Person>
            <b:Last>Bonthorne</b:Last>
            <b:First>E</b:First>
          </b:Person>
          <b:Person>
            <b:Last>Valle de Tarazaga Montero</b:Last>
            <b:Middle>J</b:Middle>
            <b:First>F</b:First>
          </b:Person>
        </b:NameList>
      </b:Author>
    </b:Author>
    <b:RefOrder>108</b:RefOrder>
  </b:Source>
  <b:Source>
    <b:Tag>Wal07</b:Tag>
    <b:SourceType>Book</b:SourceType>
    <b:Guid>{ECC254DF-786A-DB47-B1CC-EFB4F3425BEE}</b:Guid>
    <b:Title>Palaeoepidemiology: The Measure of Disease in the Human Past</b:Title>
    <b:Year>2007</b:Year>
    <b:City>Walnut Creek</b:City>
    <b:Publisher>The Left Coast Press, Inc</b:Publisher>
    <b:Author>
      <b:Author>
        <b:NameList>
          <b:Person>
            <b:Last>Waldron</b:Last>
            <b:First>T</b:First>
          </b:Person>
        </b:NameList>
      </b:Author>
    </b:Author>
    <b:RefOrder>109</b:RefOrder>
  </b:Source>
  <b:Source>
    <b:Tag>Whi53</b:Tag>
    <b:SourceType>JournalArticle</b:SourceType>
    <b:Guid>{803BDC70-7DB9-E541-9A12-7CF13ECA7795}</b:Guid>
    <b:Title>A Method of Calculating the Dietary Percentage of Various Food Animals Utilized by Aboriginal Peoples</b:Title>
    <b:Year>1953</b:Year>
    <b:JournalName>American Antiquity</b:JournalName>
    <b:Volume>18</b:Volume>
    <b:Issue>4</b:Issue>
    <b:Pages>396-398</b:Pages>
    <b:Author>
      <b:Author>
        <b:NameList>
          <b:Person>
            <b:Last>White</b:Last>
            <b:Middle>E</b:Middle>
            <b:First>T</b:First>
          </b:Person>
        </b:NameList>
      </b:Author>
    </b:Author>
    <b:RefOrder>110</b:RefOrder>
  </b:Source>
  <b:Source>
    <b:Tag>Row17</b:Tag>
    <b:SourceType>JournalArticle</b:SourceType>
    <b:Guid>{A06DEF16-B256-5F48-8F69-D3EACE1C3FFE}</b:Guid>
    <b:Title>Recording Skeletal Completeness: A standardised approach </b:Title>
    <b:JournalName>Forensic Science International</b:JournalName>
    <b:Year>2017</b:Year>
    <b:Volume>275</b:Volume>
    <b:Pages>117-123</b:Pages>
    <b:Author>
      <b:Author>
        <b:NameList>
          <b:Person>
            <b:Last>Rowbotham</b:Last>
            <b:Middle>K</b:Middle>
            <b:First>S</b:First>
          </b:Person>
          <b:Person>
            <b:Last>Blau</b:Last>
            <b:First>S</b:First>
          </b:Person>
          <b:Person>
            <b:Last>Hislop-Jambrich</b:Last>
            <b:First>J</b:First>
          </b:Person>
        </b:NameList>
      </b:Author>
    </b:Author>
    <b:RefOrder>111</b:RefOrder>
  </b:Source>
  <b:Source>
    <b:Tag>Auf98</b:Tag>
    <b:SourceType>Book</b:SourceType>
    <b:Guid>{44693E68-7200-D34A-BEE7-F37571593942}</b:Guid>
    <b:Title>The Cambridge Encyclopedia of Human Palaeopathology</b:Title>
    <b:Year>1998</b:Year>
    <b:City>Cambridge</b:City>
    <b:Publisher>Cambridge University Press</b:Publisher>
    <b:Author>
      <b:Author>
        <b:NameList>
          <b:Person>
            <b:Last>Aufderheide</b:Last>
            <b:Middle>C</b:Middle>
            <b:First>A</b:First>
          </b:Person>
          <b:Person>
            <b:Last>Rodriguez-Martin</b:Last>
            <b:First>C</b:First>
          </b:Person>
        </b:NameList>
      </b:Author>
    </b:Author>
    <b:RefOrder>112</b:RefOrder>
  </b:Source>
  <b:Source>
    <b:Tag>Beo14</b:Tag>
    <b:SourceType>JournalArticle</b:SourceType>
    <b:Guid>{16A5C6AC-BA37-EF4D-AA71-B19956630578}</b:Guid>
    <b:Title>Harris lines observe in human skeletons of Joseon Dynasty, Korea</b:Title>
    <b:Year>2014</b:Year>
    <b:JournalName>Anatomy and Cell Biology</b:JournalName>
    <b:Volume>47</b:Volume>
    <b:Issue>1</b:Issue>
    <b:Pages>66-72</b:Pages>
    <b:Author>
      <b:Author>
        <b:NameList>
          <b:Person>
            <b:Last>Beom</b:Last>
            <b:First>J</b:First>
          </b:Person>
          <b:Person>
            <b:Last>Woo</b:Last>
            <b:Middle>J</b:Middle>
            <b:First>E</b:First>
          </b:Person>
          <b:Person>
            <b:Last>Lee</b:Last>
            <b:Middle>S</b:Middle>
            <b:First>I</b:First>
          </b:Person>
          <b:Person>
            <b:Last>Kim</b:Last>
            <b:Middle>J</b:Middle>
            <b:First>M</b:First>
          </b:Person>
          <b:Person>
            <b:Last>Kim</b:Last>
            <b:First>Y</b:First>
          </b:Person>
          <b:Person>
            <b:Last>Oh</b:Last>
            <b:Middle>S</b:Middle>
            <b:First>C</b:First>
          </b:Person>
          <b:Person>
            <b:Last>L</b:Last>
            <b:First>S</b:First>
          </b:Person>
          <b:Person>
            <b:Last>Lim</b:Last>
            <b:Middle>B</b:Middle>
            <b:First>S</b:First>
          </b:Person>
          <b:Person>
            <b:Last>Shin</b:Last>
            <b:Middle>H</b:Middle>
            <b:First>D</b:First>
          </b:Person>
        </b:NameList>
      </b:Author>
    </b:Author>
    <b:RefOrder>113</b:RefOrder>
  </b:Source>
  <b:Source>
    <b:Tag>Nik14</b:Tag>
    <b:SourceType>JournalArticle</b:SourceType>
    <b:Guid>{8F4CC595-04B7-E648-B5F6-2CEB4B441215}</b:Guid>
    <b:Title>The Use of Generalized Linear Models and Generalized Estimating Equations in Bioarchaeological Studies</b:Title>
    <b:Year>2014</b:Year>
    <b:JournalName>American Journal of Physical Anthropology</b:JournalName>
    <b:Volume>153</b:Volume>
    <b:Pages>473-483</b:Pages>
    <b:Author>
      <b:Author>
        <b:NameList>
          <b:Person>
            <b:Last>Nikita</b:Last>
            <b:First>E</b:First>
          </b:Person>
        </b:NameList>
      </b:Author>
    </b:Author>
    <b:RefOrder>114</b:RefOrder>
  </b:Source>
  <b:Source>
    <b:Tag>Rob01</b:Tag>
    <b:SourceType>JournalArticle</b:SourceType>
    <b:Guid>{40711A5E-9BF8-F040-9A89-8F0655937183}</b:Guid>
    <b:Title>Social "Status" and Biological "Status": A Comparison of Grave Goods and Skeletal Indicators from Pontecagnano</b:Title>
    <b:JournalName>American Journal of Physical Anthropology</b:JournalName>
    <b:Year>2001</b:Year>
    <b:Volume>115</b:Volume>
    <b:Pages>213-222</b:Pages>
    <b:Author>
      <b:Author>
        <b:NameList>
          <b:Person>
            <b:Last>Robb</b:Last>
            <b:First>J</b:First>
          </b:Person>
          <b:Person>
            <b:Last>Bigazzi</b:Last>
            <b:First>R</b:First>
          </b:Person>
          <b:Person>
            <b:Last>Lazzarini</b:Last>
            <b:First>L</b:First>
          </b:Person>
          <b:Person>
            <b:Last>Scarsini</b:Last>
            <b:First>C</b:First>
          </b:Person>
          <b:Person>
            <b:Last>Sonego</b:Last>
            <b:First>F</b:First>
          </b:Person>
        </b:NameList>
      </b:Author>
    </b:Author>
    <b:RefOrder>115</b:RefOrder>
  </b:Source>
  <b:Source>
    <b:Tag>Tes20</b:Tag>
    <b:SourceType>JournalArticle</b:SourceType>
    <b:Guid>{70377C1C-0ED8-A646-8076-A0D8032F2951}</b:Guid>
    <b:Title>Ancient DNA reveals monozygotic newborn twins from the Upper Palaeolithic</b:Title>
    <b:JournalName>Communications Biology</b:JournalName>
    <b:Year>2020</b:Year>
    <b:Volume>3</b:Volume>
    <b:Issue>650</b:Issue>
    <b:Author>
      <b:Author>
        <b:NameList>
          <b:Person>
            <b:Last>Teschler-Nicola</b:Last>
            <b:First>M</b:First>
          </b:Person>
          <b:Person>
            <b:Last>Fernandes</b:Last>
            <b:First>D</b:First>
          </b:Person>
          <b:Person>
            <b:Last>Händel</b:Last>
            <b:First>M</b:First>
          </b:Person>
          <b:Person>
            <b:Last>Einwögerer</b:Last>
            <b:First>T</b:First>
          </b:Person>
          <b:Person>
            <b:Last>Simon</b:Last>
            <b:First>U</b:First>
          </b:Person>
          <b:Person>
            <b:Last>Neugebauer-Maresch</b:Last>
            <b:First>C</b:First>
          </b:Person>
          <b:Person>
            <b:Last>Tangl</b:Last>
            <b:First>S</b:First>
          </b:Person>
          <b:Person>
            <b:Last>Heimel</b:Last>
            <b:First>P</b:First>
          </b:Person>
          <b:Person>
            <b:Last>Dobsak</b:Last>
            <b:First>T</b:First>
          </b:Person>
          <b:Person>
            <b:Last>Retzmann</b:Last>
            <b:First>A</b:First>
          </b:Person>
          <b:Person>
            <b:Last>Prohaska</b:Last>
            <b:First>T</b:First>
          </b:Person>
          <b:Person>
            <b:Last>Irrgher</b:Last>
            <b:First>J</b:First>
          </b:Person>
          <b:Person>
            <b:Last>Kennett</b:Last>
            <b:Middle>J</b:Middle>
            <b:First>D</b:First>
          </b:Person>
          <b:Person>
            <b:Last>Olalde</b:Last>
            <b:First>I</b:First>
          </b:Person>
          <b:Person>
            <b:Last>Reich</b:Last>
            <b:First>D</b:First>
          </b:Person>
          <b:Person>
            <b:Last>Rinhasi</b:Last>
            <b:First>R</b:First>
          </b:Person>
        </b:NameList>
      </b:Author>
    </b:Author>
    <b:Comments>https://doi.org/10.1038/s42003-020-01372-8 </b:Comments>
    <b:RefOrder>116</b:RefOrder>
  </b:Source>
  <b:Source>
    <b:Tag>Woo06</b:Tag>
    <b:SourceType>Book</b:SourceType>
    <b:Guid>{BF6534F2-C384-C940-81DC-34382602F253}</b:Guid>
    <b:Title>Generalized Additive Models: An introduction with R</b:Title>
    <b:Year>2006</b:Year>
    <b:City>Boca Raton</b:City>
    <b:Publisher>CRC Taylor and Francis, Chapman and Hall</b:Publisher>
    <b:Edition>2nd Edition</b:Edition>
    <b:Author>
      <b:Author>
        <b:NameList>
          <b:Person>
            <b:Last>Wood</b:Last>
            <b:Middle>N</b:Middle>
            <b:First>S</b:First>
          </b:Person>
        </b:NameList>
      </b:Author>
    </b:Author>
    <b:RefOrder>117</b:RefOrder>
  </b:Source>
  <b:Source>
    <b:Tag>Dan96</b:Tag>
    <b:SourceType>Book</b:SourceType>
    <b:Guid>{D211C05B-1313-AA41-AE5C-67C343108E36}</b:Guid>
    <b:Title>Death and Burial in Medieval England 1066-1550</b:Title>
    <b:City>London</b:City>
    <b:Publisher>Taylor and Francis</b:Publisher>
    <b:Year>1996</b:Year>
    <b:Author>
      <b:Author>
        <b:NameList>
          <b:Person>
            <b:Last>Daniell</b:Last>
            <b:First>C</b:First>
          </b:Person>
        </b:NameList>
      </b:Author>
    </b:Author>
    <b:RefOrder>118</b:RefOrder>
  </b:Source>
  <b:Source>
    <b:Tag>Mur11</b:Tag>
    <b:SourceType>JournalArticle</b:SourceType>
    <b:Guid>{DDB6F113-1C9B-514F-9BBE-F952A37C4EF4}</b:Guid>
    <b:Title>Children's Burial Grounds in Ireland (Cillini) and Parental Emotion Towards Infant Death</b:Title>
    <b:JournalName>International Journal of Historical Archaeology</b:JournalName>
    <b:Year>2011</b:Year>
    <b:Volume>15</b:Volume>
    <b:Pages>409-428</b:Pages>
    <b:Author>
      <b:Author>
        <b:NameList>
          <b:Person>
            <b:Last>Murphy</b:Last>
            <b:Middle>M</b:Middle>
            <b:First>E</b:First>
          </b:Person>
        </b:NameList>
      </b:Author>
    </b:Author>
    <b:Comments>www.jstor.org/stable/41306895. Accessed 21 Dec. 2020.</b:Comments>
    <b:RefOrder>119</b:RefOrder>
  </b:Source>
  <b:Source>
    <b:Tag>Cob20</b:Tag>
    <b:SourceType>Book</b:SourceType>
    <b:Guid>{B0D6325E-9209-BB4D-B397-07D7B71B6147}</b:Guid>
    <b:Title>Assembling Archaeology: Teaching, Practice, and Research</b:Title>
    <b:Year>2020</b:Year>
    <b:City>Cambridge</b:City>
    <b:Publisher>Cambridge University Press</b:Publisher>
    <b:Author>
      <b:Author>
        <b:NameList>
          <b:Person>
            <b:Last>Cobb</b:Last>
            <b:First>H</b:First>
          </b:Person>
          <b:Person>
            <b:Last>Croucher</b:Last>
            <b:First>K</b:First>
          </b:Person>
        </b:NameList>
      </b:Author>
    </b:Author>
    <b:RefOrder>120</b:RefOrder>
  </b:Source>
  <b:Source>
    <b:Tag>Val20</b:Tag>
    <b:SourceType>InternetSite</b:SourceType>
    <b:Guid>{D40D3219-269F-5842-BB77-F70C8EBBF7CA}</b:Guid>
    <b:Title>Chrissy Teigen Has Ignited an Important Conversation Around Miscarriage</b:Title>
    <b:Year>2020</b:Year>
    <b:Author>
      <b:Author>
        <b:NameList>
          <b:Person>
            <b:Last>Valenti</b:Last>
            <b:First>L</b:First>
          </b:Person>
        </b:NameList>
      </b:Author>
    </b:Author>
    <b:URL>https://www.vogue.com/article/chrissy-teigen-miscarriage-pregnancy-loss</b:URL>
    <b:YearAccessed>2020</b:YearAccessed>
    <b:MonthAccessed>12</b:MonthAccessed>
    <b:DayAccessed>21</b:DayAccessed>
    <b:InternetSiteTitle>Vogue</b:InternetSiteTitle>
    <b:Month>10</b:Month>
    <b:Day>01</b:Day>
    <b:RefOrder>121</b:RefOrder>
  </b:Source>
  <b:Source>
    <b:Tag>Sto00</b:Tag>
    <b:SourceType>JournalArticle</b:SourceType>
    <b:Guid>{C558D373-F39A-954A-95F7-A88675BE867A}</b:Guid>
    <b:Title>Hormonal correlates of paternal responsiveness in new and expectant fathers</b:Title>
    <b:Year>2000</b:Year>
    <b:JournalName>Evolution and Human Behaviour</b:JournalName>
    <b:Volume>21</b:Volume>
    <b:Issue>2</b:Issue>
    <b:Pages>79-95</b:Pages>
    <b:Author>
      <b:Author>
        <b:NameList>
          <b:Person>
            <b:Last>Storey</b:Last>
            <b:Middle>E</b:Middle>
            <b:First>A</b:First>
          </b:Person>
          <b:Person>
            <b:Last>Walsh</b:Last>
            <b:Middle>J</b:Middle>
            <b:First>C</b:First>
          </b:Person>
          <b:Person>
            <b:Last>Quinton</b:Last>
            <b:Middle>L</b:Middle>
            <b:First>R</b:First>
          </b:Person>
          <b:Person>
            <b:Last>Wynne-Edwards</b:Last>
            <b:Middle>E</b:Middle>
            <b:First>K</b:First>
          </b:Person>
        </b:NameList>
      </b:Author>
    </b:Author>
    <b:Comments>https://doi.org/10.1016/S1090-5138(99)00042-2</b:Comments>
    <b:RefOrder>122</b:RefOrder>
  </b:Source>
  <b:Source>
    <b:Tag>Wit20</b:Tag>
    <b:SourceType>JournalArticle</b:SourceType>
    <b:Guid>{55828071-AA82-A34D-8BC2-C6537BE62EFF}</b:Guid>
    <b:Title>Predicting infant-father attachment: the role of pre- and postnal triadic family alliane and paternal testoserone levels</b:Title>
    <b:JournalName>Attachment and Devlopment</b:JournalName>
    <b:Year>2020</b:Year>
    <b:Volume>22</b:Volume>
    <b:Issue>6</b:Issue>
    <b:Pages>653-667</b:Pages>
    <b:Author>
      <b:Author>
        <b:NameList>
          <b:Person>
            <b:Last>Witte</b:Last>
            <b:Middle>M</b:Middle>
            <b:First>A</b:First>
          </b:Person>
          <b:Person>
            <b:Last>Bakermans-Kranenburg</b:Last>
            <b:Middle>J</b:Middle>
            <b:First>M</b:First>
          </b:Person>
          <b:Person>
            <b:Last>van Ijzendoorn</b:Last>
            <b:Middle>H</b:Middle>
            <b:First>M</b:First>
          </b:Person>
          <b:Person>
            <b:Last>Szepsenwol</b:Last>
            <b:First>O</b:First>
          </b:Person>
          <b:Person>
            <b:Last>Shai</b:Last>
            <b:First>D</b:First>
          </b:Person>
        </b:NameList>
      </b:Author>
    </b:Author>
    <b:Comments>DOI: 10.1080/14616734.2019.1680713</b:Comments>
    <b:RefOrder>123</b:RefOrder>
  </b:Source>
  <b:Source>
    <b:Tag>Tay06</b:Tag>
    <b:SourceType>BookSection</b:SourceType>
    <b:Guid>{5E636E38-4092-A246-B4A5-F751BE14C6A6}</b:Guid>
    <b:Title>Introduction: Southeast Asian bioarchaeology past and present</b:Title>
    <b:Publisher>Cambridge University Press</b:Publisher>
    <b:City>Cambridge</b:City>
    <b:Year>2006</b:Year>
    <b:BookTitle>Bioarchaeology of Southeast Asia</b:BookTitle>
    <b:Pages>1-30</b:Pages>
    <b:Author>
      <b:Author>
        <b:NameList>
          <b:Person>
            <b:Last>Tayles</b:Last>
            <b:First>N</b:First>
          </b:Person>
          <b:Person>
            <b:Last>Oxenham</b:Last>
            <b:First>M</b:First>
          </b:Person>
        </b:NameList>
      </b:Author>
      <b:Editor>
        <b:NameList>
          <b:Person>
            <b:Last>Oxenham</b:Last>
            <b:First>M</b:First>
          </b:Person>
          <b:Person>
            <b:Last>Tayles</b:Last>
            <b:First>N</b:First>
          </b:Person>
        </b:NameList>
      </b:Editor>
    </b:Author>
    <b:RefOrder>124</b:RefOrder>
  </b:Source>
  <b:Source>
    <b:Tag>Can15</b:Tag>
    <b:SourceType>JournalArticle</b:SourceType>
    <b:Guid>{13C6E23B-8F77-F046-BD57-C705582C49D3}</b:Guid>
    <b:Title>Infant Death and the Archaeology of Grief</b:Title>
    <b:Year>2015</b:Year>
    <b:Pages>399-416</b:Pages>
    <b:JournalName>Cambridge Archaeological Journal</b:JournalName>
    <b:Volume>25</b:Volume>
    <b:Issue>2</b:Issue>
    <b:Author>
      <b:Author>
        <b:NameList>
          <b:Person>
            <b:Last>Cannon</b:Last>
            <b:First>A</b:First>
          </b:Person>
          <b:Person>
            <b:Last>Cook</b:Last>
            <b:First>K</b:First>
          </b:Person>
        </b:NameList>
      </b:Author>
    </b:Author>
    <b:RefOrder>125</b:RefOrder>
  </b:Source>
  <b:Source>
    <b:Tag>Rac03</b:Tag>
    <b:SourceType>JournalArticle</b:SourceType>
    <b:Guid>{E5DEC3EC-D89D-E145-A30D-0116CF0A49C6}</b:Guid>
    <b:Title>Subsistence strategies and burial rituals: Social practices in the late Deccan Chalcolithic</b:Title>
    <b:JournalName>Asian Perspectives</b:JournalName>
    <b:Year>2003</b:Year>
    <b:Volume>42</b:Volume>
    <b:Pages>247-266</b:Pages>
    <b:Author>
      <b:Author>
        <b:NameList>
          <b:Person>
            <b:Last>Raczek</b:Last>
            <b:Middle>P</b:Middle>
            <b:First>T</b:First>
          </b:Person>
        </b:NameList>
      </b:Author>
    </b:Author>
    <b:RefOrder>126</b:RefOrder>
  </b:Source>
  <b:Source>
    <b:Tag>Wat20</b:Tag>
    <b:SourceType>JournalArticle</b:SourceType>
    <b:Guid>{4B2C0143-0D58-694C-8B76-E55E973206E8}</b:Guid>
    <b:Title>Stillbirth rate rises during cronavirus pandemic</b:Title>
    <b:JournalName>Nature</b:JournalName>
    <b:Year>2020</b:Year>
    <b:Volume>585</b:Volume>
    <b:Pages>490-491</b:Pages>
    <b:Author>
      <b:Author>
        <b:NameList>
          <b:Person>
            <b:Last>Watson</b:Last>
            <b:First>C</b:First>
          </b:Person>
        </b:NameList>
      </b:Author>
    </b:Author>
    <b:Comments>doi: https://doi-org.ezp.lib.cam.ac.uk/10.1038/d41586-020-02618-5</b:Comments>
    <b:RefOrder>127</b:RefOrder>
  </b:Source>
  <b:Source>
    <b:Tag>Ash20</b:Tag>
    <b:SourceType>JournalArticle</b:SourceType>
    <b:Guid>{395A9426-FEDA-2247-8442-47530BA69FFE}</b:Guid>
    <b:Title>Effect of the COVID-19 pandemic response on intrapartum care, stillbirth, and neonatal mortality outcomes in Nepal: a prospective observational study</b:Title>
    <b:JournalName>Lancet Global Health</b:JournalName>
    <b:Year>2020</b:Year>
    <b:Volume>8</b:Volume>
    <b:Pages>e1273-81</b:Pages>
    <b:Author>
      <b:Author>
        <b:NameList>
          <b:Person>
            <b:Last>Ashish</b:Last>
            <b:Middle>C</b:Middle>
            <b:First>K</b:First>
          </b:Person>
          <b:Person>
            <b:Last>Gurung</b:Last>
            <b:First>R</b:First>
          </b:Person>
          <b:Person>
            <b:Last>Kinney</b:Last>
            <b:Middle>V</b:Middle>
            <b:First>M</b:First>
          </b:Person>
          <b:Person>
            <b:Last>Sunny</b:Last>
            <b:Middle>K</b:Middle>
            <b:First>A</b:First>
          </b:Person>
          <b:Person>
            <b:Last>Moinuddin</b:Last>
            <b:First>M</b:First>
          </b:Person>
          <b:Person>
            <b:Last>Basnet</b:Last>
            <b:First>O</b:First>
          </b:Person>
          <b:Person>
            <b:Last>Paudel</b:Last>
            <b:First>P</b:First>
          </b:Person>
          <b:Person>
            <b:Last>Bhattarai</b:Last>
            <b:First>P</b:First>
          </b:Person>
          <b:Person>
            <b:Last>Subedi</b:Last>
            <b:First>K</b:First>
          </b:Person>
          <b:Person>
            <b:Last>Shrestha</b:Last>
            <b:Middle>P</b:Middle>
            <b:First>M</b:First>
          </b:Person>
          <b:Person>
            <b:Last>Lawn</b:Last>
            <b:Middle>E</b:Middle>
            <b:First>J</b:First>
          </b:Person>
          <b:Person>
            <b:Last>Malqvist</b:Last>
            <b:First>M</b:First>
          </b:Person>
        </b:NameList>
      </b:Author>
    </b:Author>
    <b:Comments>https://doi.org/10.1016/ S2214-109X(20)30345-4</b:Comments>
    <b:RefOrder>128</b:RefOrder>
  </b:Source>
  <b:Source>
    <b:Tag>Jan11</b:Tag>
    <b:SourceType>JournalArticle</b:SourceType>
    <b:Guid>{EA44813D-79E6-0740-984A-545D439D984F}</b:Guid>
    <b:Title>Neonatal line as a linear evidence of live birth: Estimation of postnatal survival of a new born from primary tooth germs</b:Title>
    <b:JournalName>Forensic Dental Sciences</b:JournalName>
    <b:Year>2011</b:Year>
    <b:Volume>3</b:Volume>
    <b:Issue>1</b:Issue>
    <b:Pages>8-13</b:Pages>
    <b:Author>
      <b:Author>
        <b:NameList>
          <b:Person>
            <b:Last>Janardhanan</b:Last>
            <b:First>M</b:First>
          </b:Person>
          <b:Person>
            <b:Last>Umadethan</b:Last>
            <b:First>B</b:First>
          </b:Person>
          <b:Person>
            <b:Last>Biniraj</b:Last>
            <b:Middle>R</b:Middle>
            <b:First>K</b:First>
          </b:Person>
          <b:Person>
            <b:Last>Kumar</b:Last>
            <b:Middle>B</b:Middle>
            <b:First>R</b:First>
          </b:Person>
          <b:Person>
            <b:Last>Rakesh</b:Last>
            <b:First>S</b:First>
          </b:Person>
        </b:NameList>
      </b:Author>
    </b:Author>
    <b:RefOrder>129</b:RefOrder>
  </b:Source>
  <b:Source>
    <b:Tag>Can14</b:Tag>
    <b:SourceType>JournalArticle</b:SourceType>
    <b:Guid>{FC775108-48C4-734B-B6D4-7B7F55CA6E1E}</b:Guid>
    <b:Title>Neonatal line on fetus and infant teeth: An indicator of live birth and mode of delivery</b:Title>
    <b:JournalName>Early Human Development</b:JournalName>
    <b:Year>2014</b:Year>
    <b:Volume>90</b:Volume>
    <b:Pages>393-397</b:Pages>
    <b:Author>
      <b:Author>
        <b:NameList>
          <b:Person>
            <b:Last>Canturk</b:Last>
            <b:First>N</b:First>
          </b:Person>
          <b:Person>
            <b:Last>Atsu</b:Last>
            <b:Middle>S</b:Middle>
            <b:First>S</b:First>
          </b:Person>
          <b:Person>
            <b:Last>Aka</b:Last>
            <b:Middle>S</b:Middle>
            <b:First>P</b:First>
          </b:Person>
          <b:Person>
            <b:Last>Dagalp</b:Last>
            <b:First>R</b:First>
          </b:Person>
        </b:NameList>
      </b:Author>
    </b:Author>
    <b:Comments>http://dx.doi.org/10.1016/j.earlhumdev.2014.05.002</b:Comments>
    <b:RefOrder>130</b:RefOrder>
  </b:Source>
  <b:Source>
    <b:Tag>Hur17</b:Tag>
    <b:SourceType>JournalArticle</b:SourceType>
    <b:Guid>{42831866-04CB-A94D-A310-B5906B579C87}</b:Guid>
    <b:Title>Deciduous neonatal line: Width is associated with duration of delivery</b:Title>
    <b:JournalName>Forensic Science International 271</b:JournalName>
    <b:Year>2017</b:Year>
    <b:Pages>87-91</b:Pages>
    <b:Author>
      <b:Author>
        <b:NameList>
          <b:Person>
            <b:Last>Hurnanen</b:Last>
            <b:First>J</b:First>
          </b:Person>
          <b:Person>
            <b:Last>Visnapii</b:Last>
            <b:First>V</b:First>
          </b:Person>
          <b:Person>
            <b:Last>Sillanpää</b:Last>
            <b:First>M</b:First>
          </b:Person>
          <b:Person>
            <b:Last>Löyttyniemi</b:Last>
            <b:First>E</b:First>
          </b:Person>
          <b:Person>
            <b:Last>Rautava</b:Last>
            <b:First>J</b:First>
          </b:Person>
        </b:NameList>
      </b:Author>
    </b:Author>
    <b:Comments>http://dx.doi.org/10.1016/j.forsciint.2016.12.016</b:Comments>
    <b:RefOrder>131</b:RefOrder>
  </b:Source>
  <b:Source>
    <b:Tag>Hal18</b:Tag>
    <b:SourceType>BookSection</b:SourceType>
    <b:Guid>{C5821649-87DA-FE43-BE3D-96505422E412}</b:Guid>
    <b:Title>The Bioarchaeology of Fetuses</b:Title>
    <b:Year>2018</b:Year>
    <b:Pages>83-111</b:Pages>
    <b:BookTitle>The Anthropology of the Fetus: Biology, Culture, and Society</b:BookTitle>
    <b:City>Oxford</b:City>
    <b:Publisher>Berghahn</b:Publisher>
    <b:Author>
      <b:Author>
        <b:NameList>
          <b:Person>
            <b:Last>Halcrow</b:Last>
            <b:Middle>E</b:Middle>
            <b:First>S</b:First>
          </b:Person>
          <b:Person>
            <b:Last>Tayles</b:Last>
            <b:First>N</b:First>
          </b:Person>
          <b:Person>
            <b:Last>Elliott</b:Last>
            <b:Middle>E</b:Middle>
            <b:First>G</b:First>
          </b:Person>
        </b:NameList>
      </b:Author>
      <b:Editor>
        <b:NameList>
          <b:Person>
            <b:Last>Han</b:Last>
            <b:First>S</b:First>
          </b:Person>
          <b:Person>
            <b:Last>Betsinger</b:Last>
            <b:Middle>K</b:Middle>
            <b:First>T</b:First>
          </b:Person>
          <b:Person>
            <b:Last>Scott</b:Last>
            <b:Middle>B</b:Middle>
            <b:First>A</b:First>
          </b:Person>
        </b:NameList>
      </b:Editor>
    </b:Author>
    <b:RefOrder>132</b:RefOrder>
  </b:Source>
  <b:Source>
    <b:Tag>Rif11</b:Tag>
    <b:SourceType>JournalArticle</b:SourceType>
    <b:Guid>{F57E9097-FF4D-1D4E-94A4-CF4A5D5ED0F3}</b:Guid>
    <b:Title>Assessing the efficacy of red ochre as a prehistoric hide tanning ingredient</b:Title>
    <b:Year>2011</b:Year>
    <b:JournalName>Journal of African Archaeology</b:JournalName>
    <b:Volume>9</b:Volume>
    <b:Issue>2</b:Issue>
    <b:Pages>131-158</b:Pages>
    <b:Author>
      <b:Author>
        <b:NameList>
          <b:Person>
            <b:Last>Rifkin</b:Last>
            <b:First>R</b:First>
            <b:Middle>F</b:Middle>
          </b:Person>
        </b:NameList>
      </b:Author>
    </b:Author>
    <b:RefOrder>133</b:RefOrder>
  </b:Source>
  <b:Source>
    <b:Tag>Wal03</b:Tag>
    <b:SourceType>JournalArticle</b:SourceType>
    <b:Guid>{3E07F7EB-4DDA-9442-B2BF-C236248E03F4}</b:Guid>
    <b:Title>On the Maori method of preparing and using kokowi</b:Title>
    <b:JournalName>Transactions and Proceedings of the Royal Society of New Zealand</b:JournalName>
    <b:Year>1903</b:Year>
    <b:Volume>36</b:Volume>
    <b:Pages>4-10</b:Pages>
    <b:Author>
      <b:Author>
        <b:NameList>
          <b:Person>
            <b:Last>Walsh</b:Last>
            <b:First>A</b:First>
          </b:Person>
        </b:NameList>
      </b:Author>
    </b:Author>
    <b:RefOrder>134</b:RefOrder>
  </b:Source>
  <b:Source>
    <b:Tag>Vel84</b:Tag>
    <b:SourceType>JournalArticle</b:SourceType>
    <b:Guid>{6473B3C9-FD68-1C45-A793-D9B2EE6A8A75}</b:Guid>
    <b:Title>Ochre as Medicine: A Suggestion for the Interpretation of the Archaeological Record</b:Title>
    <b:JournalName>Current Anthropology</b:JournalName>
    <b:Year>1984</b:Year>
    <b:Volume>25</b:Volume>
    <b:Issue>5</b:Issue>
    <b:Pages>674</b:Pages>
    <b:Author>
      <b:Author>
        <b:NameList>
          <b:Person>
            <b:Last>Velo</b:Last>
            <b:First>J</b:First>
          </b:Person>
        </b:NameList>
      </b:Author>
    </b:Author>
    <b:RefOrder>135</b:RefOrder>
  </b:Source>
  <b:Source>
    <b:Tag>Tay96</b:Tag>
    <b:SourceType>JournalArticle</b:SourceType>
    <b:Guid>{39D73B4A-FB5D-0448-937C-841FB0C34AFF}</b:Guid>
    <b:Title>Anemia, Genetic Diseases, and Malaria In Prehistoric Mainland Southeast Asia</b:Title>
    <b:Year>1996a</b:Year>
    <b:JournalName>American Journal of Physical Anthropology</b:JournalName>
    <b:Volume>101</b:Volume>
    <b:Pages>11-27</b:Pages>
    <b:Author>
      <b:Author>
        <b:NameList>
          <b:Person>
            <b:Last>Tayles</b:Last>
            <b:First>N</b:First>
          </b:Person>
        </b:NameList>
      </b:Author>
    </b:Author>
    <b:RefOrder>136</b:RefOrder>
  </b:Source>
  <b:Source>
    <b:Tag>Tay961</b:Tag>
    <b:SourceType>JournalArticle</b:SourceType>
    <b:Guid>{77345947-2BA1-D146-AB2B-713FB2F6C14C}</b:Guid>
    <b:Title>Tooth Ablation in Prehistoric Southeast Asia</b:Title>
    <b:JournalName>International Journal of Osteoarchaeology</b:JournalName>
    <b:Year>1996b</b:Year>
    <b:Volume>6</b:Volume>
    <b:Pages>333-345</b:Pages>
    <b:Author>
      <b:Author>
        <b:NameList>
          <b:Person>
            <b:Last>Tayles</b:Last>
            <b:First>N</b:First>
          </b:Person>
        </b:NameList>
      </b:Author>
    </b:Author>
    <b:RefOrder>137</b:RefOrder>
  </b:Source>
  <b:Source>
    <b:Tag>Här14</b:Tag>
    <b:SourceType>JournalArticle</b:SourceType>
    <b:Guid>{9371CA7A-6EF2-7044-BECC-08DEF659B9B9}</b:Guid>
    <b:Title>Grave goods in early medieval burials: messages and meanings</b:Title>
    <b:JournalName>Mortality</b:JournalName>
    <b:Year>2014</b:Year>
    <b:Volume>19</b:Volume>
    <b:Issue>1</b:Issue>
    <b:Pages>41-60</b:Pages>
    <b:Author>
      <b:Author>
        <b:NameList>
          <b:Person>
            <b:Last>Härke </b:Last>
            <b:First>H</b:First>
          </b:Person>
        </b:NameList>
      </b:Author>
    </b:Author>
    <b:Comments>DOI: 10.1080/13576275.2013.870544</b:Comments>
    <b:RefOrder>138</b:RefOrder>
  </b:Source>
  <b:Source>
    <b:Tag>Bla20</b:Tag>
    <b:SourceType>Book</b:SourceType>
    <b:Guid>{EF4FB9F0-BFA5-2242-98EF-3FDD63C38ADB}</b:Guid>
    <b:Title>Written in Bone: hidden stories in what we leave behind</b:Title>
    <b:Year>2020</b:Year>
    <b:City>London</b:City>
    <b:Publisher>Transworld Publishers Ltd </b:Publisher>
    <b:Author>
      <b:Author>
        <b:NameList>
          <b:Person>
            <b:Last>Black</b:Last>
            <b:First>S</b:First>
          </b:Person>
        </b:NameList>
      </b:Author>
    </b:Author>
    <b:RefOrder>139</b:RefOrder>
  </b:Source>
  <b:Source>
    <b:Tag>Ber11</b:Tag>
    <b:SourceType>JournalArticle</b:SourceType>
    <b:Guid>{272560E9-5D79-6546-BC4E-06623D155B5A}</b:Guid>
    <b:Title>Cerclage for Short Cevix on Ultrasonography in Woman with Singleton Gestations and Previous Preterm Birth</b:Title>
    <b:Year>2011</b:Year>
    <b:JournalName>Obstetrics and Gynecology</b:JournalName>
    <b:Volume>117</b:Volume>
    <b:Issue>2</b:Issue>
    <b:Pages>663-671</b:Pages>
    <b:Author>
      <b:Author>
        <b:NameList>
          <b:Person>
            <b:Last>Berghella</b:Last>
            <b:First>V</b:First>
          </b:Person>
          <b:Person>
            <b:Last>Rafael</b:Last>
            <b:Middle>J</b:Middle>
            <b:First>T</b:First>
          </b:Person>
          <b:Person>
            <b:Last>Szychowski</b:Last>
            <b:Middle>M</b:Middle>
            <b:First>J</b:First>
          </b:Person>
          <b:Person>
            <b:Last>Rust</b:Last>
            <b:Middle>A</b:Middle>
            <b:First>O</b:First>
          </b:Person>
          <b:Person>
            <b:Last>Owen</b:Last>
            <b:First>J</b:First>
          </b:Person>
        </b:NameList>
      </b:Author>
    </b:Author>
    <b:Comments>doi: 10.1097/AOG.0b013e31820ca847</b:Comments>
    <b:RefOrder>140</b:RefOrder>
  </b:Source>
  <b:Source>
    <b:Tag>Mar76</b:Tag>
    <b:SourceType>Book</b:SourceType>
    <b:Guid>{E729C040-C051-FF44-9E8A-F908243BAB27}</b:Guid>
    <b:Title>The !Kung of Nyae Nyae</b:Title>
    <b:Year>1976</b:Year>
    <b:Author>
      <b:Author>
        <b:NameList>
          <b:Person>
            <b:Last>Marshal</b:Last>
            <b:First>L</b:First>
          </b:Person>
        </b:NameList>
      </b:Author>
    </b:Author>
    <b:City>Cambridge</b:City>
    <b:Publisher>Harvard University Press</b:Publisher>
    <b:RefOrder>141</b:RefOrder>
  </b:Source>
  <b:Source>
    <b:Tag>Zeg59</b:Tag>
    <b:SourceType>JournalArticle</b:SourceType>
    <b:Guid>{FE9FA01F-ABBC-C842-B554-EA07B4D927FC}</b:Guid>
    <b:Title>Headhunting Practices of the Asmat of Netherlands New Guinea</b:Title>
    <b:Year>1959</b:Year>
    <b:JournalName>Amerian Anthropologist</b:JournalName>
    <b:Volume>61</b:Volume>
    <b:Issue>6</b:Issue>
    <b:Pages>1020-1041</b:Pages>
    <b:Author>
      <b:Author>
        <b:NameList>
          <b:Person>
            <b:Last>Zegwaard</b:Last>
            <b:Middle>A</b:Middle>
            <b:First>G</b:First>
          </b:Person>
        </b:NameList>
      </b:Author>
    </b:Author>
    <b:RefOrder>142</b:RefOrder>
  </b:Source>
  <b:Source>
    <b:Tag>Bec15</b:Tag>
    <b:SourceType>JournalArticle</b:SourceType>
    <b:Guid>{7873F213-2A54-2040-A8E9-A00C5C67E025}</b:Guid>
    <b:Title>Mummy Restoration Project Among the Anga of Papua New Guinea</b:Title>
    <b:JournalName>The Anatomical Record</b:JournalName>
    <b:Year>2015</b:Year>
    <b:Volume>298</b:Volume>
    <b:Pages>1013-1025</b:Pages>
    <b:Author>
      <b:Author>
        <b:NameList>
          <b:Person>
            <b:Last>Beckett</b:Last>
            <b:Middle>G</b:Middle>
            <b:First>R</b:First>
          </b:Person>
          <b:Person>
            <b:Last>Nelson</b:Last>
            <b:Middle>J</b:Middle>
            <b:First>A</b:First>
          </b:Person>
        </b:NameList>
      </b:Author>
    </b:Author>
    <b:Comments>DOI 10.1002/ar.23139</b:Comments>
    <b:RefOrder>143</b:RefOrder>
  </b:Source>
  <b:Source>
    <b:Tag>Dha20</b:Tag>
    <b:SourceType>JournalArticle</b:SourceType>
    <b:Guid>{32FF0E48-822C-C342-AA5A-D7E3771A7EE3}</b:Guid>
    <b:Title>Life expectancy and risk factors for early death in patients with severe thalassemia syndromes in South India</b:Title>
    <b:JournalName>Blood Advances</b:JournalName>
    <b:Year>2020</b:Year>
    <b:Volume>4</b:Volume>
    <b:Issue>7</b:Issue>
    <b:Pages>1448-1457</b:Pages>
    <b:Author>
      <b:Author>
        <b:NameList>
          <b:Person>
            <b:Last>Dhanya</b:Last>
            <b:First>R</b:First>
          </b:Person>
          <b:Person>
            <b:Last>Sedai</b:Last>
            <b:First>S</b:First>
          </b:Person>
          <b:Person>
            <b:Last>Ankita</b:Last>
            <b:First>K</b:First>
          </b:Person>
          <b:Person>
            <b:Last>Parmar</b:Last>
            <b:First>L</b:First>
          </b:Person>
          <b:Person>
            <b:Last>Agarwal</b:Last>
            <b:First>R</b:First>
            <b:Middle>K</b:Middle>
          </b:Person>
          <b:Person>
            <b:Last>Hegde</b:Last>
            <b:First>S</b:First>
          </b:Person>
          <b:Person>
            <b:Last>Ramaswami</b:Last>
            <b:First>G</b:First>
          </b:Person>
          <b:Person>
            <b:Last>Gowda</b:Last>
            <b:First>A</b:First>
          </b:Person>
          <b:Person>
            <b:Last>Girija</b:Last>
            <b:First>S</b:First>
          </b:Person>
          <b:Person>
            <b:Last>Gujjal</b:Last>
            <b:First>P</b:First>
          </b:Person>
          <b:Person>
            <b:Last>Pushpa</b:Last>
            <b:First>H</b:First>
          </b:Person>
          <b:Person>
            <b:Last>Ramaiah</b:Last>
            <b:First>J</b:First>
            <b:Middle>D</b:Middle>
          </b:Person>
          <b:Person>
            <b:Last>Jarri</b:Last>
            <b:First>C</b:First>
          </b:Person>
          <b:Person>
            <b:Last>Jali</b:Last>
            <b:First>S</b:First>
          </b:Person>
          <b:Person>
            <b:Last>Tallur</b:Last>
            <b:First>N</b:First>
            <b:Middle>R</b:Middle>
          </b:Person>
          <b:Person>
            <b:Last>Shenoy</b:Last>
            <b:First>U</b:First>
            <b:Middle>V</b:Middle>
          </b:Person>
          <b:Person>
            <b:Last>Pinto</b:Last>
            <b:First>D</b:First>
          </b:Person>
          <b:Person>
            <b:Last>Ramprakash</b:Last>
            <b:First>S</b:First>
          </b:Person>
          <b:Person>
            <b:Last>Raghuram</b:Last>
            <b:First>C</b:First>
            <b:Middle>P</b:Middle>
          </b:Person>
          <b:Person>
            <b:Last>Trivedi</b:Last>
            <b:First>D</b:First>
          </b:Person>
          <b:Person>
            <b:Last>Cao</b:Last>
            <b:First>X</b:First>
          </b:Person>
          <b:Person>
            <b:Last>Faulkner</b:Last>
            <b:First>L</b:First>
          </b:Person>
        </b:NameList>
      </b:Author>
    </b:Author>
    <b:Comments>doi: 10.1182/bloodadvances.2019000760</b:Comments>
    <b:RefOrder>144</b:RefOrder>
  </b:Source>
  <b:Source>
    <b:Tag>Aye18</b:Tag>
    <b:SourceType>JournalArticle</b:SourceType>
    <b:Guid>{BFA8E8D0-75A7-D649-9808-F7BEB8E17F94}</b:Guid>
    <b:Title>Prediction of sudden death in elderly patients with heart failure</b:Title>
    <b:JournalName>Journal of Geriatric Cardiology</b:JournalName>
    <b:Year>2018</b:Year>
    <b:Volume>15</b:Volume>
    <b:Issue>2</b:Issue>
    <b:Pages>185-192</b:Pages>
    <b:Author>
      <b:Author>
        <b:NameList>
          <b:Person>
            <b:Last>Ayesta</b:Last>
            <b:First>A</b:First>
          </b:Person>
          <b:Person>
            <b:Last>Martinez-Salles</b:Last>
            <b:First>H</b:First>
          </b:Person>
          <b:Person>
            <b:Last>Bayes de Luna</b:Last>
            <b:First>A</b:First>
          </b:Person>
          <b:Person>
            <b:Last>Martinez-Selles</b:Last>
            <b:First>M</b:First>
          </b:Person>
        </b:NameList>
      </b:Author>
    </b:Author>
    <b:Comments>doi: 10.11909/j.issn.1671-5411.2018.02.008</b:Comments>
    <b:RefOrder>145</b:RefOrder>
  </b:Source>
  <b:Source>
    <b:Tag>Rue12</b:Tag>
    <b:SourceType>JournalArticle</b:SourceType>
    <b:Guid>{E1155B83-5B4F-4649-B4D8-0D801060B747}</b:Guid>
    <b:Title>The human sex ratio: effect of maternal age</b:Title>
    <b:JournalName>Human Reproduction</b:JournalName>
    <b:Year>2012</b:Year>
    <b:Volume>27</b:Volume>
    <b:Issue>1</b:Issue>
    <b:Pages>283-287</b:Pages>
    <b:Author>
      <b:Author>
        <b:NameList>
          <b:Person>
            <b:Last>Rueness</b:Last>
            <b:First>J</b:First>
          </b:Person>
          <b:Person>
            <b:Last>Vatten</b:Last>
            <b:First>L</b:First>
          </b:Person>
          <b:Person>
            <b:Last>Eskild</b:Last>
            <b:First>A</b:First>
          </b:Person>
        </b:NameList>
      </b:Author>
    </b:Author>
    <b:Comments>https://doi.org/10.1093/humrep/der347</b:Comments>
    <b:RefOrder>146</b:RefOrder>
  </b:Source>
  <b:Source>
    <b:Tag>Ndo</b:Tag>
    <b:SourceType>JournalArticle</b:SourceType>
    <b:Guid>{60D0A9A3-3CAE-7644-AEBB-4E004CB03913}</b:Guid>
    <b:Author>
      <b:Author>
        <b:NameList>
          <b:Person>
            <b:Last>Ndoen</b:Last>
            <b:First>E</b:First>
          </b:Person>
          <b:Person>
            <b:Last>Wild</b:Last>
            <b:First>C</b:First>
          </b:Person>
          <b:Person>
            <b:Last>Dale</b:Last>
            <b:First>P</b:First>
          </b:Person>
          <b:Person>
            <b:Last>Sipe</b:Last>
            <b:First>N</b:First>
          </b:Person>
          <b:Person>
            <b:Last>Dale</b:Last>
            <b:First>M</b:First>
          </b:Person>
        </b:NameList>
      </b:Author>
    </b:Author>
    <b:Title>Mosquito Longevity, Vector Capacity, and Malaria Incidence in West Timor and Central Java, Indonesia</b:Title>
    <b:JournalName>International Scholarly Research Notices</b:JournalName>
    <b:Year>2012</b:Year>
    <b:Volume>2012</b:Volume>
    <b:Pages>1-5</b:Pages>
    <b:Comments>https://doi.org/10.5402/2012/143863</b:Comments>
    <b:RefOrder>147</b:RefOrder>
  </b:Source>
  <b:Source>
    <b:Tag>UKG17</b:Tag>
    <b:SourceType>InternetSite</b:SourceType>
    <b:Guid>{97F93259-FA90-5E46-AF95-A269D3608062}</b:Guid>
    <b:Author>
      <b:Author>
        <b:Corporate>UKGov</b:Corporate>
      </b:Author>
    </b:Author>
    <b:Title>Dataset: Infant mortality (birth cohort) tables in England and Wales</b:Title>
    <b:Year>2017</b:Year>
    <b:URL>https://www.ons.gov.uk/peoplepopulationandcommunity/birthsdeathsandmarriages/deaths/datasets/infantmortalitybirthcohorttablesinenglandandwales</b:URL>
    <b:YearAccessed>2020</b:YearAccessed>
    <b:MonthAccessed>03</b:MonthAccessed>
    <b:DayAccessed>31</b:DayAccessed>
    <b:InternetSiteTitle>Office for National Statistics</b:InternetSiteTitle>
    <b:Comments>2017 edition of this dataset</b:Comments>
    <b:RefOrder>148</b:RefOrder>
  </b:Source>
  <b:Source>
    <b:Tag>Pow97</b:Tag>
    <b:SourceType>BookSection</b:SourceType>
    <b:Guid>{C9FF747B-02DC-264C-A5B9-89226788D7D8}</b:Guid>
    <b:Title>Female Proto-Symbolic Strategies</b:Title>
    <b:Year>1997</b:Year>
    <b:Pages>153-171</b:Pages>
    <b:Author>
      <b:Author>
        <b:NameList>
          <b:Person>
            <b:Last>Power</b:Last>
            <b:First>C</b:First>
          </b:Person>
          <b:Person>
            <b:Last>Aiello</b:Last>
            <b:First>L</b:First>
          </b:Person>
        </b:NameList>
      </b:Author>
      <b:Editor>
        <b:NameList>
          <b:Person>
            <b:Last>Hager</b:Last>
            <b:Middle>D</b:Middle>
            <b:First>L</b:First>
          </b:Person>
        </b:NameList>
      </b:Editor>
    </b:Author>
    <b:BookTitle>Women in Human Evolution</b:BookTitle>
    <b:City>London</b:City>
    <b:Publisher>Routledge</b:Publisher>
    <b:RefOrder>149</b:RefOrder>
  </b:Source>
  <b:Source>
    <b:Tag>Hen09</b:Tag>
    <b:SourceType>JournalArticle</b:SourceType>
    <b:Guid>{5FC0DBE8-899C-5A44-8969-020B75C513AD}</b:Guid>
    <b:Title>Engraved Ochres from Middle Stone Age Levels at Blombos Cave, South Africa</b:Title>
    <b:Year>2009</b:Year>
    <b:Pages>27-47</b:Pages>
    <b:Author>
      <b:Author>
        <b:NameList>
          <b:Person>
            <b:Last>Henshilwood</b:Last>
            <b:Middle>S</b:Middle>
            <b:First>C</b:First>
          </b:Person>
          <b:Person>
            <b:Last>d'Errico</b:Last>
            <b:First>F</b:First>
          </b:Person>
          <b:Person>
            <b:Last>Watts</b:Last>
            <b:First>I</b:First>
          </b:Person>
        </b:NameList>
      </b:Author>
    </b:Author>
    <b:JournalName>Journal of HUman Evolution</b:JournalName>
    <b:Volume>57</b:Volume>
    <b:RefOrder>150</b:RefOrder>
  </b:Source>
  <b:Source>
    <b:Tag>Hov03</b:Tag>
    <b:SourceType>JournalArticle</b:SourceType>
    <b:Guid>{FB49F891-CFCB-664D-8B62-B3A9CC84939B}</b:Guid>
    <b:Title>An Early Case of Colour Symbolism: Ochre Use by Modern Humans in Oafzeh Cave</b:Title>
    <b:JournalName>Current Anthropology</b:JournalName>
    <b:Year>2003</b:Year>
    <b:Volume>44</b:Volume>
    <b:Issue>4</b:Issue>
    <b:Pages>491-522</b:Pages>
    <b:Author>
      <b:Author>
        <b:NameList>
          <b:Person>
            <b:Last>Hovers</b:Last>
            <b:First>E</b:First>
          </b:Person>
          <b:Person>
            <b:Last>Ilani</b:Last>
            <b:First>S</b:First>
          </b:Person>
          <b:Person>
            <b:Last>Bar-Yosef</b:Last>
            <b:First>O</b:First>
          </b:Person>
          <b:Person>
            <b:Last>Vandermeersch</b:Last>
            <b:First>B</b:First>
          </b:Person>
        </b:NameList>
      </b:Author>
    </b:Author>
    <b:RefOrder>151</b:RefOrder>
  </b:Source>
  <b:Source>
    <b:Tag>Hen091</b:Tag>
    <b:SourceType>BookSection</b:SourceType>
    <b:Guid>{91983DDF-1ECA-A54F-AF12-0FD22843C936}</b:Guid>
    <b:Title>Reading the Artefacts: Gleaning Language Sklls from the Middle Stone Age in Southern Africa</b:Title>
    <b:Year>2009</b:Year>
    <b:Pages>41-61</b:Pages>
    <b:BookTitle>In the Cradle of Language</b:BookTitle>
    <b:City>Oxford</b:City>
    <b:Publisher>Oxford University Press</b:Publisher>
    <b:Author>
      <b:Author>
        <b:NameList>
          <b:Person>
            <b:Last>Henshilwood</b:Last>
            <b:Middle>S</b:Middle>
            <b:First>C</b:First>
          </b:Person>
          <b:Person>
            <b:Last>Dubreuil</b:Last>
            <b:First>B</b:First>
          </b:Person>
        </b:NameList>
      </b:Author>
      <b:Editor>
        <b:NameList>
          <b:Person>
            <b:Last>Botha</b:Last>
            <b:First>R</b:First>
          </b:Person>
          <b:Person>
            <b:Last>Knight</b:Last>
            <b:First>C</b:First>
          </b:Person>
        </b:NameList>
      </b:Editor>
    </b:Author>
    <b:RefOrder>152</b:RefOrder>
  </b:Source>
  <b:Source>
    <b:Tag>Mar07</b:Tag>
    <b:SourceType>JournalArticle</b:SourceType>
    <b:Guid>{1574EADE-0C12-EF45-9BDA-3F4A946662B8}</b:Guid>
    <b:Title>Early Human Use of Marine Resources and Pigment in South Africa During the Middle Pleistocene</b:Title>
    <b:Year>2007</b:Year>
    <b:Pages>905-908</b:Pages>
    <b:JournalName>Nature</b:JournalName>
    <b:Volume>449</b:Volume>
    <b:Author>
      <b:Author>
        <b:NameList>
          <b:Person>
            <b:Last>Marean</b:Last>
            <b:Middle>W</b:Middle>
            <b:First>C</b:First>
          </b:Person>
          <b:Person>
            <b:Last>Bar-Matthews</b:Last>
            <b:First>M</b:First>
          </b:Person>
          <b:Person>
            <b:Last>Bernatchez</b:Last>
            <b:First>J</b:First>
          </b:Person>
          <b:Person>
            <b:Last>Fisher</b:Last>
            <b:First>E</b:First>
          </b:Person>
          <b:Person>
            <b:Last>Goldberg</b:Last>
            <b:First>P</b:First>
          </b:Person>
          <b:Person>
            <b:Last>Herries</b:Last>
            <b:Middle>I R</b:Middle>
            <b:First>A</b:First>
          </b:Person>
          <b:Person>
            <b:Last>Jacobs</b:Last>
            <b:First>Z</b:First>
          </b:Person>
          <b:Person>
            <b:Last>Jerardino</b:Last>
            <b:First>A</b:First>
          </b:Person>
          <b:Person>
            <b:Last>Karkanas</b:Last>
            <b:First>P</b:First>
          </b:Person>
          <b:Person>
            <b:Last>Minichillo</b:Last>
            <b:First>T</b:First>
          </b:Person>
          <b:Person>
            <b:Last>Nilssen</b:Last>
            <b:Middle>J</b:Middle>
            <b:First>P</b:First>
          </b:Person>
          <b:Person>
            <b:Last>Thompson</b:Last>
            <b:First>E</b:First>
          </b:Person>
          <b:Person>
            <b:Last>Watts</b:Last>
            <b:First>I</b:First>
          </b:Person>
          <b:Person>
            <b:Last>Williams</b:Last>
            <b:Middle>M</b:Middle>
            <b:First>H</b:First>
          </b:Person>
        </b:NameList>
      </b:Author>
    </b:Author>
    <b:RefOrder>153</b:RefOrder>
  </b:Source>
  <b:Source>
    <b:Tag>Wor06</b:Tag>
    <b:SourceType>Report</b:SourceType>
    <b:Guid>{8E6E9D48-DF33-3D4F-8CA0-423D91ACFE26}</b:Guid>
    <b:Title>Neonatal and Perinatal Mortality: country, regional and global estimates</b:Title>
    <b:Year>2006</b:Year>
    <b:Author>
      <b:Author>
        <b:Corporate>WHO</b:Corporate>
      </b:Author>
    </b:Author>
    <b:Publisher>World Health Organisation</b:Publisher>
    <b:City>Geneva</b:City>
    <b:RefOrder>154</b:RefOrder>
  </b:Source>
  <b:Source>
    <b:Tag>Wat02</b:Tag>
    <b:SourceType>JournalArticle</b:SourceType>
    <b:Guid>{1670B902-40F0-AA4A-9DAF-DEB112839205}</b:Guid>
    <b:Title>Ochre in the Middle Stone Age: Ritualized Display of a Hide Preservative</b:Title>
    <b:JournalName>South African Archaeological Bulletin</b:JournalName>
    <b:Year>2002</b:Year>
    <b:Pages>1-14</b:Pages>
    <b:Author>
      <b:Author>
        <b:NameList>
          <b:Person>
            <b:Last>Watts</b:Last>
            <b:First>I</b:First>
          </b:Person>
        </b:NameList>
      </b:Author>
    </b:Author>
    <b:RefOrder>155</b:RefOrder>
  </b:Source>
  <b:Source>
    <b:Tag>Wat09</b:Tag>
    <b:SourceType>BookSection</b:SourceType>
    <b:Guid>{429B17D4-9AF4-E841-868B-C889FA341C1C}</b:Guid>
    <b:Title>Red Ochre, Body-Painting and Language: Interpreting the Blombos Ochre</b:Title>
    <b:Year>2009</b:Year>
    <b:Pages>62-92</b:Pages>
    <b:Author>
      <b:Author>
        <b:NameList>
          <b:Person>
            <b:Last>Watts</b:Last>
            <b:First>I</b:First>
          </b:Person>
        </b:NameList>
      </b:Author>
      <b:Editor>
        <b:NameList>
          <b:Person>
            <b:Last>Botha</b:Last>
            <b:First>R</b:First>
          </b:Person>
          <b:Person>
            <b:Last>Knight</b:Last>
            <b:First>C</b:First>
          </b:Person>
        </b:NameList>
      </b:Editor>
    </b:Author>
    <b:BookTitle>The Cradle of Language</b:BookTitle>
    <b:City>Oxford</b:City>
    <b:Publisher>Oxford University Press</b:Publisher>
    <b:RefOrder>156</b:RefOrder>
  </b:Source>
  <b:Source>
    <b:Tag>Wat16</b:Tag>
    <b:SourceType>JournalArticle</b:SourceType>
    <b:Guid>{4D87A008-F115-ED42-A4D5-DD62FFBE6909}</b:Guid>
    <b:Title>Early Evidence for Brillian Ritualised Display: Specularite Use in the Northern Cape (South Africa) between ~500 and ~300 ka</b:Title>
    <b:Year>2016</b:Year>
    <b:Pages>287-310</b:Pages>
    <b:JournalName>Current Anthropology</b:JournalName>
    <b:Volume>57</b:Volume>
    <b:Issue>3</b:Issue>
    <b:Author>
      <b:Author>
        <b:NameList>
          <b:Person>
            <b:Last>Watts</b:Last>
            <b:First>I</b:First>
          </b:Person>
          <b:Person>
            <b:Last>Chazan</b:Last>
            <b:First>M</b:First>
          </b:Person>
          <b:Person>
            <b:Last>Wilkins</b:Last>
            <b:First>J</b:First>
          </b:Person>
        </b:NameList>
      </b:Author>
    </b:Author>
    <b:RefOrder>157</b:RefOrder>
  </b:Source>
  <b:Source>
    <b:Tag>Rif15</b:Tag>
    <b:SourceType>JournalArticle</b:SourceType>
    <b:Guid>{B69461F2-6274-6A4A-A313-EE6E5BE28BCB}</b:Guid>
    <b:Title>Ethnographic and Experimental Perspectives on the Efficacy of Ochre as a Mosquito Repellent</b:Title>
    <b:Year>2015</b:Year>
    <b:JournalName>The South African Archaeological Bulletin</b:JournalName>
    <b:Volume>70</b:Volume>
    <b:Issue>201</b:Issue>
    <b:Pages>64-75</b:Pages>
    <b:Author>
      <b:Author>
        <b:NameList>
          <b:Person>
            <b:Last>Rifkin</b:Last>
            <b:First>R</b:First>
            <b:Middle>F</b:Middle>
          </b:Person>
        </b:NameList>
      </b:Author>
    </b:Author>
    <b:RefOrder>158</b:RefOrder>
  </b:Source>
  <b:Source>
    <b:Tag>Hig97</b:Tag>
    <b:SourceType>Book</b:SourceType>
    <b:Guid>{54C3DA07-70A2-7F49-BA23-2781CDA0E888}</b:Guid>
    <b:Title>The Excavation of Nong Nor: A Prehistoric Site in Central Thailand</b:Title>
    <b:Year>1997</b:Year>
    <b:City>Oxford</b:City>
    <b:Publisher>Department of Anthropology, University of Otago</b:Publisher>
    <b:Author>
      <b:Author>
        <b:NameList>
          <b:Person>
            <b:Last>Higham</b:Last>
            <b:Middle>F W</b:Middle>
            <b:First>C</b:First>
          </b:Person>
          <b:Person>
            <b:Last>Thosarat</b:Last>
            <b:First>R</b:First>
          </b:Person>
        </b:NameList>
      </b:Author>
    </b:Author>
    <b:RefOrder>159</b:RefOrder>
  </b:Source>
  <b:Source>
    <b:Tag>Hig10</b:Tag>
    <b:SourceType>Book</b:SourceType>
    <b:Guid>{0FC64236-1CE0-2D42-97F3-C5776BAFE3E7}</b:Guid>
    <b:Title>The Origins of the Civilization of Angkor. Vol. IV. The Excavation of Ban Non Wat: The Neolithic Occupation</b:Title>
    <b:Year>2010</b:Year>
    <b:Author>
      <b:Author>
        <b:NameList>
          <b:Person>
            <b:Last>Higham</b:Last>
            <b:Middle>F W</b:Middle>
            <b:First>C</b:First>
          </b:Person>
          <b:Person>
            <b:Last>Kijngam</b:Last>
            <b:First>A</b:First>
          </b:Person>
        </b:NameList>
      </b:Author>
    </b:Author>
    <b:City>Bangkok</b:City>
    <b:Publisher>The Thai Fine Arts Department</b:Publisher>
    <b:RefOrder>160</b:RefOrder>
  </b:Source>
  <b:Source>
    <b:Tag>Hig2b</b:Tag>
    <b:SourceType>Book</b:SourceType>
    <b:Guid>{AE492049-7F56-1141-A692-58D5E2344A84}</b:Guid>
    <b:Title>The Origins of the Civilization of Angkor. Vol. V. The Excavation of Ban Non Wat: The Bronze Age</b:Title>
    <b:City>Bangkok</b:City>
    <b:Publisher>The Thai Fine Arts Department</b:Publisher>
    <b:Year>2012b</b:Year>
    <b:Author>
      <b:Author>
        <b:NameList>
          <b:Person>
            <b:Last>Higham</b:Last>
            <b:Middle>F W</b:Middle>
            <b:First>C</b:First>
          </b:Person>
          <b:Person>
            <b:Last>Kijngam</b:Last>
            <b:First>A</b:First>
          </b:Person>
        </b:NameList>
      </b:Author>
    </b:Author>
    <b:RefOrder>161</b:RefOrder>
  </b:Source>
  <b:Source>
    <b:Tag>Hig12</b:Tag>
    <b:SourceType>Book</b:SourceType>
    <b:Guid>{A1733413-0ED0-8846-A127-6E8A4BBA07FB}</b:Guid>
    <b:Title>The Origins of the Civilization of Angkor. Vol. VI. The Excavation of Ban Non Wat: The Iron Age, Summary and Conclusions</b:Title>
    <b:City>Bangkok</b:City>
    <b:Publisher>The Thai Fine Arts Department</b:Publisher>
    <b:Year>2012a</b:Year>
    <b:Author>
      <b:Author>
        <b:NameList>
          <b:Person>
            <b:Last>Higham</b:Last>
            <b:Middle>F W</b:Middle>
            <b:First>C</b:First>
          </b:Person>
          <b:Person>
            <b:Last>Kijngam</b:Last>
            <b:First>A</b:First>
          </b:Person>
        </b:NameList>
      </b:Author>
    </b:Author>
    <b:RefOrder>162</b:RefOrder>
  </b:Source>
  <b:Source>
    <b:Tag>Hod20</b:Tag>
    <b:SourceType>BookSection</b:SourceType>
    <b:Guid>{E66F4220-900D-1F46-9BE6-23908A300485}</b:Guid>
    <b:Title>Ochre Use in the Middle Stone Age</b:Title>
    <b:City>Oxford</b:City>
    <b:Publisher>Oxford University Press</b:Publisher>
    <b:Year>2020</b:Year>
    <b:Author>
      <b:Author>
        <b:NameList>
          <b:Person>
            <b:Last>Hodgskiss</b:Last>
            <b:First>T</b:First>
          </b:Person>
        </b:NameList>
      </b:Author>
    </b:Author>
    <b:BookTitle>Oxford Research Encyclopedia, Anthropology</b:BookTitle>
    <b:Comments>DOI: 10.1093/acrefore/9780190854584.013.51</b:Comments>
    <b:RefOrder>163</b:RefOrder>
  </b:Source>
  <b:Source>
    <b:Tag>Wad06</b:Tag>
    <b:SourceType>JournalArticle</b:SourceType>
    <b:Guid>{F9D751B8-E91B-4D4F-909C-5DB0057662F2}</b:Guid>
    <b:Title>Revisiting cultural modernity and the role of ochre in the Middle Stone Age</b:Title>
    <b:JournalName>The prehistory of Africa: Tracing the lineage of modern man</b:JournalName>
    <b:Year>2006</b:Year>
    <b:Pages>49-63</b:Pages>
    <b:Author>
      <b:Author>
        <b:NameList>
          <b:Person>
            <b:Last>Wadley</b:Last>
            <b:First>L</b:First>
          </b:Person>
        </b:NameList>
      </b:Author>
    </b:Author>
    <b:RefOrder>164</b:RefOrder>
  </b:Source>
  <b:Source>
    <b:Tag>Wad21</b:Tag>
    <b:SourceType>JournalArticle</b:SourceType>
    <b:Guid>{095E9F58-EC5F-6F46-B53C-0C51F46191B0}</b:Guid>
    <b:Title>What stimulated rapid, cumulative innocation after 100,000 years ago?</b:Title>
    <b:JournalName>Journal of Archaeological Method and Theory</b:JournalName>
    <b:Year>2021</b:Year>
    <b:Author>
      <b:Author>
        <b:NameList>
          <b:Person>
            <b:Last>Wadley</b:Last>
            <b:First>L</b:First>
          </b:Person>
        </b:NameList>
      </b:Author>
    </b:Author>
    <b:Comments>https://doi.org/10.1007/s10816-020-09499-y</b:Comments>
    <b:RefOrder>165</b:RefOrder>
  </b:Source>
  <b:Source>
    <b:Tag>Wad09</b:Tag>
    <b:SourceType>JournalArticle</b:SourceType>
    <b:Guid>{4BF5E08E-C8DA-5D48-95D3-003C1B943C04}</b:Guid>
    <b:Title>Implications for complex cognition from the hafting of tools with compound adhesives in the Middle Stone Age, South Africa</b:Title>
    <b:JournalName>Proceedings of the National Academy of Sciences </b:JournalName>
    <b:Year>2009</b:Year>
    <b:Volume>106</b:Volume>
    <b:Issue>24</b:Issue>
    <b:Pages>9590-9594</b:Pages>
    <b:Author>
      <b:Author>
        <b:NameList>
          <b:Person>
            <b:Last>Wadley</b:Last>
            <b:First>L</b:First>
          </b:Person>
          <b:Person>
            <b:Last>Hodgskiss</b:Last>
            <b:First>T</b:First>
          </b:Person>
          <b:Person>
            <b:Last>Grant</b:Last>
            <b:First>M</b:First>
          </b:Person>
        </b:NameList>
      </b:Author>
    </b:Author>
    <b:RefOrder>166</b:RefOrder>
  </b:Source>
  <b:Source>
    <b:Tag>Wre80</b:Tag>
    <b:SourceType>JournalArticle</b:SourceType>
    <b:Guid>{110D1E54-B5E6-7F47-A14D-6265ADDDBEF3}</b:Guid>
    <b:Title>Red ochre and Human Evolution: A case for discussion [and comments and reply]</b:Title>
    <b:JournalName>Current Anthropology</b:JournalName>
    <b:Year>1980</b:Year>
    <b:Pages>631-644</b:Pages>
    <b:Author>
      <b:Author>
        <b:NameList>
          <b:Person>
            <b:Last>Wreschner</b:Last>
            <b:Middle>E</b:Middle>
            <b:First>E</b:First>
          </b:Person>
          <b:Person>
            <b:Last>Bolton </b:Last>
            <b:First>R</b:First>
          </b:Person>
          <b:Person>
            <b:Last>Butzer</b:Last>
            <b:Middle>W</b:Middle>
            <b:First>K</b:First>
          </b:Person>
          <b:Person>
            <b:Last>Delporte</b:Last>
            <b:First>H</b:First>
          </b:Person>
          <b:Person>
            <b:Last>Häusler</b:Last>
            <b:First>A</b:First>
          </b:Person>
          <b:Person>
            <b:Last>Heinrich</b:Last>
            <b:First>A</b:First>
          </b:Person>
          <b:Person>
            <b:Last>Jacobson-Widding</b:Last>
            <b:First>A</b:First>
          </b:Person>
          <b:Person>
            <b:Last>Malinowski</b:Last>
            <b:First>T</b:First>
          </b:Person>
          <b:Person>
            <b:Last>Masset</b:Last>
            <b:First>C</b:First>
          </b:Person>
          <b:Person>
            <b:Last>Miller</b:Last>
            <b:Middle>F</b:Middle>
            <b:First>S</b:First>
          </b:Person>
        </b:NameList>
      </b:Author>
    </b:Author>
    <b:RefOrder>167</b:RefOrder>
  </b:Source>
  <b:Source>
    <b:Tag>Kni10</b:Tag>
    <b:SourceType>BookSection</b:SourceType>
    <b:Guid>{EC0B6A77-BA96-5549-9088-BAC22449D997}</b:Guid>
    <b:Title>The origins of symbolic culture</b:Title>
    <b:Year>2010</b:Year>
    <b:Pages>193-211</b:Pages>
    <b:Author>
      <b:Author>
        <b:NameList>
          <b:Person>
            <b:Last>Knight</b:Last>
            <b:First>C</b:First>
          </b:Person>
        </b:NameList>
      </b:Author>
      <b:Editor>
        <b:NameList>
          <b:Person>
            <b:Last>Frey</b:Last>
            <b:Middle>J</b:Middle>
            <b:First>U</b:First>
          </b:Person>
          <b:Person>
            <b:Last>Störmer</b:Last>
            <b:First>C</b:First>
          </b:Person>
          <b:Person>
            <b:Last>Willfür</b:Last>
            <b:Middle>P</b:Middle>
            <b:First>K</b:First>
          </b:Person>
        </b:NameList>
      </b:Editor>
    </b:Author>
    <b:BookTitle>Homo Novus - A Human without Illusions</b:BookTitle>
    <b:City>London</b:City>
    <b:Publisher>Springer</b:Publisher>
    <b:RefOrder>168</b:RefOrder>
  </b:Source>
  <b:Source>
    <b:Tag>Mar81</b:Tag>
    <b:SourceType>JournalArticle</b:SourceType>
    <b:Guid>{9B6486F0-2158-9C42-81F0-9EC731304379}</b:Guid>
    <b:Title>On Palaeolithic ochre and the early uses of colour and symbol</b:Title>
    <b:JournalName>Current Anthropology</b:JournalName>
    <b:Year>1981</b:Year>
    <b:Volume>22</b:Volume>
    <b:Issue>2</b:Issue>
    <b:Pages>188-191</b:Pages>
    <b:Author>
      <b:Author>
        <b:NameList>
          <b:Person>
            <b:Last>Marshack</b:Last>
            <b:First>A</b:First>
          </b:Person>
        </b:NameList>
      </b:Author>
    </b:Author>
    <b:RefOrder>169</b:RefOrder>
  </b:Source>
  <b:Source>
    <b:Tag>Pow10</b:Tag>
    <b:SourceType>JournalArticle</b:SourceType>
    <b:Guid>{2ED5D440-1CD0-E245-9AE6-8F279249B060}</b:Guid>
    <b:Title>Cosmetics, identity and consciousness</b:Title>
    <b:JournalName>Journal of Consciousness Studies</b:JournalName>
    <b:Year>2010</b:Year>
    <b:Volume>17</b:Volume>
    <b:Issue>7</b:Issue>
    <b:Pages>73</b:Pages>
    <b:Author>
      <b:Author>
        <b:NameList>
          <b:Person>
            <b:Last>Power</b:Last>
            <b:First>C</b:First>
          </b:Person>
        </b:NameList>
      </b:Author>
    </b:Author>
    <b:RefOrder>170</b:RefOrder>
  </b:Source>
  <b:Source>
    <b:Tag>Pow09</b:Tag>
    <b:SourceType>BookSection</b:SourceType>
    <b:Guid>{43A44F23-E301-D24F-95C0-561EA30FD16C}</b:Guid>
    <b:Title>14 Sexual Selextion Models for the Emergence of Symbolic Communication: why they should be reversed</b:Title>
    <b:Year>2009</b:Year>
    <b:Pages>257-276</b:Pages>
    <b:Author>
      <b:Author>
        <b:NameList>
          <b:Person>
            <b:Last>Power</b:Last>
            <b:First>C</b:First>
          </b:Person>
        </b:NameList>
      </b:Author>
      <b:Editor>
        <b:NameList>
          <b:Person>
            <b:Last>Botha</b:Last>
            <b:First>R</b:First>
          </b:Person>
          <b:Person>
            <b:Last>Knight</b:Last>
            <b:First>C</b:First>
          </b:Person>
        </b:NameList>
      </b:Editor>
    </b:Author>
    <b:BookTitle>The Cradle of Language</b:BookTitle>
    <b:City>Oxford</b:City>
    <b:Publisher>Oxford University Press</b:Publisher>
    <b:RefOrder>171</b:RefOrder>
  </b:Source>
  <b:Source>
    <b:Tag>Hod10</b:Tag>
    <b:SourceType>JournalArticle</b:SourceType>
    <b:Guid>{BF7FD286-F278-8044-892B-0CD572B6DE29}</b:Guid>
    <b:Title>Identifying grinding, scoring and rubbing use-wear on experimental ochre pieces.</b:Title>
    <b:Year>2010</b:Year>
    <b:Pages>3344-3358</b:Pages>
    <b:Author>
      <b:Author>
        <b:NameList>
          <b:Person>
            <b:Last>Hodgskiss</b:Last>
            <b:First>T</b:First>
          </b:Person>
        </b:NameList>
      </b:Author>
    </b:Author>
    <b:JournalName>Journal of Archaeological Science</b:JournalName>
    <b:Volume>37</b:Volume>
    <b:Issue>12</b:Issue>
    <b:RefOrder>172</b:RefOrder>
  </b:Source>
  <b:Source>
    <b:Tag>WHO20</b:Tag>
    <b:SourceType>InternetSite</b:SourceType>
    <b:Guid>{6C105944-84C8-D841-8902-6E811EC264A1}</b:Guid>
    <b:Title>Preterm Birth</b:Title>
    <b:Year>2020</b:Year>
    <b:Author>
      <b:Author>
        <b:Corporate>WHO</b:Corporate>
      </b:Author>
    </b:Author>
    <b:URL>https://www.who.int/news-room/fact-sheets/detail/preterm-birth</b:URL>
    <b:YearAccessed>2020</b:YearAccessed>
    <b:MonthAccessed>08</b:MonthAccessed>
    <b:DayAccessed>13</b:DayAccessed>
    <b:InternetSiteTitle>World Health Organisation</b:InternetSiteTitle>
    <b:RefOrder>173</b:RefOrder>
  </b:Source>
  <b:Source>
    <b:Tag>WHO21</b:Tag>
    <b:SourceType>InternetSite</b:SourceType>
    <b:Guid>{17E47501-1073-4246-9DAD-52B81C0C9BA5}</b:Guid>
    <b:Author>
      <b:Author>
        <b:Corporate>WHO</b:Corporate>
      </b:Author>
    </b:Author>
    <b:Title>Maternal, newborn, child and adolescent health: Stillbirth</b:Title>
    <b:Year>2021</b:Year>
    <b:URL>https://www.who.int/maternal_child_adolescent/epidemiology/stillbirth/en/</b:URL>
    <b:YearAccessed>2021</b:YearAccessed>
    <b:MonthAccessed>01</b:MonthAccessed>
    <b:DayAccessed>15</b:DayAccessed>
    <b:RefOrder>174</b:RefOrder>
  </b:Source>
  <b:Source>
    <b:Tag>Had17</b:Tag>
    <b:SourceType>JournalArticle</b:SourceType>
    <b:Guid>{424C1767-7CED-1C4F-A6F1-187DF1A3C790}</b:Guid>
    <b:Title>Skull Retrieval and Secondary Burial Practices in the Neolithic Near East: Recent Insights from Çatalhöyük, Turkey</b:Title>
    <b:Year>2017</b:Year>
    <b:Pages>52-71</b:Pages>
    <b:JournalName>Bioarchaeology International</b:JournalName>
    <b:Volume>1</b:Volume>
    <b:Issue>1-2</b:Issue>
    <b:Author>
      <b:Author>
        <b:NameList>
          <b:Person>
            <b:Last>Haddow</b:Last>
            <b:Middle>D</b:Middle>
            <b:First>S</b:First>
          </b:Person>
          <b:Person>
            <b:Last>Knüsel</b:Last>
            <b:Middle>J</b:Middle>
            <b:First>C</b:First>
          </b:Person>
        </b:NameList>
      </b:Author>
    </b:Author>
    <b:Comments>DOI: 10.5744/bi.2017.1002</b:Comments>
    <b:RefOrder>175</b:RefOrder>
  </b:Source>
  <b:Source>
    <b:Tag>Con07</b:Tag>
    <b:SourceType>JournalArticle</b:SourceType>
    <b:Guid>{40E3ADF2-14D7-804B-935B-9CC8CAA8CF19}</b:Guid>
    <b:Title>Decapitation and Rebirth</b:Title>
    <b:JournalName>Current Anthropology</b:JournalName>
    <b:Year>2007</b:Year>
    <b:Volume>48</b:Volume>
    <b:Issue>3</b:Issue>
    <b:Pages>438-445</b:Pages>
    <b:Author>
      <b:Author>
        <b:NameList>
          <b:Person>
            <b:Last>Conlee</b:Last>
            <b:Middle>A</b:Middle>
            <b:First>C</b:First>
          </b:Person>
        </b:NameList>
      </b:Author>
    </b:Author>
    <b:Comments>https://doi-org.ezp.lib.cam.ac.uk/10.1086/517591</b:Comments>
    <b:RefOrder>176</b:RefOrder>
  </b:Source>
  <b:Source>
    <b:Tag>Mül11</b:Tag>
    <b:SourceType>JournalArticle</b:SourceType>
    <b:Guid>{C5CAED32-6AFC-4C42-A4ED-9E7CC6935EA2}</b:Guid>
    <b:Title>The 'Headless Romans': multi-isotope investigations of an unusual burial ground from Roman Britain</b:Title>
    <b:JournalName>Journal of Archaeological Science</b:JournalName>
    <b:Year>2011</b:Year>
    <b:Volume>38</b:Volume>
    <b:Issue>2</b:Issue>
    <b:Pages>280-290</b:Pages>
    <b:Author>
      <b:Author>
        <b:NameList>
          <b:Person>
            <b:Last>Müldner</b:Last>
            <b:First>G</b:First>
          </b:Person>
          <b:Person>
            <b:Last>Chenery</b:Last>
            <b:First>C</b:First>
          </b:Person>
          <b:Person>
            <b:Last>Eckardt</b:Last>
            <b:First>H</b:First>
          </b:Person>
        </b:NameList>
      </b:Author>
    </b:Author>
    <b:Comments>https://doi.org/10.1016/j.jas.2010.09.003</b:Comments>
    <b:RefOrder>177</b:RefOrder>
  </b:Source>
  <b:Source>
    <b:Tag>Kui09</b:Tag>
    <b:SourceType>JournalArticle</b:SourceType>
    <b:Guid>{A11CAE2B-191E-844F-9084-47B45EEC7E10}</b:Guid>
    <b:Title>Neolithic Skull Removal Enemies, Ancestors, and Memory [with Comments]</b:Title>
    <b:JournalName>Paléorient</b:JournalName>
    <b:Year>2009</b:Year>
    <b:Volume>35</b:Volume>
    <b:Issue>1</b:Issue>
    <b:Pages>117-127</b:Pages>
    <b:Author>
      <b:Author>
        <b:NameList>
          <b:Person>
            <b:Last>Kuijt</b:Last>
            <b:First>I</b:First>
          </b:Person>
          <b:Person>
            <b:Last>Özdogan</b:Last>
            <b:First>M</b:First>
          </b:Person>
          <b:Person>
            <b:Last>Parker Pearson</b:Last>
            <b:First>M</b:First>
          </b:Person>
        </b:NameList>
      </b:Author>
    </b:Author>
    <b:RefOrder>178</b:RefOrder>
  </b:Source>
  <b:Source>
    <b:Tag>Wea10</b:Tag>
    <b:SourceType>Book</b:SourceType>
    <b:Guid>{98390DFC-738E-2349-AC5F-348432F39FF2}</b:Guid>
    <b:Title>Thalassaemia: The Biography</b:Title>
    <b:Year>2010</b:Year>
    <b:City>Oxford</b:City>
    <b:Publisher>Oxford University Press</b:Publisher>
    <b:Author>
      <b:Author>
        <b:NameList>
          <b:Person>
            <b:Last>Weatherall</b:Last>
            <b:First>D</b:First>
          </b:Person>
        </b:NameList>
      </b:Author>
    </b:Author>
    <b:RefOrder>179</b:RefOrder>
  </b:Source>
  <b:Source>
    <b:Tag>UKG92</b:Tag>
    <b:SourceType>Misc</b:SourceType>
    <b:Guid>{BFF43483-28F0-7B45-86F9-3C4AD87B94F9}</b:Guid>
    <b:Title>Still-Birth Definition Act 1992 [16 March 1992]</b:Title>
    <b:City>Curr Law Statut Annot GB</b:City>
    <b:Year>1992</b:Year>
    <b:Author>
      <b:Author>
        <b:Corporate>UK Gov</b:Corporate>
      </b:Author>
    </b:Author>
    <b:Comments>2:29-1 - 29-3. PMID: 12179563.</b:Comments>
    <b:RefOrder>180</b:RefOrder>
  </b:Source>
  <b:Source>
    <b:Tag>Bel11</b:Tag>
    <b:SourceType>JournalArticle</b:SourceType>
    <b:Guid>{0A341BA4-A3D5-484E-B2F9-E38FADAAAA4A}</b:Guid>
    <b:Title>The tiniest babies: a registry of survivors with birth weight less than 400 grmas</b:Title>
    <b:Year>2011</b:Year>
    <b:JournalName>Pediatrics</b:JournalName>
    <b:Volume>127</b:Volume>
    <b:Issue>1</b:Issue>
    <b:Pages>58-61</b:Pages>
    <b:Author>
      <b:Author>
        <b:NameList>
          <b:Person>
            <b:Last>Bell</b:Last>
            <b:Middle>F</b:Middle>
            <b:First>E</b:First>
          </b:Person>
          <b:Person>
            <b:Last>Zumbach</b:Last>
            <b:Middle>K</b:Middle>
            <b:First>D</b:First>
          </b:Person>
        </b:NameList>
      </b:Author>
    </b:Author>
    <b:Comments>doi: 10.1542/peds.2010-1855 Epub 2010 Dec 27. PMID: 21187314.</b:Comments>
    <b:RefOrder>181</b:RefOrder>
  </b:Source>
  <b:Source>
    <b:Tag>Sun18</b:Tag>
    <b:SourceType>JournalArticle</b:SourceType>
    <b:Guid>{A41D21E8-6EFF-EB42-8980-E146CE90DD91}</b:Guid>
    <b:Title>The Youngest Survivor with Gestational Age of 21 5/7 Weeks</b:Title>
    <b:JournalName>Journal of Korean Medical Science</b:JournalName>
    <b:Year>2018</b:Year>
    <b:Volume>33</b:Volume>
    <b:Issue>3</b:Issue>
    <b:Pages>e22</b:Pages>
    <b:Author>
      <b:Author>
        <b:NameList>
          <b:Person>
            <b:Last>Sung</b:Last>
            <b:Middle>I</b:Middle>
            <b:First>S</b:First>
          </b:Person>
          <b:Person>
            <b:Last>Ahn</b:Last>
            <b:Middle>Y</b:Middle>
            <b:First>S</b:First>
          </b:Person>
          <b:Person>
            <b:Last>Yoo</b:Last>
            <b:Middle>S</b:Middle>
            <b:First>H</b:First>
          </b:Person>
          <b:Person>
            <b:Last>Chang</b:Last>
            <b:Middle>S</b:Middle>
            <b:First>Y</b:First>
          </b:Person>
          <b:Person>
            <b:Last>Park</b:Last>
            <b:Middle>S</b:Middle>
            <b:First>W</b:First>
          </b:Person>
        </b:NameList>
      </b:Author>
    </b:Author>
    <b:Comments>doi: 10.3346/jkms.2018.33.e22</b:Comments>
    <b:RefOrder>182</b:RefOrder>
  </b:Source>
  <b:Source>
    <b:Tag>Hil09</b:Tag>
    <b:SourceType>JournalArticle</b:SourceType>
    <b:Guid>{A9F981EF-11F1-4343-9182-1D4C58F36A98}</b:Guid>
    <b:Title>The World's Largest Infant Cemetery and its Potential for Studying the Growth and Development</b:Title>
    <b:JournalName>Hesperia Supplements</b:JournalName>
    <b:Year>2009</b:Year>
    <b:Volume>43 New Directions in the Skeletal Biology of Greece</b:Volume>
    <b:Pages>137-154</b:Pages>
    <b:Author>
      <b:Author>
        <b:NameList>
          <b:Person>
            <b:Last>Hillson</b:Last>
            <b:First>S</b:First>
          </b:Person>
        </b:NameList>
      </b:Author>
    </b:Author>
    <b:RefOrder>183</b:RefOrder>
  </b:Source>
  <b:Source>
    <b:Tag>San12</b:Tag>
    <b:SourceType>JournalArticle</b:SourceType>
    <b:Guid>{3118557D-84C0-FD46-8304-CE1D12A4D745}</b:Guid>
    <b:Title>"The Birth of Death": Stillborn Birth Certificates and the Problem for Law</b:Title>
    <b:JournalName>California Law Review </b:JournalName>
    <b:Year>2012</b:Year>
    <b:Volume>269</b:Volume>
    <b:Author>
      <b:Author>
        <b:NameList>
          <b:Person>
            <b:Last>Sanger</b:Last>
            <b:First>C</b:First>
          </b:Person>
        </b:NameList>
      </b:Author>
    </b:Author>
    <b:RefOrder>184</b:RefOrder>
  </b:Source>
  <b:Source>
    <b:Tag>Sis14</b:Tag>
    <b:SourceType>JournalArticle</b:SourceType>
    <b:Guid>{CDD0D6F7-B14A-C645-83B0-DA9EFA43F071}</b:Guid>
    <b:Title>A Qualitative Study of Attitudes and Values Surrounding Stillbirth and Neonatal Mortality Among Grandmothers, Mothers, and Unmarried Girls in Rural Amhara and Oromiya Regions, Ethiopia: Unheard Souls in the Backyard</b:Title>
    <b:JournalName>Journal of Midwifery and Women's Health</b:JournalName>
    <b:Year>2014</b:Year>
    <b:Volume>59</b:Volume>
    <b:Issue>1</b:Issue>
    <b:Pages>S110-S117</b:Pages>
    <b:Author>
      <b:Author>
        <b:NameList>
          <b:Person>
            <b:Last>Sisay</b:Last>
            <b:Middle>M</b:Middle>
            <b:First>M</b:First>
          </b:Person>
          <b:Person>
            <b:Last>Yirgi</b:Last>
            <b:First>R</b:First>
          </b:Person>
          <b:Person>
            <b:Last>Gobezayehu</b:Last>
            <b:Middle>G</b:Middle>
            <b:First>A</b:First>
          </b:Person>
          <b:Person>
            <b:Last>Sibley</b:Last>
            <b:Middle>M</b:Middle>
            <b:First>L</b:First>
          </b:Person>
        </b:NameList>
      </b:Author>
    </b:Author>
    <b:RefOrder>185</b:RefOrder>
  </b:Source>
  <b:Source>
    <b:Tag>Tse17</b:Tag>
    <b:SourceType>JournalArticle</b:SourceType>
    <b:Guid>{4918D577-5F49-2840-9DF3-98EB93BFD70D}</b:Guid>
    <b:Title>The meaning of rituals after a stillbirth: A qualitative study of mothers with a stillborn baby</b:Title>
    <b:JournalName>Journal of Clinical Nursing</b:JournalName>
    <b:Year>2017</b:Year>
    <b:Volume>27</b:Volume>
    <b:Issue>5-6</b:Issue>
    <b:Pages>1134-1142</b:Pages>
    <b:Author>
      <b:Author>
        <b:NameList>
          <b:Person>
            <b:Last>Tseng</b:Last>
            <b:First>Y-F</b:First>
          </b:Person>
          <b:Person>
            <b:Last>Hsu</b:Last>
            <b:First>M-T</b:First>
          </b:Person>
          <b:Person>
            <b:Last>Hsieh</b:Last>
            <b:First>Y-T</b:First>
          </b:Person>
          <b:Person>
            <b:Last>Cheng</b:Last>
            <b:First>H-R</b:First>
          </b:Person>
        </b:NameList>
      </b:Author>
    </b:Author>
    <b:Comments> https://doi.org/10.1111/jocn.14142</b:Comments>
    <b:RefOrder>186</b:RefOrder>
  </b:Source>
  <b:Source>
    <b:Tag>Sco18</b:Tag>
    <b:SourceType>BookSection</b:SourceType>
    <b:Guid>{AB785BF7-3F1C-804F-AE92-AFF75D65453D}</b:Guid>
    <b:Title>Excavating Identity: Burial Context and Fetal Identity in Postmedieval Poland</b:Title>
    <b:Year>2018</b:Year>
    <b:Pages>146-170</b:Pages>
    <b:Author>
      <b:Author>
        <b:NameList>
          <b:Person>
            <b:Last>Scott</b:Last>
            <b:Middle>B</b:Middle>
            <b:First>A</b:First>
          </b:Person>
          <b:Person>
            <b:Last>Betsinger</b:Last>
            <b:Middle>K</b:Middle>
            <b:First>T</b:First>
          </b:Person>
        </b:NameList>
      </b:Author>
      <b:Editor>
        <b:NameList>
          <b:Person>
            <b:Last>Han</b:Last>
            <b:First>S</b:First>
          </b:Person>
          <b:Person>
            <b:Last>Betsinger</b:Last>
            <b:Middle>K</b:Middle>
            <b:First>T</b:First>
          </b:Person>
          <b:Person>
            <b:Last>Scott</b:Last>
            <b:Middle>B</b:Middle>
            <b:First>A</b:First>
          </b:Person>
        </b:NameList>
      </b:Editor>
    </b:Author>
    <b:BookTitle>The Anthropology of the Fetus: Biology, Culture, and Society</b:BookTitle>
    <b:City>Oxford</b:City>
    <b:Publisher>Berghahn Books</b:Publisher>
    <b:RefOrder>187</b:RefOrder>
  </b:Source>
  <b:Source>
    <b:Tag>Bro22</b:Tag>
    <b:SourceType>Book</b:SourceType>
    <b:Guid>{7BF19107-20B0-CE4F-B5BB-529D84FFBB07}</b:Guid>
    <b:Title>The Andaman Islanders: A study in social anthropology</b:Title>
    <b:City>Cambridge</b:City>
    <b:Publisher>Cambridge University Press</b:Publisher>
    <b:Year>1922</b:Year>
    <b:Author>
      <b:Author>
        <b:NameList>
          <b:Person>
            <b:Last>Brown </b:Last>
            <b:Middle>R R</b:Middle>
            <b:First>A</b:First>
          </b:Person>
        </b:NameList>
      </b:Author>
    </b:Author>
    <b:RefOrder>188</b:RefOrder>
  </b:Source>
  <b:Source>
    <b:Tag>Qui01</b:Tag>
    <b:SourceType>Book</b:SourceType>
    <b:Guid>{A9F8692B-016C-2741-B808-5EE7C229EA22}</b:Guid>
    <b:Title>Skulls and Skeletons: Human Bone Collections and Accululations</b:Title>
    <b:City>London</b:City>
    <b:Publisher>McFarland and Company, Inc</b:Publisher>
    <b:Year>2001</b:Year>
    <b:Author>
      <b:Author>
        <b:NameList>
          <b:Person>
            <b:Last>Quigley</b:Last>
            <b:First>C</b:First>
          </b:Person>
        </b:NameList>
      </b:Author>
    </b:Author>
    <b:RefOrder>189</b:RefOrder>
  </b:Source>
  <b:Source>
    <b:Tag>Placeholder1</b:Tag>
    <b:SourceType>JournalArticle</b:SourceType>
    <b:Guid>{D691BACB-084B-004B-8614-FCCA4A52B937}</b:Guid>
    <b:Title>Post-depositional heating may cause over-representation of red-coloured ochre in stone age sites</b:Title>
    <b:Year>2009</b:Year>
    <b:Volume>64</b:Volume>
    <b:Pages>166-171</b:Pages>
    <b:JournalName>South African Archaeological Bulleti</b:JournalName>
    <b:Issue>190</b:Issue>
    <b:Author>
      <b:Author>
        <b:NameList>
          <b:Person>
            <b:Last>Wadley</b:Last>
            <b:First>L</b:First>
          </b:Person>
        </b:NameList>
      </b:Author>
    </b:Author>
    <b:RefOrder>190</b:RefOrder>
  </b:Source>
  <b:Source>
    <b:Tag>Cla84</b:Tag>
    <b:SourceType>JournalArticle</b:SourceType>
    <b:Guid>{3038B3C3-BC8F-0841-9C62-D9BA920EEFAC}</b:Guid>
    <b:Title>A Middle Stone Age occupation site at Porc Epic cave, Dire Dawa (east-central Ethiopia)</b:Title>
    <b:Year>1984</b:Year>
    <b:JournalName>African Archaeological Review</b:JournalName>
    <b:Volume>2</b:Volume>
    <b:Pages>37-71</b:Pages>
    <b:Author>
      <b:Author>
        <b:NameList>
          <b:Person>
            <b:Last>Clark</b:Last>
            <b:Middle>D</b:Middle>
            <b:First>J</b:First>
          </b:Person>
          <b:Person>
            <b:Last>Williamson</b:Last>
            <b:Middle>D</b:Middle>
            <b:First>K</b:First>
          </b:Person>
        </b:NameList>
      </b:Author>
    </b:Author>
    <b:RefOrder>191</b:RefOrder>
  </b:Source>
  <b:Source>
    <b:Tag>dEr032</b:Tag>
    <b:SourceType>JournalArticle</b:SourceType>
    <b:Guid>{C4BBE6E9-D54F-D748-8564-F8871F8E5D38}</b:Guid>
    <b:Title>The Invisible Frontier. A Multiple Species Model for the Origin of Behavioral Modernity  </b:Title>
    <b:JournalName>Evolutionary Anthropology</b:JournalName>
    <b:Year>2003</b:Year>
    <b:Volume>12</b:Volume>
    <b:Pages>188-202</b:Pages>
    <b:Author>
      <b:Author>
        <b:NameList>
          <b:Person>
            <b:Last>d'Errico</b:Last>
            <b:First>F</b:First>
          </b:Person>
        </b:NameList>
      </b:Author>
    </b:Author>
    <b:RefOrder>192</b:RefOrder>
  </b:Source>
  <b:Source>
    <b:Tag>Mor10</b:Tag>
    <b:SourceType>JournalArticle</b:SourceType>
    <b:Guid>{E3B2AFE8-9D8B-4749-909F-059C97C9F31B}</b:Guid>
    <b:Title>The Evolution of Human Artisitc Creativity</b:Title>
    <b:JournalName>Journal of Anatomy</b:JournalName>
    <b:Year>2010</b:Year>
    <b:Volume>216</b:Volume>
    <b:Pages>158-176</b:Pages>
    <b:Author>
      <b:Author>
        <b:NameList>
          <b:Person>
            <b:Last>Morriss-Kay</b:Last>
            <b:Middle>M</b:Middle>
            <b:First>G</b:First>
          </b:Person>
        </b:NameList>
      </b:Author>
    </b:Author>
    <b:RefOrder>193</b:RefOrder>
  </b:Source>
  <b:Source>
    <b:Tag>Wat10</b:Tag>
    <b:SourceType>JournalArticle</b:SourceType>
    <b:Guid>{44EBDA43-CC7D-0045-B2BF-F6A2F615B81F}</b:Guid>
    <b:Title>The pigments from Pinnacle Point Cave 13B, Western Cape, South Africa</b:Title>
    <b:JournalName>Journal of Human Evolution</b:JournalName>
    <b:Year>2010</b:Year>
    <b:Volume>59</b:Volume>
    <b:Issue>392-411</b:Issue>
    <b:Author>
      <b:Author>
        <b:NameList>
          <b:Person>
            <b:Last>Watts</b:Last>
            <b:First>I</b:First>
          </b:Person>
        </b:NameList>
      </b:Author>
    </b:Author>
    <b:RefOrder>194</b:RefOrder>
  </b:Source>
  <b:Source>
    <b:Tag>Hen11</b:Tag>
    <b:SourceType>JournalArticle</b:SourceType>
    <b:Guid>{3870F645-0542-1A4A-9B0B-1520FAF9AA3E}</b:Guid>
    <b:Title>A 100,000 Year Old Ochre Processing Workshop at Blombos Cave, South Afirca</b:Title>
    <b:JournalName>Science</b:JournalName>
    <b:Year>2011</b:Year>
    <b:Volume>334</b:Volume>
    <b:Pages>219-222</b:Pages>
    <b:Author>
      <b:Author>
        <b:NameList>
          <b:Person>
            <b:Last>Henshilwood</b:Last>
            <b:Middle>S</b:Middle>
            <b:First>C</b:First>
          </b:Person>
          <b:Person>
            <b:Last>d'Errico</b:Last>
            <b:First>F</b:First>
          </b:Person>
          <b:Person>
            <b:Last>van Niekerk</b:Last>
            <b:Middle>L</b:Middle>
            <b:First>K</b:First>
          </b:Person>
          <b:Person>
            <b:Last>Coquinot</b:Last>
            <b:First>Y</b:First>
          </b:Person>
          <b:Person>
            <b:Last>Jacobs</b:Last>
            <b:First>Z</b:First>
          </b:Person>
          <b:Person>
            <b:Last>Lauritzen</b:Last>
            <b:First>S-E</b:First>
          </b:Person>
          <b:Person>
            <b:Last>Menu</b:Last>
            <b:First>M</b:First>
          </b:Person>
          <b:Person>
            <b:Last>Garcia-Moreno</b:Last>
            <b:First>R</b:First>
          </b:Person>
        </b:NameList>
      </b:Author>
    </b:Author>
    <b:RefOrder>195</b:RefOrder>
  </b:Source>
  <b:Source>
    <b:Tag>Placeholder2</b:Tag>
    <b:SourceType>JournalArticle</b:SourceType>
    <b:Guid>{C7E532A3-F35B-F54A-90E7-C74D1F54B399}</b:Guid>
    <b:Title>Processing ochre in the Middle Stone Age: Testing the inference of prehistoric behaviours from actualistically derived experimental data</b:Title>
    <b:Volume>31</b:Volume>
    <b:Year>2012</b:Year>
    <b:Pages>174-195</b:Pages>
    <b:Author>
      <b:Author>
        <b:NameList>
          <b:Person>
            <b:Last>Rifkin</b:Last>
            <b:Middle>A</b:Middle>
            <b:First>R</b:First>
          </b:Person>
        </b:NameList>
      </b:Author>
    </b:Author>
    <b:JournalName>Journal of Anthropological Archaeology</b:JournalName>
    <b:RefOrder>196</b:RefOrder>
  </b:Source>
  <b:Source>
    <b:Tag>Roe12</b:Tag>
    <b:SourceType>JournalArticle</b:SourceType>
    <b:Guid>{8A33E5E0-0522-CF43-93A8-5379F40EAFB0}</b:Guid>
    <b:Title>Use of red ochre by early Neanderthals</b:Title>
    <b:JournalName>PNAS</b:JournalName>
    <b:Year>2012</b:Year>
    <b:Volume>109</b:Volume>
    <b:Issue>6</b:Issue>
    <b:Pages>1889-1894</b:Pages>
    <b:Author>
      <b:Author>
        <b:NameList>
          <b:Person>
            <b:Last>Roebroeks</b:Last>
            <b:First>W</b:First>
          </b:Person>
          <b:Person>
            <b:Last>Sier</b:Last>
            <b:Middle>J</b:Middle>
            <b:First>M</b:First>
          </b:Person>
          <b:Person>
            <b:Last>Nielsen</b:Last>
            <b:First>T</b:First>
          </b:Person>
          <b:Person>
            <b:Last>De Loecker</b:Last>
            <b:First>D</b:First>
          </b:Person>
          <b:Person>
            <b:Last>Pares</b:Last>
            <b:Middle>M</b:Middle>
            <b:First>J</b:First>
          </b:Person>
          <b:Person>
            <b:Last>Arps</b:Last>
            <b:Middle>E S</b:Middle>
            <b:First>C</b:First>
          </b:Person>
          <b:Person>
            <b:Last>Mucher</b:Last>
            <b:Middle>J</b:Middle>
            <b:First>H </b:First>
          </b:Person>
        </b:NameList>
      </b:Author>
    </b:Author>
    <b:RefOrder>197</b:RefOrder>
  </b:Source>
  <b:Source>
    <b:Tag>Sch99</b:Tag>
    <b:SourceType>JournalArticle</b:SourceType>
    <b:Guid>{C1F583F5-B897-2C43-97B5-5243B0659C94}</b:Guid>
    <b:Title>Colour identification of iron oxides and  hydroxysulfates: use and limitations</b:Title>
    <b:JournalName>Journal of the Soil Science Society of  America</b:JournalName>
    <b:Year>1999</b:Year>
    <b:Volume>63</b:Volume>
    <b:Pages>1463–1471</b:Pages>
    <b:Author>
      <b:Author>
        <b:NameList>
          <b:Person>
            <b:Last>Scheinost</b:Last>
            <b:Middle>C</b:Middle>
            <b:First>A</b:First>
          </b:Person>
          <b:Person>
            <b:Last>Schwertmann</b:Last>
            <b:First>U</b:First>
          </b:Person>
        </b:NameList>
      </b:Author>
    </b:Author>
    <b:RefOrder>198</b:RefOrder>
  </b:Source>
  <b:Source>
    <b:Tag>God04</b:Tag>
    <b:SourceType>JournalArticle</b:SourceType>
    <b:Guid>{33243886-B157-E846-A27E-C75D7DC88B5E}</b:Guid>
    <b:Title>Past thermal history of goethite and haematite fragments from Qafzeh Cave deduced from thermal activation characteristics of 110'C TL peack of enclosed quartz grains</b:Title>
    <b:JournalName>Revue Archeometrie 28</b:JournalName>
    <b:Year>2004</b:Year>
    <b:Pages>185-190</b:Pages>
    <b:Author>
      <b:Author>
        <b:NameList>
          <b:Person>
            <b:Last>Godfrey-Smith</b:Last>
            <b:Middle>I</b:Middle>
            <b:First>D</b:First>
          </b:Person>
          <b:Person>
            <b:Last>Ilani</b:Last>
            <b:First>S</b:First>
          </b:Person>
        </b:NameList>
      </b:Author>
    </b:Author>
    <b:RefOrder>199</b:RefOrder>
  </b:Source>
  <b:Source>
    <b:Tag>Vog10</b:Tag>
    <b:SourceType>JournalArticle</b:SourceType>
    <b:Guid>{EFC14DEF-F998-2D4C-BD69-0ECF6D8DB492}</b:Guid>
    <b:Title>New Excavations of Middle Stone Age Deposits at Apollo 11 Rockshelter, Namibia: Stratagraphy, Archaeology, Chronology and Past Environments</b:Title>
    <b:JournalName>Journal of African Archaeology</b:JournalName>
    <b:Year>2010</b:Year>
    <b:Volume>8</b:Volume>
    <b:Issue>2</b:Issue>
    <b:Pages>185-218</b:Pages>
    <b:Author>
      <b:Author>
        <b:NameList>
          <b:Person>
            <b:Last>Vogelsang</b:Last>
            <b:First>R</b:First>
          </b:Person>
          <b:Person>
            <b:Last>Richter</b:Last>
            <b:First>J</b:First>
          </b:Person>
          <b:Person>
            <b:Last>Jacobs</b:Last>
            <b:First>Z</b:First>
          </b:Person>
          <b:Person>
            <b:Last>Eichhorn</b:Last>
            <b:First>B</b:First>
          </b:Person>
          <b:Person>
            <b:Last>Linseele</b:Last>
            <b:First>V</b:First>
          </b:Person>
          <b:Person>
            <b:Last>Roberts</b:Last>
            <b:Middle>G</b:Middle>
            <b:First>R</b:First>
          </b:Person>
        </b:NameList>
      </b:Author>
    </b:Author>
    <b:RefOrder>200</b:RefOrder>
  </b:Source>
  <b:Source>
    <b:Tag>dEr10</b:Tag>
    <b:SourceType>JournalArticle</b:SourceType>
    <b:Guid>{37E9B2EC-56B2-2F45-A215-AD9419A5E42A}</b:Guid>
    <b:Title>Pigments from the Middle Palaeolithic levels of Es-Skhul (Mount Carmel, Israel)</b:Title>
    <b:Year>2010</b:Year>
    <b:Volume>37</b:Volume>
    <b:Pages>3099-3110</b:Pages>
    <b:JournalName>Journal of Archaeological Science</b:JournalName>
    <b:Author>
      <b:Author>
        <b:NameList>
          <b:Person>
            <b:Last>d'Errico</b:Last>
            <b:First>F</b:First>
          </b:Person>
          <b:Person>
            <b:Last>Salomon</b:Last>
            <b:First>H</b:First>
          </b:Person>
          <b:Person>
            <b:Last>Vignaud</b:Last>
            <b:First>C</b:First>
          </b:Person>
          <b:Person>
            <b:Last>Stringer</b:Last>
            <b:First>C</b:First>
          </b:Person>
        </b:NameList>
      </b:Author>
    </b:Author>
    <b:RefOrder>201</b:RefOrder>
  </b:Source>
  <b:Source>
    <b:Tag>Lom12</b:Tag>
    <b:SourceType>JournalArticle</b:SourceType>
    <b:Guid>{27F64B84-B813-4646-9B95-49B70E69D207}</b:Guid>
    <b:Title>Thinking through the Middle Stone Age of sub-Saharan Africa Marlize</b:Title>
    <b:JournalName>Quaternary International</b:JournalName>
    <b:Year>2012</b:Year>
    <b:Volume>270</b:Volume>
    <b:Pages>140-155</b:Pages>
    <b:Author>
      <b:Author>
        <b:NameList>
          <b:Person>
            <b:Last>Lombard</b:Last>
            <b:First>M</b:First>
          </b:Person>
        </b:NameList>
      </b:Author>
    </b:Author>
    <b:RefOrder>202</b:RefOrder>
  </b:Source>
  <b:Source>
    <b:Tag>Hel97</b:Tag>
    <b:SourceType>JournalArticle</b:SourceType>
    <b:Guid>{A8555C39-1493-7D4A-A493-3A66311FD67C}</b:Guid>
    <b:Title>A note on burnt yellow earth pigments: documentary souorces and scientific analysis</b:Title>
    <b:JournalName>Studies in Conservation</b:JournalName>
    <b:Year>1997</b:Year>
    <b:Volume>42</b:Volume>
    <b:Issue>3</b:Issue>
    <b:Pages>181-188</b:Pages>
    <b:Author>
      <b:Author>
        <b:NameList>
          <b:Person>
            <b:Last>Helwig</b:Last>
            <b:First>K</b:First>
          </b:Person>
        </b:NameList>
      </b:Author>
    </b:Author>
    <b:RefOrder>203</b:RefOrder>
  </b:Source>
  <b:Source>
    <b:Tag>Woj16</b:Tag>
    <b:SourceType>ConferenceProceedings</b:SourceType>
    <b:Guid>{40FF9AC0-2058-964A-B8B6-1D01B8DAD722}</b:Guid>
    <b:Title>Preliminary results of chemical and physical evidence of heating treatment of the Middle Stone Age ochre from Rose Cottage and Sibudu Caves, South Africa</b:Title>
    <b:City>Faro</b:City>
    <b:Publisher>University of Algarve</b:Publisher>
    <b:Year>2016</b:Year>
    <b:Pages>105</b:Pages>
    <b:ConferenceName>Raw Materials 2016, Faro</b:ConferenceName>
    <b:Author>
      <b:Author>
        <b:NameList>
          <b:Person>
            <b:Last>Wojcieszak</b:Last>
            <b:First>M</b:First>
          </b:Person>
          <b:Person>
            <b:Last>Hodgskiss</b:Last>
            <b:First>T</b:First>
          </b:Person>
          <b:Person>
            <b:Last>Wadley</b:Last>
            <b:First>L</b:First>
          </b:Person>
        </b:NameList>
      </b:Author>
    </b:Author>
    <b:RefOrder>204</b:RefOrder>
  </b:Source>
  <b:Source>
    <b:Tag>Bea06</b:Tag>
    <b:SourceType>JournalArticle</b:SourceType>
    <b:Guid>{95DFC20A-4D25-7747-9312-C51270D5C95F}</b:Guid>
    <b:Title>On a Timescale for the Past Million Years of Human History in Central South Africa</b:Title>
    <b:Year>2006</b:Year>
    <b:JournalName>South African Journal of Science</b:JournalName>
    <b:Volume>102</b:Volume>
    <b:Pages>217-228</b:Pages>
    <b:Author>
      <b:Author>
        <b:NameList>
          <b:Person>
            <b:Last>Beaumont</b:Last>
            <b:Middle>B</b:Middle>
            <b:First>P</b:First>
          </b:Person>
          <b:Person>
            <b:Last>Vogel</b:Last>
            <b:First>J</b:First>
          </b:Person>
        </b:NameList>
      </b:Author>
    </b:Author>
    <b:RefOrder>205</b:RefOrder>
  </b:Source>
  <b:Source>
    <b:Tag>McB00</b:Tag>
    <b:SourceType>JournalArticle</b:SourceType>
    <b:Guid>{8BAA1B5A-7D26-A54C-8D4C-57893E5F73AE}</b:Guid>
    <b:Title>The revolution that wasn't: a new interpretation of the origin of modern human behavior</b:Title>
    <b:Year>2000</b:Year>
    <b:Volume>39</b:Volume>
    <b:Pages>453-563</b:Pages>
    <b:JournalName>Journal of Human Evolution</b:JournalName>
    <b:Issue>5</b:Issue>
    <b:Author>
      <b:Author>
        <b:NameList>
          <b:Person>
            <b:Last>McBrearty</b:Last>
            <b:First>S</b:First>
          </b:Person>
          <b:Person>
            <b:Last>Brooks</b:Last>
            <b:First>A</b:First>
          </b:Person>
        </b:NameList>
      </b:Author>
    </b:Author>
    <b:RefOrder>206</b:RefOrder>
  </b:Source>
  <b:Source>
    <b:Tag>Bar09</b:Tag>
    <b:SourceType>JournalArticle</b:SourceType>
    <b:Guid>{0778DBEB-EA2D-3B4E-BE1D-45E6248218D2}</b:Guid>
    <b:Title>Shells and Ochre in Middle Palaeolithic Qafzeh Cave, Israel: Indications for Modern Behaviour</b:Title>
    <b:JournalName>Journal of Human Evolution</b:JournalName>
    <b:Year>2009</b:Year>
    <b:Volume>56</b:Volume>
    <b:Pages>307-314</b:Pages>
    <b:Author>
      <b:Author>
        <b:NameList>
          <b:Person>
            <b:Last>Bar-Yosef Mayer</b:Last>
            <b:Middle>E</b:Middle>
            <b:First>D</b:First>
          </b:Person>
          <b:Person>
            <b:Last>Vandermeersch</b:Last>
            <b:First>B</b:First>
          </b:Person>
          <b:Person>
            <b:Last>Bar-Yosef</b:Last>
            <b:First>O</b:First>
          </b:Person>
        </b:NameList>
      </b:Author>
    </b:Author>
    <b:RefOrder>207</b:RefOrder>
  </b:Source>
  <b:Source>
    <b:Tag>Buc23</b:Tag>
    <b:SourceType>Book</b:SourceType>
    <b:Guid>{A4D48E9A-DC91-0040-9D5F-58572BE20022}</b:Guid>
    <b:Title>Reliquiae Diluvianae</b:Title>
    <b:Year>1823</b:Year>
    <b:City>Cambridge</b:City>
    <b:Publisher>Cambridge University Press</b:Publisher>
    <b:Author>
      <b:Author>
        <b:NameList>
          <b:Person>
            <b:Last>Buckland</b:Last>
            <b:First>W</b:First>
          </b:Person>
        </b:NameList>
      </b:Author>
    </b:Author>
    <b:Comments>https://doi-org.ezp.lib.cam.ac.uk/10.1017/CBO9780511694820</b:Comments>
    <b:RefOrder>208</b:RefOrder>
  </b:Source>
  <b:Source>
    <b:Tag>Jac08</b:Tag>
    <b:SourceType>JournalArticle</b:SourceType>
    <b:Guid>{BC474F93-4947-3040-AF28-6FA4F8679329}</b:Guid>
    <b:Title>The ‘Red Lady’ ages gracefully: new ultrafiltration AMS determinations from Paviland</b:Title>
    <b:Year>2008</b:Year>
    <b:Author>
      <b:Author>
        <b:NameList>
          <b:Person>
            <b:Last>Jacobi</b:Last>
            <b:Middle>M</b:Middle>
            <b:First>R</b:First>
          </b:Person>
          <b:Person>
            <b:Last>Higham</b:Last>
            <b:Middle>F</b:Middle>
            <b:First>T</b:First>
          </b:Person>
        </b:NameList>
      </b:Author>
    </b:Author>
    <b:JournalName>Journal of Human Evolution</b:JournalName>
    <b:Volume>55</b:Volume>
    <b:Pages>898–907</b:Pages>
    <b:RefOrder>209</b:RefOrder>
  </b:Source>
  <b:Source>
    <b:Tag>Vel21</b:Tag>
    <b:SourceType>JournalArticle</b:SourceType>
    <b:Guid>{8BD7C2DA-1EDC-0C4C-97E6-CE5FC217CF3E}</b:Guid>
    <b:Title>First large‐scale provenance study of pigments reveals new complex behavioural patterns during the Upper Palaeolithic of south‐western Germany</b:Title>
    <b:JournalName>Archaeometry</b:JournalName>
    <b:Year>2021</b:Year>
    <b:Volume>63</b:Volume>
    <b:Issue>1</b:Issue>
    <b:Pages>173-193</b:Pages>
    <b:Author>
      <b:Author>
        <b:NameList>
          <b:Person>
            <b:Last>Velliky</b:Last>
            <b:Middle>C</b:Middle>
            <b:First>E</b:First>
          </b:Person>
          <b:Person>
            <b:Last>MacDonald</b:Last>
            <b:Middle>L</b:Middle>
            <b:First>B</b:First>
          </b:Person>
          <b:Person>
            <b:Last>Porr</b:Last>
            <b:First>M</b:First>
          </b:Person>
          <b:Person>
            <b:Last>Conard</b:Last>
            <b:Middle>J</b:Middle>
            <b:First>N</b:First>
          </b:Person>
        </b:NameList>
      </b:Author>
    </b:Author>
    <b:Comments>https://doi-org.ezp.lib.cam.ac.uk/10.1111/arcm.12611</b:Comments>
    <b:RefOrder>210</b:RefOrder>
  </b:Source>
  <b:Source>
    <b:Tag>HendE11</b:Tag>
    <b:SourceType>BookSection</b:SourceType>
    <b:Guid>{EBC6E30E-CE5A-4840-AC04-FFEB6C9697FA}</b:Guid>
    <b:Title>Middle Stone Age Engrav­ings and their Significance for the Debate on the Emergence of Symbolic Material Cul­tures</b:Title>
    <b:Year>2011</b:Year>
    <b:Pages>75-96</b:Pages>
    <b:BookTitle>Homo Symbolicus: The Dawn of Language, Imagination and Spirituality</b:BookTitle>
    <b:City>Amsterdam</b:City>
    <b:Publisher>Benjamins</b:Publisher>
    <b:Author>
      <b:Author>
        <b:NameList>
          <b:Person>
            <b:Last>Henshilwood</b:Last>
            <b:Middle>S</b:Middle>
            <b:First>C</b:First>
          </b:Person>
          <b:Person>
            <b:Last>d'Errico</b:Last>
            <b:First>F</b:First>
          </b:Person>
        </b:NameList>
      </b:Author>
      <b:Editor>
        <b:NameList>
          <b:Person>
            <b:Last>Henshilwood</b:Last>
            <b:Middle>S</b:Middle>
            <b:First>C</b:First>
          </b:Person>
          <b:Person>
            <b:Last>d'Errico</b:Last>
            <b:First>F</b:First>
          </b:Person>
        </b:NameList>
      </b:Editor>
    </b:Author>
    <b:RefOrder>211</b:RefOrder>
  </b:Source>
  <b:Source>
    <b:Tag>Mac60</b:Tag>
    <b:SourceType>JournalArticle</b:SourceType>
    <b:Guid>{624482F8-39B7-864F-B122-643A198802F7}</b:Guid>
    <b:Title>β-Ferric Oxyhydroxide</b:Title>
    <b:Year>1960</b:Year>
    <b:Pages>545-557</b:Pages>
    <b:JournalName>Mineralogical Magazine and Journal of the Mineralogical Society</b:JournalName>
    <b:Volume>32</b:Volume>
    <b:Issue>250</b:Issue>
    <b:Author>
      <b:Author>
        <b:NameList>
          <b:Person>
            <b:Last>Mackay</b:Last>
            <b:Middle>L</b:Middle>
            <b:First>A</b:First>
          </b:Person>
        </b:NameList>
      </b:Author>
    </b:Author>
    <b:RefOrder>212</b:RefOrder>
  </b:Source>
  <b:Source>
    <b:Tag>Hod17</b:Tag>
    <b:SourceType>JournalArticle</b:SourceType>
    <b:Guid>{1F716C37-E19D-9B44-889E-675F7B6D7E7F}</b:Guid>
    <b:Title>How People Used Ochre at Rose Cottage Cave, South Africa: Sixty Thousand Years of Evidence from the Middle Stone Age</b:Title>
    <b:JournalName>PLoS ONE</b:JournalName>
    <b:Year>2017</b:Year>
    <b:Volume>12</b:Volume>
    <b:Pages>e0176317</b:Pages>
    <b:Author>
      <b:Author>
        <b:NameList>
          <b:Person>
            <b:Last>Hodgskiss</b:Last>
            <b:First>T</b:First>
          </b:Person>
          <b:Person>
            <b:Last>Wadley</b:Last>
            <b:First>L</b:First>
          </b:Person>
        </b:NameList>
      </b:Author>
    </b:Author>
    <b:RefOrder>213</b:RefOrder>
  </b:Source>
  <b:Source>
    <b:Tag>Pet11</b:Tag>
    <b:SourceType>Book</b:SourceType>
    <b:Guid>{3143D384-18C7-534E-B4EB-9AA67D282646}</b:Guid>
    <b:Title>The Palaeolithic Origins of Human Burial</b:Title>
    <b:Year>2011</b:Year>
    <b:City>London</b:City>
    <b:Publisher>Routledge</b:Publisher>
    <b:Author>
      <b:Author>
        <b:NameList>
          <b:Person>
            <b:Last>Pettitt</b:Last>
            <b:First>P</b:First>
          </b:Person>
        </b:NameList>
      </b:Author>
    </b:Author>
    <b:RefOrder>214</b:RefOrder>
  </b:Source>
  <b:Source>
    <b:Tag>Bar02</b:Tag>
    <b:SourceType>JournalArticle</b:SourceType>
    <b:Guid>{96E6A036-ACC7-BC42-ADE1-9C0CB7E7D2F7}</b:Guid>
    <b:Title>Systematic Pigment Use in the Middle Pleistocene of South Central Africa</b:Title>
    <b:Year>2002</b:Year>
    <b:JournalName>Current Anthropology</b:JournalName>
    <b:Volume>43</b:Volume>
    <b:Issue>1</b:Issue>
    <b:Pages>181-190</b:Pages>
    <b:Author>
      <b:Author>
        <b:NameList>
          <b:Person>
            <b:Last>Barham</b:Last>
            <b:First>L</b:First>
          </b:Person>
        </b:NameList>
      </b:Author>
    </b:Author>
    <b:RefOrder>215</b:RefOrder>
  </b:Source>
  <b:Source>
    <b:Tag>Tyr02</b:Tag>
    <b:SourceType>JournalArticle</b:SourceType>
    <b:Guid>{35CC80AA-AF8E-5D41-AA07-03E4A3B0875F}</b:Guid>
    <b:Title>Tephrostratigraphy and the Acheulian to Middle Stone Age transition in the Kapthurin Formation, Kenya</b:Title>
    <b:JournalName>Journal of Human Evolution</b:JournalName>
    <b:Year>2002</b:Year>
    <b:Volume>42</b:Volume>
    <b:Pages>211-235</b:Pages>
    <b:Author>
      <b:Author>
        <b:NameList>
          <b:Person>
            <b:Last>Tyron</b:Last>
            <b:Middle>A</b:Middle>
            <b:First>C</b:First>
          </b:Person>
          <b:Person>
            <b:Last>McBrearty</b:Last>
            <b:First>S</b:First>
          </b:Person>
        </b:NameList>
      </b:Author>
    </b:Author>
    <b:Comments>doi:10.1006/jhev.2001.0513</b:Comments>
    <b:RefOrder>216</b:RefOrder>
  </b:Source>
  <b:Source>
    <b:Tag>Zip15</b:Tag>
    <b:SourceType>Misc</b:SourceType>
    <b:Guid>{AFB737E3-2AB9-874D-B0F2-E580B2109CA1}</b:Guid>
    <b:Title>The Preferential Collection and Use of Ochre Pigments and Iron Ores at Twin Rivers Kopje, Zambia</b:Title>
    <b:Year>2015</b:Year>
    <b:Author>
      <b:Author>
        <b:NameList>
          <b:Person>
            <b:Last>Zipkin</b:Last>
            <b:First>A</b:First>
          </b:Person>
          <b:Person>
            <b:Last>Brooks</b:Last>
            <b:First>A</b:First>
          </b:Person>
          <b:Person>
            <b:Last>Hanchar</b:Last>
            <b:First>J</b:First>
          </b:Person>
          <b:Person>
            <b:Last>Schick</b:Last>
            <b:First>K</b:First>
          </b:Person>
          <b:Person>
            <b:Last>Toth</b:Last>
            <b:First>N</b:First>
          </b:Person>
        </b:NameList>
      </b:Author>
    </b:Author>
    <b:Publisher>Paper presented at the 80th Annual Meeting of the Society for American Archaeology, San Francisco, California.</b:Publisher>
    <b:RefOrder>217</b:RefOrder>
  </b:Source>
  <b:Source>
    <b:Tag>Dob12</b:Tag>
    <b:SourceType>JournalArticle</b:SourceType>
    <b:Guid>{6BFED0EA-17BF-D34E-99AF-0DA537EB57D6}</b:Guid>
    <b:Title>Direct radiocarbon dates for the Mid Upper Palaeolithic (Eastern Gravettian) burials from Sunghir, Russia</b:Title>
    <b:Year>2012</b:Year>
    <b:JournalName>Bulletins et mémoires de la Société d'anthropologie de Paris</b:JournalName>
    <b:Volume>24</b:Volume>
    <b:Issue>1-2</b:Issue>
    <b:Pages>96-102</b:Pages>
    <b:Author>
      <b:Author>
        <b:NameList>
          <b:Person>
            <b:Last>Dobrovolskaya</b:Last>
            <b:First>M</b:First>
          </b:Person>
          <b:Person>
            <b:Last>Richards</b:Last>
            <b:First>M-P</b:First>
          </b:Person>
          <b:Person>
            <b:Last>Trinkhaus</b:Last>
            <b:First>E</b:First>
          </b:Person>
        </b:NameList>
      </b:Author>
    </b:Author>
    <b:RefOrder>218</b:RefOrder>
  </b:Source>
  <b:Source>
    <b:Tag>Mac20</b:Tag>
    <b:SourceType>JournalArticle</b:SourceType>
    <b:Guid>{C9135289-FFD8-6F4C-9276-38D779E306C8}</b:Guid>
    <b:Title>Paleoindian ochre mines in the submerged caves of the Yucatán Peninsula, Quintana Roo, Mexico</b:Title>
    <b:JournalName>Science Advances</b:JournalName>
    <b:Year>2020</b:Year>
    <b:Volume>6</b:Volume>
    <b:Issue>27</b:Issue>
    <b:Author>
      <b:Author>
        <b:NameList>
          <b:Person>
            <b:Last>MacDonald</b:Last>
            <b:Middle>L</b:Middle>
            <b:First>B</b:First>
          </b:Person>
          <b:Person>
            <b:Last>Chatters</b:Last>
            <b:Middle>C</b:Middle>
            <b:First>J</b:First>
          </b:Person>
          <b:Person>
            <b:Last>Reinhardt</b:Last>
            <b:Middle>G</b:Middle>
            <b:First>E</b:First>
          </b:Person>
          <b:Person>
            <b:Last>Devos</b:Last>
            <b:First>F</b:First>
          </b:Person>
          <b:Person>
            <b:Last>Meacham</b:Last>
            <b:First>S</b:First>
          </b:Person>
          <b:Person>
            <b:Last>Rissolo</b:Last>
            <b:First>D</b:First>
          </b:Person>
          <b:Person>
            <b:Last>Rock</b:Last>
            <b:First>B</b:First>
          </b:Person>
          <b:Person>
            <b:Last>Le Maillot</b:Last>
            <b:First>C</b:First>
          </b:Person>
          <b:Person>
            <b:Last>Stalla</b:Last>
            <b:First>D</b:First>
          </b:Person>
          <b:Person>
            <b:Last>Marino</b:Last>
            <b:Middle>D</b:Middle>
            <b:First>M</b:First>
          </b:Person>
          <b:Person>
            <b:Last>Lo</b:Last>
            <b:First>E</b:First>
          </b:Person>
          <b:Person>
            <b:Last>Erreguerena</b:Last>
            <b:Middle>L</b:Middle>
            <b:First>P</b:First>
          </b:Person>
        </b:NameList>
      </b:Author>
    </b:Author>
    <b:Comments>DOI: 10.1126/sciadv.aba1219</b:Comments>
    <b:RefOrder>219</b:RefOrder>
  </b:Source>
  <b:Source>
    <b:Tag>Lea58</b:Tag>
    <b:SourceType>JournalArticle</b:SourceType>
    <b:Guid>{9B3F3E4E-954D-754D-A39C-337D7FCFD7D4}</b:Guid>
    <b:Title>Recent discoveries at Olduvai Gorge, Tanganyika</b:Title>
    <b:JournalName>Nature</b:JournalName>
    <b:Year>1958</b:Year>
    <b:Volume>181</b:Volume>
    <b:Pages>1099-1103</b:Pages>
    <b:Author>
      <b:Author>
        <b:NameList>
          <b:Person>
            <b:Last>Leakey</b:Last>
            <b:Middle>S B</b:Middle>
            <b:First>L</b:First>
          </b:Person>
        </b:NameList>
      </b:Author>
    </b:Author>
    <b:RefOrder>220</b:RefOrder>
  </b:Source>
  <b:Source>
    <b:Tag>Cla79</b:Tag>
    <b:SourceType>JournalArticle</b:SourceType>
    <b:Guid>{2A4BAD16-B5B0-C046-B480-FEEDBD717B42}</b:Guid>
    <b:Title>Hominid occupation of the east-central highlands of Ethiopia in the Plio-Pleistocene</b:Title>
    <b:JournalName>Nature</b:JournalName>
    <b:Year>1979</b:Year>
    <b:Volume>282</b:Volume>
    <b:Pages>33-39</b:Pages>
    <b:Author>
      <b:Author>
        <b:NameList>
          <b:Person>
            <b:Last>Clark</b:Last>
            <b:Middle>D</b:Middle>
            <b:First>J</b:First>
          </b:Person>
          <b:Person>
            <b:Last>Kurashina</b:Last>
            <b:First>H</b:First>
          </b:Person>
        </b:NameList>
      </b:Author>
    </b:Author>
    <b:RefOrder>221</b:RefOrder>
  </b:Source>
  <b:Source>
    <b:Tag>Mel88</b:Tag>
    <b:SourceType>JournalArticle</b:SourceType>
    <b:Guid>{CDB0A93B-9087-844C-B068-FDDA827D888A}</b:Guid>
    <b:Title>The Origins and Dispersal of Modern Humans</b:Title>
    <b:JournalName>Current Anthropoloy</b:JournalName>
    <b:Year>1988</b:Year>
    <b:Volume>29</b:Volume>
    <b:Issue>1</b:Issue>
    <b:Pages>186-188</b:Pages>
    <b:Author>
      <b:Author>
        <b:NameList>
          <b:Person>
            <b:Last>Mellars</b:Last>
            <b:First>P</b:First>
          </b:Person>
        </b:NameList>
      </b:Author>
    </b:Author>
    <b:RefOrder>222</b:RefOrder>
  </b:Source>
  <b:Source>
    <b:Tag>Aub14</b:Tag>
    <b:SourceType>JournalArticle</b:SourceType>
    <b:Guid>{D97C6EB9-F1C9-5247-A795-5F5EEB1F8B7A}</b:Guid>
    <b:Title>Pleistocene cave art from Sulawesi, Indonesia</b:Title>
    <b:JournalName>Nature</b:JournalName>
    <b:Year>2014</b:Year>
    <b:Volume>514</b:Volume>
    <b:Pages>223-227</b:Pages>
    <b:Author>
      <b:Author>
        <b:NameList>
          <b:Person>
            <b:Last>Aubert</b:Last>
            <b:First>M</b:First>
          </b:Person>
          <b:Person>
            <b:Last>Brumm</b:Last>
            <b:First>A</b:First>
          </b:Person>
          <b:Person>
            <b:Last>Ramli</b:Last>
            <b:First>M</b:First>
          </b:Person>
          <b:Person>
            <b:Last>Sutikna</b:Last>
            <b:First>T</b:First>
          </b:Person>
          <b:Person>
            <b:Last>Saptomo</b:Last>
            <b:Middle>W</b:Middle>
            <b:First>E</b:First>
          </b:Person>
          <b:Person>
            <b:Last>Hakim</b:Last>
            <b:First>B</b:First>
          </b:Person>
          <b:Person>
            <b:Last>Morwood</b:Last>
            <b:Middle>J</b:Middle>
            <b:First>M</b:First>
          </b:Person>
          <b:Person>
            <b:Last>van den Bergh</b:Last>
            <b:Middle>D</b:Middle>
            <b:First>G</b:First>
          </b:Person>
          <b:Person>
            <b:Last>Kinsley</b:Last>
            <b:First>L</b:First>
          </b:Person>
          <b:Person>
            <b:Last>Dosseto</b:Last>
            <b:First>A</b:First>
          </b:Person>
        </b:NameList>
      </b:Author>
    </b:Author>
    <b:RefOrder>223</b:RefOrder>
  </b:Source>
  <b:Source>
    <b:Tag>Bru21</b:Tag>
    <b:SourceType>JournalArticle</b:SourceType>
    <b:Guid>{B26EDC3B-16C3-7A43-86D4-95A7EEA6E6DF}</b:Guid>
    <b:Title>Oldest Cave Art Found in Sulawesi</b:Title>
    <b:JournalName>Science Advances</b:JournalName>
    <b:Year>2021</b:Year>
    <b:Volume>7</b:Volume>
    <b:Issue>3</b:Issue>
    <b:Pages>DOI: 10.1126/sciadv.abd4648 </b:Pages>
    <b:Author>
      <b:Author>
        <b:NameList>
          <b:Person>
            <b:Last>Brumm</b:Last>
            <b:First>A</b:First>
          </b:Person>
          <b:Person>
            <b:Last>Okaviana</b:Last>
            <b:Middle>A</b:Middle>
            <b:First>A</b:First>
          </b:Person>
          <b:Person>
            <b:Last>Burham</b:Last>
            <b:First>B</b:First>
          </b:Person>
          <b:Person>
            <b:Last>Hakim</b:Last>
            <b:First>B</b:First>
          </b:Person>
          <b:Person>
            <b:Last>Zhao</b:Last>
            <b:First>J-x</b:First>
          </b:Person>
          <b:Person>
            <b:Last>Sulistyarto</b:Last>
            <b:Middle>H</b:Middle>
            <b:First>P</b:First>
          </b:Person>
          <b:Person>
            <b:Last>Ririmasse</b:Last>
            <b:First>M</b:First>
          </b:Person>
          <b:Person>
            <b:Last>Adhityatama</b:Last>
            <b:First>S</b:First>
          </b:Person>
          <b:Person>
            <b:Last>Sumantri</b:Last>
            <b:First>I</b:First>
          </b:Person>
          <b:Person>
            <b:Last>Aubert</b:Last>
            <b:First>M</b:First>
          </b:Person>
        </b:NameList>
      </b:Author>
    </b:Author>
    <b:RefOrder>224</b:RefOrder>
  </b:Source>
  <b:Source>
    <b:Tag>dEr16</b:Tag>
    <b:SourceType>JournalArticle</b:SourceType>
    <b:Guid>{231E7F7C-21EA-BB49-A799-004C225D5552}</b:Guid>
    <b:Title>Earliest evidence of personal ornaments associated with burial: The Conus shells from Border Cave</b:Title>
    <b:JournalName>Journal of Human Evolution</b:JournalName>
    <b:Year>2016</b:Year>
    <b:Volume>93</b:Volume>
    <b:Pages>91-108</b:Pages>
    <b:Author>
      <b:Author>
        <b:NameList>
          <b:Person>
            <b:Last>d'Errico</b:Last>
            <b:First>F</b:First>
          </b:Person>
          <b:Person>
            <b:Last>Backwell</b:Last>
            <b:First>L</b:First>
          </b:Person>
        </b:NameList>
      </b:Author>
    </b:Author>
    <b:RefOrder>225</b:RefOrder>
  </b:Source>
  <b:Source>
    <b:Tag>Wol18</b:Tag>
    <b:SourceType>JournalArticle</b:SourceType>
    <b:Guid>{9AA25FA7-820D-CA49-AD8E-815AF725ECED}</b:Guid>
    <b:Title>The Use of Ochre and Painting During the Upper Palaeolithic of the Swabian Jura in the Context of the Development of Ochre Use in Africa and Europe</b:Title>
    <b:JournalName>Open Archaeology</b:JournalName>
    <b:Year>2018</b:Year>
    <b:Volume>4</b:Volume>
    <b:Pages>185-205</b:Pages>
    <b:Author>
      <b:Author>
        <b:NameList>
          <b:Person>
            <b:Last>Wolf</b:Last>
            <b:First>S</b:First>
          </b:Person>
          <b:Person>
            <b:Last>Dapschauskas</b:Last>
            <b:First>R</b:First>
          </b:Person>
          <b:Person>
            <b:Last>Velliky</b:Last>
            <b:First>E</b:First>
          </b:Person>
          <b:Person>
            <b:Last>Floss</b:Last>
            <b:First>H</b:First>
          </b:Person>
          <b:Person>
            <b:Last>Kandel</b:Last>
            <b:Middle>W</b:Middle>
            <b:First>A</b:First>
          </b:Person>
          <b:Person>
            <b:Last>Conard</b:Last>
            <b:Middle>J</b:Middle>
            <b:First>N</b:First>
          </b:Person>
        </b:NameList>
      </b:Author>
    </b:Author>
    <b:Comments>https://doi.org/10.1515/opar-2018-0012</b:Comments>
    <b:RefOrder>226</b:RefOrder>
  </b:Source>
  <b:Source>
    <b:Tag>Bec20</b:Tag>
    <b:SourceType>JournalArticle</b:SourceType>
    <b:Guid>{9BFF0A13-38FA-F14D-8C16-BEC852A4C5E7}</b:Guid>
    <b:Title>The timing and effect of the earliest human arrivals in North America</b:Title>
    <b:JournalName>Nature</b:JournalName>
    <b:Year>2020</b:Year>
    <b:Volume>584</b:Volume>
    <b:Pages>93-97</b:Pages>
    <b:Author>
      <b:Author>
        <b:NameList>
          <b:Person>
            <b:Last>Becerra-Valdivia</b:Last>
            <b:First>L</b:First>
          </b:Person>
          <b:Person>
            <b:Last>Higham</b:Last>
            <b:First>T</b:First>
          </b:Person>
        </b:NameList>
      </b:Author>
    </b:Author>
    <b:Comments>https://doi-org.ezp.lib.cam.ac.uk/10.1038/s41586-020-2491-6</b:Comments>
    <b:RefOrder>227</b:RefOrder>
  </b:Source>
  <b:Source>
    <b:Tag>Ard20</b:Tag>
    <b:SourceType>JournalArticle</b:SourceType>
    <b:Guid>{BBD46C82-8FF9-C34B-A958-66C615F36456}</b:Guid>
    <b:Title>Evidence of human occupation in Mexico around the Last Glacial Maximum</b:Title>
    <b:JournalName>Nature</b:JournalName>
    <b:Year>2020</b:Year>
    <b:Volume>584</b:Volume>
    <b:Pages>87-92</b:Pages>
    <b:Author>
      <b:Author>
        <b:NameList>
          <b:Person>
            <b:Last>Ardelean</b:Last>
            <b:Middle>F</b:Middle>
            <b:First>C</b:First>
          </b:Person>
          <b:Person>
            <b:Last>Becerra-Valdivia</b:Last>
            <b:First>L</b:First>
          </b:Person>
          <b:Person>
            <b:Last>Pedersen</b:Last>
            <b:Middle>W</b:Middle>
            <b:First>M</b:First>
          </b:Person>
          <b:Person>
            <b:Last>et al.</b:Last>
          </b:Person>
        </b:NameList>
      </b:Author>
    </b:Author>
    <b:Comments>https://doi-org.ezp.lib.cam.ac.uk/10.1038/s41586-020-2509-0</b:Comments>
    <b:RefOrder>228</b:RefOrder>
  </b:Source>
  <b:Source>
    <b:Tag>Pot11</b:Tag>
    <b:SourceType>JournalArticle</b:SourceType>
    <b:Guid>{E113B2F1-87DE-7344-A44A-48C86081BE08}</b:Guid>
    <b:Title>A Terminal Pleistocene Child Cremation and Residential Structre from Eastern Beringia</b:Title>
    <b:JournalName>Science</b:JournalName>
    <b:Year>2011</b:Year>
    <b:Volume>331</b:Volume>
    <b:Issue>6020</b:Issue>
    <b:Pages>1058-1062</b:Pages>
    <b:Author>
      <b:Author>
        <b:NameList>
          <b:Person>
            <b:Last>Potter</b:Last>
            <b:Middle>A</b:Middle>
            <b:First>B</b:First>
          </b:Person>
          <b:Person>
            <b:Last>Irish</b:Last>
            <b:Middle>D</b:Middle>
            <b:First>J</b:First>
          </b:Person>
          <b:Person>
            <b:Last>Reuther</b:Last>
            <b:Middle>D</b:Middle>
            <b:First>J</b:First>
          </b:Person>
          <b:Person>
            <b:Last>Gelvin-Reymiller</b:Last>
            <b:First>C</b:First>
          </b:Person>
          <b:Person>
            <b:Last>Holliday</b:Last>
            <b:Middle>T</b:Middle>
            <b:First>V</b:First>
          </b:Person>
        </b:NameList>
      </b:Author>
    </b:Author>
    <b:Comments>DOI: 10.1126/science.1201581</b:Comments>
    <b:RefOrder>229</b:RefOrder>
  </b:Source>
  <b:Source>
    <b:Tag>Lem15</b:Tag>
    <b:SourceType>JournalArticle</b:SourceType>
    <b:Guid>{5F26F48D-B906-BB44-8145-F6CA4F81A0A2}</b:Guid>
    <b:Title>Early Art in North America: Colvis and Later Palaeoindian Incised Artefacts from the Gault Site, Texas</b:Title>
    <b:JournalName>American Antiquity</b:JournalName>
    <b:Year>2015</b:Year>
    <b:Volume>80</b:Volume>
    <b:Issue>1</b:Issue>
    <b:Pages>113-133</b:Pages>
    <b:Author>
      <b:Author>
        <b:NameList>
          <b:Person>
            <b:Last>Lemke</b:Last>
            <b:Middle>K</b:Middle>
            <b:First>A</b:First>
          </b:Person>
          <b:Person>
            <b:Last>Wenecke</b:Last>
            <b:Middle>C</b:Middle>
            <b:First>D</b:First>
          </b:Person>
          <b:Person>
            <b:Last>Collins</b:Last>
            <b:Middle>B</b:Middle>
            <b:First>M</b:First>
          </b:Person>
        </b:NameList>
      </b:Author>
    </b:Author>
    <b:RefOrder>230</b:RefOrder>
  </b:Source>
  <b:Source>
    <b:Tag>LiZ19</b:Tag>
    <b:SourceType>JournalArticle</b:SourceType>
    <b:Guid>{0CFA16B1-D344-6643-B3E7-936CDE26D0DA}</b:Guid>
    <b:Title>Engraved bones from the archaic hominin site of Lingjing, Henan Province</b:Title>
    <b:JournalName>Antiquity</b:JournalName>
    <b:Year>2019</b:Year>
    <b:Volume>93</b:Volume>
    <b:Issue>370</b:Issue>
    <b:Pages>886-900</b:Pages>
    <b:Author>
      <b:Author>
        <b:NameList>
          <b:Person>
            <b:Last>Li</b:Last>
            <b:First>Z</b:First>
          </b:Person>
          <b:Person>
            <b:Last>Doyon</b:Last>
            <b:First>L</b:First>
          </b:Person>
          <b:Person>
            <b:Last>Li</b:Last>
            <b:First>H</b:First>
          </b:Person>
          <b:Person>
            <b:Last>Wang</b:Last>
            <b:First>Q</b:First>
          </b:Person>
          <b:Person>
            <b:Last>Zhang</b:Last>
            <b:First>Z</b:First>
          </b:Person>
          <b:Person>
            <b:Last>Zhao</b:Last>
            <b:First>Q</b:First>
          </b:Person>
          <b:Person>
            <b:Last>d'Erroco</b:Last>
            <b:First>F</b:First>
          </b:Person>
        </b:NameList>
      </b:Author>
    </b:Author>
    <b:Comments>doi:10.15184/aqy.2019.81</b:Comments>
    <b:RefOrder>231</b:RefOrder>
  </b:Source>
  <b:Source>
    <b:Tag>Jam05</b:Tag>
    <b:SourceType>JournalArticle</b:SourceType>
    <b:Guid>{4D0AE91C-2410-6441-A130-8FE68F8F7D78}</b:Guid>
    <b:Title>Modern human origins and the evolution of behaviour in the later Pleistocene record of South Asia</b:Title>
    <b:JournalName>Current Anthropology</b:JournalName>
    <b:Year>2005</b:Year>
    <b:Volume>46</b:Volume>
    <b:Pages>S3-S27</b:Pages>
    <b:Author>
      <b:Author>
        <b:NameList>
          <b:Person>
            <b:Last>James</b:Last>
            <b:First>H</b:First>
          </b:Person>
          <b:Person>
            <b:Last>Petraglia</b:Last>
            <b:First>M</b:First>
          </b:Person>
        </b:NameList>
      </b:Author>
    </b:Author>
    <b:RefOrder>232</b:RefOrder>
  </b:Source>
  <b:Source>
    <b:Tag>Pet07</b:Tag>
    <b:SourceType>JournalArticle</b:SourceType>
    <b:Guid>{A83FDC97-67FF-6845-ADE1-7ED786960BA0}</b:Guid>
    <b:Title>Middle Palaeolithic Assemblages from the Indian subcontinent before and after the Toba super-eruption</b:Title>
    <b:JournalName>Science</b:JournalName>
    <b:Year>2007</b:Year>
    <b:Volume>317</b:Volume>
    <b:Pages>114-116</b:Pages>
    <b:Author>
      <b:Author>
        <b:NameList>
          <b:Person>
            <b:Last>Petraglia</b:Last>
            <b:First>M</b:First>
          </b:Person>
          <b:Person>
            <b:Last>Korisettar</b:Last>
            <b:First>R</b:First>
          </b:Person>
          <b:Person>
            <b:Last>Boivin</b:Last>
            <b:First>N</b:First>
          </b:Person>
          <b:Person>
            <b:Last>Clarkson</b:Last>
            <b:First>C</b:First>
          </b:Person>
          <b:Person>
            <b:Last>Ditchfield</b:Last>
            <b:First>P</b:First>
          </b:Person>
          <b:Person>
            <b:Last>Jones</b:Last>
            <b:First>S</b:First>
          </b:Person>
          <b:Person>
            <b:Last>Koshy</b:Last>
            <b:First>J</b:First>
          </b:Person>
          <b:Person>
            <b:Last>Lahr</b:Last>
            <b:Middle>M</b:Middle>
            <b:First>M</b:First>
          </b:Person>
          <b:Person>
            <b:Last>Oppenheimer</b:Last>
            <b:First>C</b:First>
          </b:Person>
          <b:Person>
            <b:Last>Pyle</b:Last>
            <b:First>D</b:First>
          </b:Person>
          <b:Person>
            <b:Last>Roberts</b:Last>
            <b:First>R</b:First>
          </b:Person>
          <b:Person>
            <b:Last>Schwenninger</b:Last>
            <b:First>J-L</b:First>
          </b:Person>
          <b:Person>
            <b:Last>Arnold</b:Last>
            <b:First>L</b:First>
          </b:Person>
          <b:Person>
            <b:Last>White</b:Last>
            <b:First>K</b:First>
          </b:Person>
        </b:NameList>
      </b:Author>
    </b:Author>
    <b:RefOrder>233</b:RefOrder>
  </b:Source>
  <b:Source>
    <b:Tag>Pad76</b:Tag>
    <b:SourceType>JournalArticle</b:SourceType>
    <b:Guid>{8EB50FD0-EC96-0B49-8772-A998A5344C8C}</b:Guid>
    <b:Title>Excavation of an Acheulian Site at Hungsi, South India</b:Title>
    <b:JournalName>Current Anthropology</b:JournalName>
    <b:Year>1976</b:Year>
    <b:Volume>17</b:Volume>
    <b:Issue>4</b:Issue>
    <b:Pages>https://doi-org.ezp.lib.cam.ac.uk/10.1086/201822</b:Pages>
    <b:Author>
      <b:Author>
        <b:NameList>
          <b:Person>
            <b:Last>Paddayya</b:Last>
            <b:First>K</b:First>
          </b:Person>
        </b:NameList>
      </b:Author>
    </b:Author>
    <b:RefOrder>234</b:RefOrder>
  </b:Source>
  <b:Source>
    <b:Tag>Lee02</b:Tag>
    <b:SourceType>JournalArticle</b:SourceType>
    <b:Guid>{E691EB52-05C5-2247-9B75-8938F13D1271}</b:Guid>
    <b:Title>Social Intergration of Religion and Ritual in Prehistoric China</b:Title>
    <b:JournalName>Antiquity</b:JournalName>
    <b:Year>2002</b:Year>
    <b:Volume>76</b:Volume>
    <b:Issue>293</b:Issue>
    <b:Pages>715-723</b:Pages>
    <b:Author>
      <b:Author>
        <b:NameList>
          <b:Person>
            <b:Last>Lee</b:Last>
            <b:First>Y</b:First>
          </b:Person>
          <b:Person>
            <b:Last>Zhu</b:Last>
            <b:First>N</b:First>
          </b:Person>
        </b:NameList>
      </b:Author>
    </b:Author>
    <b:Comments>doi:10.1017/S0003598X0009116X</b:Comments>
    <b:RefOrder>235</b:RefOrder>
  </b:Source>
  <b:Source>
    <b:Tag>Tai02</b:Tag>
    <b:SourceType>BookSection</b:SourceType>
    <b:Guid>{C3EBE252-0D30-4641-8880-12DAAF544CCF}</b:Guid>
    <b:Title>The Composition, function, and significance of the mineral paints from the Kurgan Burials of the South Urals and North Kazakhstan</b:Title>
    <b:Year>2002</b:Year>
    <b:BookTitle>Colouring the Past: The Significance of Colour in Archaeological Research</b:BookTitle>
    <b:City>Oxford</b:City>
    <b:Publisher>Berg Publishers</b:Publisher>
    <b:Author>
      <b:Author>
        <b:NameList>
          <b:Person>
            <b:Last>Tairov</b:Last>
            <b:First>A</b:First>
          </b:Person>
          <b:Person>
            <b:Last>Bushmakin</b:Last>
            <b:First>A</b:First>
            <b:Middle>F</b:Middle>
          </b:Person>
        </b:NameList>
      </b:Author>
      <b:Editor>
        <b:NameList>
          <b:Person>
            <b:Last>Jones</b:Last>
            <b:First>A</b:First>
          </b:Person>
          <b:Person>
            <b:Last>MacGregor</b:Last>
            <b:First>G</b:First>
          </b:Person>
        </b:NameList>
      </b:Editor>
    </b:Author>
    <b:RefOrder>236</b:RefOrder>
  </b:Source>
  <b:Source>
    <b:Tag>deL69</b:Tag>
    <b:SourceType>Misc</b:SourceType>
    <b:Guid>{7D0CA2E7-D075-6C4B-8328-C73349B0576E}</b:Guid>
    <b:Title>Le Paléolithique inférieur et moyen du Midi méditer­ ranéen dans son cadre géologique. Tome I. Ligurie-Provence</b:Title>
    <b:City>Paris</b:City>
    <b:Publisher>CNRS</b:Publisher>
    <b:Year>1969</b:Year>
    <b:JournalName>Gallia Préhistoire</b:JournalName>
    <b:Issue>supp.5</b:Issue>
    <b:Author>
      <b:Author>
        <b:NameList>
          <b:Person>
            <b:Last>de Lumley-Woodyear</b:Last>
            <b:First>H</b:First>
          </b:Person>
        </b:NameList>
      </b:Author>
    </b:Author>
    <b:RefOrder>237</b:RefOrder>
  </b:Source>
  <b:Source>
    <b:Tag>deL86</b:Tag>
    <b:SourceType>Book</b:SourceType>
    <b:Guid>{705C0467-E111-7345-87F4-DAD33D35F237}</b:Guid>
    <b:Title>Terra Amata, Nice, Alpes-Maritimes, France, vol. 1. Cadre géographique-Historique-Contexte géologique-Stratigraphie-Sédimentologie-Datation</b:Title>
    <b:Year>1986</b:Year>
    <b:City>Paris</b:City>
    <b:Publisher>CNRS</b:Publisher>
    <b:Author>
      <b:Author>
        <b:NameList>
          <b:Person>
            <b:Last>de Lumley</b:Last>
            <b:First>H</b:First>
          </b:Person>
        </b:NameList>
      </b:Author>
    </b:Author>
    <b:RefOrder>238</b:RefOrder>
  </b:Source>
  <b:Source>
    <b:Tag>deL16</b:Tag>
    <b:SourceType>BookSection</b:SourceType>
    <b:Guid>{CA38D76D-4749-8349-BFEC-756A5D816188}</b:Guid>
    <b:Title>Les crayons d’ocre du site acheuléen de Terra Amata.</b:Title>
    <b:City>Paris</b:City>
    <b:Publisher>CNRS 536</b:Publisher>
    <b:Year>2016</b:Year>
    <b:BookTitle>Terra Amata: Nice, Alpes-Maritimes, France, vol. 5. Com­ portement et mode de vie des chasseurs acheuleens de Terra Amata</b:BookTitle>
    <b:Author>
      <b:Author>
        <b:NameList>
          <b:Person>
            <b:Last>de Lumley</b:Last>
            <b:First>H</b:First>
          </b:Person>
          <b:Person>
            <b:Last>Auubert</b:Last>
            <b:First>F</b:First>
          </b:Person>
          <b:Person>
            <b:Last>Khatib</b:Last>
            <b:First>S</b:First>
          </b:Person>
          <b:Person>
            <b:Last>Perrenoud</b:Last>
            <b:First>C</b:First>
          </b:Person>
          <b:Person>
            <b:Last>Roussel</b:Last>
            <b:First>B</b:First>
          </b:Person>
          <b:Person>
            <b:Last>Saos</b:Last>
            <b:First>T</b:First>
          </b:Person>
          <b:Person>
            <b:Last>Szelewa</b:Last>
            <b:First>A</b:First>
          </b:Person>
        </b:NameList>
      </b:Author>
      <b:Editor>
        <b:NameList>
          <b:Person>
            <b:Last>de Lumley</b:Last>
            <b:Middle>F</b:Middle>
            <b:First>H</b:First>
          </b:Person>
        </b:NameList>
      </b:Editor>
    </b:Author>
    <b:RefOrder>239</b:RefOrder>
  </b:Source>
  <b:Source>
    <b:Tag>dEr03</b:Tag>
    <b:SourceType>JournalArticle</b:SourceType>
    <b:Guid>{981DB413-7BB1-3243-A188-5A21A63F1A1A}</b:Guid>
    <b:Title>Archaeological Evidence for the Emergence of Language, Symbolism, and Music: An alternative multidisciplinary perspective</b:Title>
    <b:Year>2003</b:Year>
    <b:Pages>1-70</b:Pages>
    <b:JournalName>Journal of World Prehistory</b:JournalName>
    <b:Volume>17</b:Volume>
    <b:Issue>1</b:Issue>
    <b:Author>
      <b:Author>
        <b:NameList>
          <b:Person>
            <b:Last>d'Errico</b:Last>
            <b:First>F</b:First>
          </b:Person>
          <b:Person>
            <b:Last>Henshilwood</b:Last>
            <b:First>C</b:First>
          </b:Person>
          <b:Person>
            <b:Last>Lawson</b:Last>
            <b:First>G</b:First>
          </b:Person>
          <b:Person>
            <b:Last>Vanhaeren</b:Last>
            <b:First>M</b:First>
          </b:Person>
          <b:Person>
            <b:Last>Tillier</b:Last>
            <b:First>A-M</b:First>
          </b:Person>
          <b:Person>
            <b:Last>Soressi</b:Last>
            <b:First>M</b:First>
          </b:Person>
          <b:Person>
            <b:Last>Bresson</b:Last>
            <b:First>F</b:First>
          </b:Person>
          <b:Person>
            <b:Last>Maureille</b:Last>
            <b:First>B</b:First>
          </b:Person>
          <b:Person>
            <b:Last>Nowell</b:Last>
            <b:First>A</b:First>
          </b:Person>
          <b:Person>
            <b:Last>Lakarra</b:Last>
            <b:First>J</b:First>
          </b:Person>
        </b:NameList>
      </b:Author>
    </b:Author>
    <b:RefOrder>240</b:RefOrder>
  </b:Source>
  <b:Source>
    <b:Tag>Bou07</b:Tag>
    <b:SourceType>JournalArticle</b:SourceType>
    <b:Guid>{389A2A3C-A20F-7D46-926B-7CAF1CA78825}</b:Guid>
    <b:Title>82,000-year- old shell beads from North Africa and implications for the origins of modern human behavior</b:Title>
    <b:JournalName>Proceedings of the National Academy of Sciences</b:JournalName>
    <b:Year>2007</b:Year>
    <b:Volume>104</b:Volume>
    <b:Issue>2</b:Issue>
    <b:Pages>9964-9969</b:Pages>
    <b:Author>
      <b:Author>
        <b:NameList>
          <b:Person>
            <b:Last>Bouzouggar</b:Last>
            <b:First>A</b:First>
          </b:Person>
          <b:Person>
            <b:Last>Barton</b:Last>
            <b:First>N</b:First>
          </b:Person>
          <b:Person>
            <b:Last>Vanhaeren</b:Last>
            <b:First>M</b:First>
          </b:Person>
          <b:Person>
            <b:Last>d'Errico</b:Last>
            <b:First>F</b:First>
          </b:Person>
          <b:Person>
            <b:Last>Collcutt</b:Last>
            <b:First>S</b:First>
          </b:Person>
          <b:Person>
            <b:Last>Higham</b:Last>
            <b:First>T</b:First>
          </b:Person>
          <b:Person>
            <b:Last>et al.,</b:Last>
          </b:Person>
        </b:NameList>
      </b:Author>
    </b:Author>
    <b:RefOrder>241</b:RefOrder>
  </b:Source>
  <b:Source>
    <b:Tag>dEr08</b:Tag>
    <b:SourceType>JournalArticle</b:SourceType>
    <b:Guid>{012C123A-4A31-AE4A-8EED-00EF467F1557}</b:Guid>
    <b:Title>Possible shell beads from the Middle Stone Age layers of Sibudu Cave, South Africa</b:Title>
    <b:JournalName>Journal of Archaeological Science</b:JournalName>
    <b:Year>2008</b:Year>
    <b:Volume>35</b:Volume>
    <b:Issue>10</b:Issue>
    <b:Pages>2675-2685</b:Pages>
    <b:Author>
      <b:Author>
        <b:NameList>
          <b:Person>
            <b:Last>d'Errico</b:Last>
            <b:First>F</b:First>
          </b:Person>
          <b:Person>
            <b:Last>Vanhaeren</b:Last>
            <b:First>M</b:First>
          </b:Person>
          <b:Person>
            <b:Last>Wadley</b:Last>
            <b:First>L</b:First>
          </b:Person>
        </b:NameList>
      </b:Author>
    </b:Author>
    <b:Comments>DOI: 10.1016/j.jas.2008.04.023</b:Comments>
    <b:RefOrder>242</b:RefOrder>
  </b:Source>
  <b:Source>
    <b:Tag>dEr05</b:Tag>
    <b:SourceType>JournalArticle</b:SourceType>
    <b:Guid>{1195DFB8-95B4-7642-B820-62A69D8CC031}</b:Guid>
    <b:Title>Nassarius kraussianus shell beads from Blombos Cave: evidence for symbolic behaviour in the Middle Stone Age</b:Title>
    <b:JournalName>Journal of Human Evolution</b:JournalName>
    <b:Year>2005</b:Year>
    <b:Volume>48</b:Volume>
    <b:Issue>1</b:Issue>
    <b:Pages>3-24</b:Pages>
    <b:Author>
      <b:Author>
        <b:NameList>
          <b:Person>
            <b:Last>d'Errico</b:Last>
            <b:First>F</b:First>
          </b:Person>
          <b:Person>
            <b:Last>Henshilwood</b:Last>
            <b:First>C</b:First>
          </b:Person>
          <b:Person>
            <b:Last>Vanhaeren</b:Last>
            <b:First>M</b:First>
          </b:Person>
          <b:Person>
            <b:Last>van Niekerk</b:Last>
            <b:First>K</b:First>
          </b:Person>
        </b:NameList>
      </b:Author>
    </b:Author>
    <b:Comments>https://doi.org/10.1016/j.jhevol.2004.09.002</b:Comments>
    <b:RefOrder>243</b:RefOrder>
  </b:Source>
  <b:Source>
    <b:Tag>Cla17</b:Tag>
    <b:SourceType>JournalArticle</b:SourceType>
    <b:Guid>{BC60ADAC-F902-4248-BBA2-DD0C87DA6842}</b:Guid>
    <b:Title>The archaeology, chronology and stratigraphy of Madjedbebe (Malakunanja II): A site in northern Australia with early occupation</b:Title>
    <b:JournalName>Journal of Human Evolution</b:JournalName>
    <b:Year>2017</b:Year>
    <b:Volume>83</b:Volume>
    <b:Pages>46-64</b:Pages>
    <b:Author>
      <b:Author>
        <b:NameList>
          <b:Person>
            <b:Last>Clarkson</b:Last>
            <b:First>C</b:First>
          </b:Person>
          <b:Person>
            <b:Last>Smith</b:Last>
            <b:First>M</b:First>
          </b:Person>
          <b:Person>
            <b:Last>Marwick</b:Last>
            <b:First>B</b:First>
          </b:Person>
          <b:Person>
            <b:Last>Fullagar</b:Last>
            <b:First>R</b:First>
          </b:Person>
          <b:Person>
            <b:Last>Wallis</b:Last>
            <b:Middle>A</b:Middle>
            <b:First>L</b:First>
          </b:Person>
          <b:Person>
            <b:Last>Faulkner</b:Last>
            <b:First>P</b:First>
          </b:Person>
          <b:Person>
            <b:Last>Manne</b:Last>
            <b:First>T</b:First>
          </b:Person>
          <b:Person>
            <b:Last>Hayes</b:Last>
            <b:First>E</b:First>
          </b:Person>
          <b:Person>
            <b:Last>Roberts</b:Last>
            <b:Middle>G</b:Middle>
            <b:First>R</b:First>
          </b:Person>
          <b:Person>
            <b:Last>Jacobs</b:Last>
            <b:First>Z</b:First>
          </b:Person>
          <b:Person>
            <b:Last>Carah</b:Last>
            <b:First>X</b:First>
          </b:Person>
          <b:Person>
            <b:Last>Lowe</b:Last>
            <b:Middle>M</b:Middle>
            <b:First>K</b:First>
          </b:Person>
          <b:Person>
            <b:Last>Matthews</b:Last>
            <b:First>J</b:First>
          </b:Person>
          <b:Person>
            <b:Last>Florin</b:Last>
            <b:First>A</b:First>
          </b:Person>
        </b:NameList>
      </b:Author>
    </b:Author>
    <b:Comments>https://doi.org/10.1016/j.jhevol.2015.03.014</b:Comments>
    <b:RefOrder>244</b:RefOrder>
  </b:Source>
  <b:Source>
    <b:Tag>Hey16</b:Tag>
    <b:SourceType>JournalArticle</b:SourceType>
    <b:Guid>{407222FC-4D2C-264D-95B0-79734106BEB4}</b:Guid>
    <b:Title>Selection and Use of Manganese Dioxide by Neanderthals</b:Title>
    <b:JournalName>Sci Rep</b:JournalName>
    <b:Year>2016</b:Year>
    <b:Volume>6</b:Volume>
    <b:Issue>22159</b:Issue>
    <b:Pages> https://doi.org/10.1038/srep22159</b:Pages>
    <b:Author>
      <b:Author>
        <b:NameList>
          <b:Person>
            <b:Last>Heyes</b:Last>
            <b:Middle>J</b:Middle>
            <b:First>P</b:First>
          </b:Person>
          <b:Person>
            <b:Last>Anastasakis</b:Last>
            <b:First>K</b:First>
          </b:Person>
          <b:Person>
            <b:Last>de Jong</b:Last>
            <b:First>W</b:First>
          </b:Person>
          <b:Person>
            <b:Last>van Hoesel</b:Last>
            <b:First>A</b:First>
          </b:Person>
          <b:Person>
            <b:Last>Roebroeks</b:Last>
            <b:First>W</b:First>
          </b:Person>
          <b:Person>
            <b:Last>Soressi</b:Last>
            <b:First>M</b:First>
          </b:Person>
        </b:NameList>
      </b:Author>
    </b:Author>
    <b:RefOrder>245</b:RefOrder>
  </b:Source>
  <b:Source>
    <b:Tag>Fol03</b:Tag>
    <b:SourceType>JournalArticle</b:SourceType>
    <b:Guid>{FC52D78A-BD0F-F243-92BB-BB99A3F242AF}</b:Guid>
    <b:Title>On Stony Ground: Lithic Technology, Human Evolution and the Emergence of Culture</b:Title>
    <b:JournalName>Evolutionary Anthropology</b:JournalName>
    <b:Year>2003</b:Year>
    <b:Volume>12</b:Volume>
    <b:Pages>109-122</b:Pages>
    <b:Author>
      <b:Author>
        <b:NameList>
          <b:Person>
            <b:Last>Foley </b:Last>
            <b:First>R</b:First>
          </b:Person>
          <b:Person>
            <b:Last>Lahr</b:Last>
            <b:Middle>M</b:Middle>
            <b:First>M</b:First>
          </b:Person>
        </b:NameList>
      </b:Author>
    </b:Author>
    <b:Comments>DOI 10.1002/evan.10108</b:Comments>
    <b:RefOrder>246</b:RefOrder>
  </b:Source>
  <b:Source>
    <b:Tag>Riv17</b:Tag>
    <b:SourceType>JournalArticle</b:SourceType>
    <b:Guid>{21844D35-8B81-7E45-84D0-85AB8A593FEB}</b:Guid>
    <b:Title>New evidence suggesting a dissociated etiology for cribra orbitalia and porotic hyperostosis</b:Title>
    <b:JournalName>American Journal of Physical Anthropology</b:JournalName>
    <b:Year>2017</b:Year>
    <b:Volume>164</b:Volume>
    <b:Issue>1</b:Issue>
    <b:Pages>76-96</b:Pages>
    <b:Author>
      <b:Author>
        <b:NameList>
          <b:Person>
            <b:Last>Rivera</b:Last>
            <b:First>F</b:First>
          </b:Person>
          <b:Person>
            <b:Last>Lahr</b:Last>
            <b:Middle>M</b:Middle>
            <b:First>M</b:First>
          </b:Person>
        </b:NameList>
      </b:Author>
    </b:Author>
    <b:RefOrder>247</b:RefOrder>
  </b:Source>
  <b:Source>
    <b:Tag>Lah94</b:Tag>
    <b:SourceType>JournalArticle</b:SourceType>
    <b:Guid>{348FE87D-672D-904E-A51B-DA8F82B30226}</b:Guid>
    <b:Title>Multiple Dispersals and Modern Human Origins</b:Title>
    <b:JournalName>Evolutionary Anthropology</b:JournalName>
    <b:Year>1994</b:Year>
    <b:Volume>3</b:Volume>
    <b:Issue>2</b:Issue>
    <b:Pages>48-60</b:Pages>
    <b:Author>
      <b:Author>
        <b:NameList>
          <b:Person>
            <b:Last>Lahr</b:Last>
            <b:Middle>M</b:Middle>
            <b:First>M</b:First>
          </b:Person>
          <b:Person>
            <b:Last>Foley</b:Last>
            <b:First>R</b:First>
          </b:Person>
        </b:NameList>
      </b:Author>
    </b:Author>
    <b:RefOrder>248</b:RefOrder>
  </b:Source>
  <b:Source>
    <b:Tag>Str88</b:Tag>
    <b:SourceType>JournalArticle</b:SourceType>
    <b:Guid>{A487A9B1-B1EE-9246-B75E-3F80869D433A}</b:Guid>
    <b:Title>Genetic and Fossil Evidence for the Origin of Modern Humans</b:Title>
    <b:JournalName>Science</b:JournalName>
    <b:Year>1988</b:Year>
    <b:Volume>239</b:Volume>
    <b:Issue>4845</b:Issue>
    <b:Pages>1263-1268</b:Pages>
    <b:Author>
      <b:Author>
        <b:NameList>
          <b:Person>
            <b:Last>Stringer</b:Last>
            <b:First>C</b:First>
          </b:Person>
          <b:Person>
            <b:Last>Andrews</b:Last>
            <b:First>P</b:First>
          </b:Person>
        </b:NameList>
      </b:Author>
    </b:Author>
    <b:RefOrder>249</b:RefOrder>
  </b:Source>
  <b:Source>
    <b:Tag>How76</b:Tag>
    <b:SourceType>JournalArticle</b:SourceType>
    <b:Guid>{51990E30-193D-A34F-B005-CCC5225C5887}</b:Guid>
    <b:Title>Explaining modern man: evolutionists versus migrationists</b:Title>
    <b:JournalName>Journal of Human Evolution</b:JournalName>
    <b:Year>1976</b:Year>
    <b:Volume>5</b:Volume>
    <b:Pages>477-495</b:Pages>
    <b:Author>
      <b:Author>
        <b:NameList>
          <b:Person>
            <b:Last>Howells</b:Last>
            <b:Middle>W</b:Middle>
            <b:First>W</b:First>
          </b:Person>
        </b:NameList>
      </b:Author>
    </b:Author>
    <b:RefOrder>250</b:RefOrder>
  </b:Source>
  <b:Source>
    <b:Tag>Can87</b:Tag>
    <b:SourceType>JournalArticle</b:SourceType>
    <b:Guid>{B0184C4C-4E18-9A4C-849C-90F4BED6748A}</b:Guid>
    <b:Title>Mitrochondrial DNA and human evolution</b:Title>
    <b:JournalName>Nature</b:JournalName>
    <b:Year>1987</b:Year>
    <b:Volume>325</b:Volume>
    <b:Pages>31-35</b:Pages>
    <b:Author>
      <b:Author>
        <b:NameList>
          <b:Person>
            <b:Last>Cann</b:Last>
            <b:Middle>L</b:Middle>
            <b:First>R</b:First>
          </b:Person>
          <b:Person>
            <b:Last>Stoneking</b:Last>
            <b:First>M</b:First>
          </b:Person>
          <b:Person>
            <b:Last>Wilson</b:Last>
            <b:Middle>C</b:Middle>
            <b:First>A</b:First>
          </b:Person>
        </b:NameList>
      </b:Author>
    </b:Author>
    <b:RefOrder>251</b:RefOrder>
  </b:Source>
  <b:Source>
    <b:Tag>Kea16</b:Tag>
    <b:SourceType>JournalArticle</b:SourceType>
    <b:Guid>{3FC3E722-EAC2-A445-8891-C05EDDE44F5D}</b:Guid>
    <b:Title>Islands Under the Sea: A Review of Early Modern Human Dispersal Routes and Migration Hypotheses Through Wallacea</b:Title>
    <b:JournalName>The Journal of Island and Coastal Archaeology</b:JournalName>
    <b:Year>2016</b:Year>
    <b:Volume>11</b:Volume>
    <b:Issue>3</b:Issue>
    <b:Pages>364-384</b:Pages>
    <b:Author>
      <b:Author>
        <b:NameList>
          <b:Person>
            <b:Last>Kealy</b:Last>
            <b:First>S</b:First>
          </b:Person>
          <b:Person>
            <b:Last>Louys</b:Last>
            <b:First>J</b:First>
          </b:Person>
          <b:Person>
            <b:Last>O'Connor</b:Last>
            <b:First>S</b:First>
          </b:Person>
        </b:NameList>
      </b:Author>
    </b:Author>
    <b:Comments>DOI: 10.1080/15564894.2015.1119218</b:Comments>
    <b:RefOrder>252</b:RefOrder>
  </b:Source>
  <b:Source>
    <b:Tag>Mel06</b:Tag>
    <b:SourceType>JournalArticle</b:SourceType>
    <b:Guid>{30E33896-EF88-B244-A220-F6F9F3794336}</b:Guid>
    <b:Title>Going East: New Genetic and Archaeological Perspectives on the Modern Human Colonization of Eurasia</b:Title>
    <b:JournalName>Science</b:JournalName>
    <b:Year>2006</b:Year>
    <b:Volume>313</b:Volume>
    <b:Issue>5788</b:Issue>
    <b:Pages>796-800</b:Pages>
    <b:Author>
      <b:Author>
        <b:NameList>
          <b:Person>
            <b:Last>Mellars</b:Last>
            <b:First>P</b:First>
          </b:Person>
        </b:NameList>
      </b:Author>
    </b:Author>
    <b:Comments>DOI: 10.1126/science.1128402</b:Comments>
    <b:RefOrder>253</b:RefOrder>
  </b:Source>
  <b:Source>
    <b:Tag>Clo98</b:Tag>
    <b:SourceType>Book</b:SourceType>
    <b:Guid>{FAC5CAB5-214E-254D-9B4D-B141DCCCB9C9}</b:Guid>
    <b:Title>The Shamans of Prehistory: Trance and Magic in the Painted Caves</b:Title>
    <b:Year>1998</b:Year>
    <b:Author>
      <b:Author>
        <b:NameList>
          <b:Person>
            <b:Last>Clottes</b:Last>
            <b:First>J</b:First>
          </b:Person>
          <b:Person>
            <b:Last>Lewis-Williams</b:Last>
            <b:First>D</b:First>
          </b:Person>
        </b:NameList>
      </b:Author>
      <b:Translator>
        <b:NameList>
          <b:Person>
            <b:Last>Hawkes</b:Last>
            <b:First>S</b:First>
          </b:Person>
        </b:NameList>
      </b:Translator>
    </b:Author>
    <b:City>New York</b:City>
    <b:Publisher>Harry N Abrams, Inc</b:Publisher>
    <b:RefOrder>254</b:RefOrder>
  </b:Source>
  <b:Source>
    <b:Tag>Joc83</b:Tag>
    <b:SourceType>BookSection</b:SourceType>
    <b:Guid>{ED8CCAA3-D234-DA48-AB86-273132550408}</b:Guid>
    <b:Title>Palaeolithic Cave Art in Ecological Perspective</b:Title>
    <b:City>Cambridge</b:City>
    <b:Publisher>Cambridge University Press</b:Publisher>
    <b:Year>1983</b:Year>
    <b:Pages>212-219</b:Pages>
    <b:Author>
      <b:Author>
        <b:NameList>
          <b:Person>
            <b:Last>Jochim</b:Last>
            <b:Middle>A</b:Middle>
            <b:First>M</b:First>
          </b:Person>
        </b:NameList>
      </b:Author>
      <b:Editor>
        <b:NameList>
          <b:Person>
            <b:Last>Bailey</b:Last>
            <b:Middle>N</b:Middle>
            <b:First>G</b:First>
          </b:Person>
        </b:NameList>
      </b:Editor>
    </b:Author>
    <b:BookTitle>Hunter-Gatherer Economy in Prehistory: A European Perspective</b:BookTitle>
    <b:RefOrder>255</b:RefOrder>
  </b:Source>
  <b:Source>
    <b:Tag>Lar64</b:Tag>
    <b:SourceType>JournalArticle</b:SourceType>
    <b:Guid>{74AB78B6-CC2D-0540-8002-096FBE390A30}</b:Guid>
    <b:Title>Sur des figures d'animaux gravées ou sculptees et autres produits d'art et d'industrie rapportables aux temps primordiaux de la periode humaine.</b:Title>
    <b:JournalName>Revue archéologique</b:JournalName>
    <b:Year>1864</b:Year>
    <b:Volume>IX</b:Volume>
    <b:Pages>233-267</b:Pages>
    <b:Author>
      <b:Author>
        <b:NameList>
          <b:Person>
            <b:Last>Lartet</b:Last>
            <b:First>E</b:First>
          </b:Person>
          <b:Person>
            <b:Last>Christy</b:Last>
            <b:First>H</b:First>
          </b:Person>
        </b:NameList>
      </b:Author>
    </b:Author>
    <b:RefOrder>256</b:RefOrder>
  </b:Source>
  <b:Source>
    <b:Tag>Ler68</b:Tag>
    <b:SourceType>Book</b:SourceType>
    <b:Guid>{1A021540-3C29-2744-B4C9-83E7AA592228}</b:Guid>
    <b:Title>The Art of Prehistoric Man in Western Europe</b:Title>
    <b:Year>1968</b:Year>
    <b:Author>
      <b:Author>
        <b:NameList>
          <b:Person>
            <b:Last>Leroi-Gourhan</b:Last>
            <b:First>A</b:First>
          </b:Person>
        </b:NameList>
      </b:Author>
    </b:Author>
    <b:City>London</b:City>
    <b:Publisher>Themes and Hudson</b:Publisher>
    <b:RefOrder>257</b:RefOrder>
  </b:Source>
  <b:Source>
    <b:Tag>Lew01</b:Tag>
    <b:SourceType>BookSection</b:SourceType>
    <b:Guid>{399DF088-3179-7444-91F6-990518E20487}</b:Guid>
    <b:Title>Brainstorming Images: Neuropsychology and Rock Art Research</b:Title>
    <b:City>Oxford</b:City>
    <b:Publisher>AltaMira Press</b:Publisher>
    <b:Year>2001</b:Year>
    <b:BookTitle>Handbook of Rock Art Research</b:BookTitle>
    <b:Author>
      <b:Author>
        <b:NameList>
          <b:Person>
            <b:Last>Lewis-Williams</b:Last>
            <b:First>D</b:First>
          </b:Person>
        </b:NameList>
      </b:Author>
      <b:Editor>
        <b:NameList>
          <b:Person>
            <b:Last>Whitley</b:Last>
            <b:Middle>S</b:Middle>
            <b:First>D</b:First>
          </b:Person>
        </b:NameList>
      </b:Editor>
    </b:Author>
    <b:RefOrder>258</b:RefOrder>
  </b:Source>
  <b:Source>
    <b:Tag>Lew02</b:Tag>
    <b:SourceType>Book</b:SourceType>
    <b:Guid>{F4BACAFD-44A3-E54C-B9A4-1885B38E54DE}</b:Guid>
    <b:Title>The Mind in the Cave</b:Title>
    <b:City>London</b:City>
    <b:Publisher>Thames and Hudson</b:Publisher>
    <b:Year>2002</b:Year>
    <b:Author>
      <b:Author>
        <b:NameList>
          <b:Person>
            <b:Last>Lewis-Williams</b:Last>
            <b:First>D</b:First>
          </b:Person>
        </b:NameList>
      </b:Author>
    </b:Author>
    <b:RefOrder>259</b:RefOrder>
  </b:Source>
  <b:Source>
    <b:Tag>Mit88</b:Tag>
    <b:SourceType>JournalArticle</b:SourceType>
    <b:Guid>{8B9318EE-31F7-BA4C-9FAE-CC87A75DD747}</b:Guid>
    <b:Title>Looking and Learning: Upper Palaeolithic Art and Information Gathering</b:Title>
    <b:Year>1988</b:Year>
    <b:JournalName>World Archaeology</b:JournalName>
    <b:Volume>19</b:Volume>
    <b:Issue>3</b:Issue>
    <b:Pages>297-327</b:Pages>
    <b:Author>
      <b:Author>
        <b:NameList>
          <b:Person>
            <b:Last>Mithen</b:Last>
            <b:First>S</b:First>
          </b:Person>
        </b:NameList>
      </b:Author>
    </b:Author>
    <b:RefOrder>260</b:RefOrder>
  </b:Source>
  <b:Source>
    <b:Tag>Mit98</b:Tag>
    <b:SourceType>Book</b:SourceType>
    <b:Guid>{BBDC2F2A-AD08-D945-A7CD-54536AB8A18B}</b:Guid>
    <b:Title>The Prehistory of the Mind: A search for the origins of art, religion and science</b:Title>
    <b:Year>1998</b:Year>
    <b:City>London</b:City>
    <b:Publisher>Phoenix</b:Publisher>
    <b:Author>
      <b:Author>
        <b:NameList>
          <b:Person>
            <b:Last>Mithen</b:Last>
            <b:First>S</b:First>
          </b:Person>
        </b:NameList>
      </b:Author>
    </b:Author>
    <b:RefOrder>261</b:RefOrder>
  </b:Source>
  <b:Source>
    <b:Tag>Ren82</b:Tag>
    <b:SourceType>Book</b:SourceType>
    <b:Guid>{E09C010B-AD6C-2244-8162-74A61F93B3FF}</b:Guid>
    <b:Title>Towards an Archaeology of Mind</b:Title>
    <b:City>Cambridge</b:City>
    <b:Publisher>Cambridge University Press</b:Publisher>
    <b:Year>1982</b:Year>
    <b:Author>
      <b:Author>
        <b:NameList>
          <b:Person>
            <b:Last>Renfrew</b:Last>
            <b:First>C</b:First>
          </b:Person>
        </b:NameList>
      </b:Author>
    </b:Author>
    <b:RefOrder>262</b:RefOrder>
  </b:Source>
  <b:Source>
    <b:Tag>Ren93</b:Tag>
    <b:SourceType>JournalArticle</b:SourceType>
    <b:Guid>{74601060-A86D-254A-8FEF-EB6CF5A66289}</b:Guid>
    <b:Title>What is cognitive archaeology?</b:Title>
    <b:Year>1993</b:Year>
    <b:JournalName>Cambridge Archaeological Journal</b:JournalName>
    <b:Volume>3</b:Volume>
    <b:Issue>2</b:Issue>
    <b:Pages>247-270</b:Pages>
    <b:Author>
      <b:Author>
        <b:NameList>
          <b:Person>
            <b:Last>Renfrew</b:Last>
            <b:First>C</b:First>
          </b:Person>
          <b:Person>
            <b:Last>Peebles</b:Last>
            <b:Middle>S</b:Middle>
            <b:First>C</b:First>
          </b:Person>
          <b:Person>
            <b:Last>Hodder</b:Last>
            <b:First>I</b:First>
          </b:Person>
          <b:Person>
            <b:Last>Bender</b:Last>
            <b:First>B</b:First>
          </b:Person>
          <b:Person>
            <b:Last>Flannery</b:Last>
            <b:Middle>V</b:Middle>
            <b:First>K</b:First>
          </b:Person>
          <b:Person>
            <b:Last>Marcus</b:Last>
            <b:First>J</b:First>
          </b:Person>
        </b:NameList>
      </b:Author>
    </b:Author>
    <b:RefOrder>263</b:RefOrder>
  </b:Source>
  <b:Source>
    <b:Tag>Git17</b:Tag>
    <b:SourceType>JournalArticle</b:SourceType>
    <b:Guid>{0B364666-17F9-B740-AF8E-87722F818D12}</b:Guid>
    <b:Title>Is Palaeolithic cave art consistent with costly signalling theory? Lascaux as a test case</b:Title>
    <b:JournalName>World Archaeology</b:JournalName>
    <b:Year>2017</b:Year>
    <b:Volume>49</b:Volume>
    <b:Issue>4</b:Issue>
    <b:Pages>466-490</b:Pages>
    <b:Author>
      <b:Author>
        <b:NameList>
          <b:Person>
            <b:Last>Gittins</b:Last>
            <b:First>R</b:First>
          </b:Person>
          <b:Person>
            <b:Last>Pettitt</b:Last>
            <b:First>P</b:First>
          </b:Person>
        </b:NameList>
      </b:Author>
    </b:Author>
    <b:Comments>DOI: 10.1080/00438243.2017.1386590</b:Comments>
    <b:RefOrder>264</b:RefOrder>
  </b:Source>
  <b:Source>
    <b:Tag>Dar71</b:Tag>
    <b:SourceType>JournalArticle</b:SourceType>
    <b:Guid>{EE6F0227-237F-054A-B31F-B025F8547D00}</b:Guid>
    <b:Title>On a further radiocarbon datea for ancient mining in Southern Africa</b:Title>
    <b:JournalName>South African Journal of Science</b:JournalName>
    <b:Year>1971</b:Year>
    <b:Volume>67</b:Volume>
    <b:Issue>1</b:Issue>
    <b:Pages>10-11</b:Pages>
    <b:Author>
      <b:Author>
        <b:NameList>
          <b:Person>
            <b:Last>Dart</b:Last>
            <b:Middle>B</b:Middle>
            <b:First>P</b:First>
          </b:Person>
          <b:Person>
            <b:Last>Beaumont</b:Last>
            <b:Middle>A</b:Middle>
            <b:First>R</b:First>
          </b:Person>
        </b:NameList>
      </b:Author>
    </b:Author>
    <b:RefOrder>265</b:RefOrder>
  </b:Source>
  <b:Source>
    <b:Tag>GBD17</b:Tag>
    <b:SourceType>InternetSite</b:SourceType>
    <b:Guid>{E14585D9-DF4E-C547-B1C2-DBF63DE828A3}</b:Guid>
    <b:Title>Global Burden of Disease Study 2017, Seattle, United States: Institute for Health Metrics and Evaluation (IHME)</b:Title>
    <b:Year>2018</b:Year>
    <b:Author>
      <b:Author>
        <b:Corporate>GBD</b:Corporate>
      </b:Author>
    </b:Author>
    <b:URL>http://ghdx.healthdata.org/gbd-results-tool</b:URL>
    <b:YearAccessed>2021</b:YearAccessed>
    <b:MonthAccessed>01</b:MonthAccessed>
    <b:DayAccessed>08</b:DayAccessed>
    <b:InternetSiteTitle>Global Burden of Disease Collaborative Network</b:InternetSiteTitle>
    <b:RefOrder>266</b:RefOrder>
  </b:Source>
  <b:Source>
    <b:Tag>Hen03</b:Tag>
    <b:SourceType>JournalArticle</b:SourceType>
    <b:Guid>{70E2669E-E6E3-9143-B358-94D8506BA6DF}</b:Guid>
    <b:Title>The Origins of Modern Human Behaviour: Critique of the Models and their Test Implications</b:Title>
    <b:JournalName>Current Anthropology</b:JournalName>
    <b:Year>2003</b:Year>
    <b:Volume>44</b:Volume>
    <b:Issue>5</b:Issue>
    <b:Pages>https://doi.org/10.1086/377665</b:Pages>
    <b:Author>
      <b:Author>
        <b:NameList>
          <b:Person>
            <b:Last>Henshilwood</b:Last>
            <b:First>C</b:First>
          </b:Person>
          <b:Person>
            <b:Last>Marean</b:Last>
            <b:Middle>W</b:Middle>
            <b:First>C</b:First>
          </b:Person>
        </b:NameList>
      </b:Author>
    </b:Author>
    <b:RefOrder>267</b:RefOrder>
  </b:Source>
  <b:Source>
    <b:Tag>Sal12b</b:Tag>
    <b:SourceType>JournalArticle</b:SourceType>
    <b:Guid>{DCFA3355-6C99-C447-8999-24DA9CCE76EA}</b:Guid>
    <b:Title>Selection and heating of colouring materials in the Mousterian level of Es-Skhul (c. 100,000 years BP, Mount Carmel, Israel)</b:Title>
    <b:JournalName>Archaeometry</b:JournalName>
    <b:Year>2012</b:Year>
    <b:Volume>54</b:Volume>
    <b:Issue>4</b:Issue>
    <b:Pages>698-722</b:Pages>
    <b:Author>
      <b:Author>
        <b:NameList>
          <b:Person>
            <b:Last>Salomon</b:Last>
            <b:First>H</b:First>
          </b:Person>
          <b:Person>
            <b:Last>Vignaud</b:Last>
            <b:First>C</b:First>
          </b:Person>
          <b:Person>
            <b:Last>Coquinot</b:Last>
            <b:First>Y</b:First>
          </b:Person>
          <b:Person>
            <b:Last>Beck</b:Last>
            <b:First>L</b:First>
          </b:Person>
          <b:Person>
            <b:Last>Stringer</b:Last>
            <b:First>C</b:First>
          </b:Person>
          <b:Person>
            <b:Last>Strivay</b:Last>
            <b:First>D</b:First>
          </b:Person>
          <b:Person>
            <b:Last>d'Errico</b:Last>
            <b:First>F</b:First>
          </b:Person>
        </b:NameList>
      </b:Author>
    </b:Author>
    <b:RefOrder>268</b:RefOrder>
  </b:Source>
  <b:Source>
    <b:Tag>Sal11</b:Tag>
    <b:SourceType>JournalArticle</b:SourceType>
    <b:Guid>{B20F6B07-3FE6-9041-829A-C73561B21413}</b:Guid>
    <b:Title>Early Evidence (ca. 12,000 BP) for Iron Oxide Mining on the Pacific Coast of South America.</b:Title>
    <b:JournalName>Current Anthropology</b:JournalName>
    <b:Year>2011</b:Year>
    <b:Volume>52</b:Volume>
    <b:Issue>3</b:Issue>
    <b:Pages>463-475</b:Pages>
    <b:Author>
      <b:Author>
        <b:NameList>
          <b:Person>
            <b:Last>Salazar</b:Last>
            <b:First>D</b:First>
          </b:Person>
          <b:Person>
            <b:Last>Jackson</b:Last>
            <b:First>D</b:First>
          </b:Person>
          <b:Person>
            <b:Last>Guenson</b:Last>
            <b:Middle>L</b:Middle>
            <b:First>J</b:First>
          </b:Person>
          <b:Person>
            <b:Last>Salinas</b:Last>
            <b:First>H</b:First>
          </b:Person>
          <b:Person>
            <b:Last>Morata</b:Last>
            <b:First>D</b:First>
          </b:Person>
          <b:Person>
            <b:Last>Figueroa</b:Last>
            <b:First>V</b:First>
          </b:Person>
          <b:Person>
            <b:Last>Manríquez</b:Last>
            <b:First>G</b:First>
          </b:Person>
          <b:Person>
            <b:Last>Castro</b:Last>
            <b:First>V</b:First>
          </b:Person>
        </b:NameList>
      </b:Author>
    </b:Author>
    <b:RefOrder>269</b:RefOrder>
  </b:Source>
  <b:Source>
    <b:Tag>Bro18</b:Tag>
    <b:SourceType>JournalArticle</b:SourceType>
    <b:Guid>{E1511B05-2893-D140-A956-C74859779C9F}</b:Guid>
    <b:Title>Pigments, binders, and ages of rock art at Viuda Quenzana, Santa Cruz, Patagonia (Argentina).</b:Title>
    <b:JournalName>Journal of Archaeological Science</b:JournalName>
    <b:Year>2018</b:Year>
    <b:Volume>21</b:Volume>
    <b:Pages>47-63</b:Pages>
    <b:Author>
      <b:Author>
        <b:NameList>
          <b:Person>
            <b:Last>Brook</b:Last>
            <b:Middle>A</b:Middle>
            <b:First>G</b:First>
          </b:Person>
          <b:Person>
            <b:Last>Franco</b:Last>
            <b:Middle>V</b:Middle>
            <b:First>N</b:First>
          </b:Person>
          <b:Person>
            <b:Last>Cherkinsky</b:Last>
            <b:First>A</b:First>
          </b:Person>
          <b:Person>
            <b:Last>Acevedo</b:Last>
            <b:First>A</b:First>
          </b:Person>
          <b:Person>
            <b:Last>Fiore</b:Last>
            <b:First>D</b:First>
          </b:Person>
          <b:Person>
            <b:Last>Pope</b:Last>
            <b:Middle>R</b:Middle>
            <b:First>T</b:First>
          </b:Person>
          <b:Person>
            <b:Last>Weimar III</b:Last>
            <b:Middle>D</b:Middle>
            <b:First>R</b:First>
          </b:Person>
          <b:Person>
            <b:Last>Neher</b:Last>
            <b:First>G</b:First>
          </b:Person>
          <b:Person>
            <b:Last>Evans</b:Last>
            <b:Middle>A</b:Middle>
            <b:First>H</b:First>
          </b:Person>
          <b:Person>
            <b:Last>Salguro</b:Last>
            <b:Middle>T</b:Middle>
            <b:First>T</b:First>
          </b:Person>
        </b:NameList>
      </b:Author>
    </b:Author>
    <b:RefOrder>270</b:RefOrder>
  </b:Source>
  <b:Source>
    <b:Tag>Alb20</b:Tag>
    <b:SourceType>InternetSite</b:SourceType>
    <b:Guid>{12C619C4-5477-A44A-8492-531490B80614}</b:Guid>
    <b:Title>'Sistine Chapel of the ancients' rock art discovered in remote Amazon forest</b:Title>
    <b:Year>2020</b:Year>
    <b:URL>https://www.theguardian.com/science/2020/nov/29/sistine-chapel-of-the-ancients-rock-art-discovered-in-remote-amazon-forest</b:URL>
    <b:YearAccessed>2021</b:YearAccessed>
    <b:MonthAccessed>01</b:MonthAccessed>
    <b:DayAccessed>26</b:DayAccessed>
    <b:Author>
      <b:Author>
        <b:NameList>
          <b:Person>
            <b:Last>Alberge</b:Last>
            <b:First>D</b:First>
          </b:Person>
        </b:NameList>
      </b:Author>
    </b:Author>
    <b:InternetSiteTitle>The Guardian</b:InternetSiteTitle>
    <b:RefOrder>271</b:RefOrder>
  </b:Source>
  <b:Source>
    <b:Tag>Darce</b:Tag>
    <b:SourceType>JournalArticle</b:SourceType>
    <b:Guid>{F25A47E5-36A4-174F-BE3C-8F6F7B7C2F92}</b:Guid>
    <b:Title>Composition of pigments on human bones found in excavations in Argentina studied with micro-Raman spectrometry and scanning electron microscopy</b:Title>
    <b:Year>2009</b:Year>
    <b:JournalName>e-Preservation Science</b:JournalName>
    <b:Volume>6</b:Volume>
    <b:Pages>112-117</b:Pages>
    <b:Author>
      <b:Author>
        <b:NameList>
          <b:Person>
            <b:Last>Darchuk</b:Last>
            <b:First>L</b:First>
          </b:Person>
          <b:Person>
            <b:Last>Stefaniak</b:Last>
            <b:Middle>A</b:Middle>
            <b:First>E</b:First>
          </b:Person>
          <b:Person>
            <b:Last>Vázquez</b:Last>
            <b:First>C</b:First>
          </b:Person>
          <b:Person>
            <b:Last>Palacios</b:Last>
            <b:Middle>M</b:Middle>
            <b:First>O</b:First>
          </b:Person>
          <b:Person>
            <b:Last>Worobiec</b:Last>
            <b:First>A</b:First>
          </b:Person>
          <b:Person>
            <b:Last>van Grieken</b:Last>
            <b:First>R</b:First>
          </b:Person>
        </b:NameList>
      </b:Author>
    </b:Author>
    <b:RefOrder>272</b:RefOrder>
  </b:Source>
  <b:Source>
    <b:Tag>Dar10</b:Tag>
    <b:SourceType>JournalArticle</b:SourceType>
    <b:Guid>{B2EABA10-DFB9-5744-AC23-36B3A4201087}</b:Guid>
    <b:Title>Argentinean prehistoric pigments’ study by combined SEM/EDX and molecular spectroscopy.</b:Title>
    <b:JournalName>Spectrochimica Acta Part A: Molecular and Biomolecular Spectroscopy </b:JournalName>
    <b:Year>2010</b:Year>
    <b:Volume>75</b:Volume>
    <b:Issue>5</b:Issue>
    <b:Pages>1398-1402</b:Pages>
    <b:Author>
      <b:Author>
        <b:NameList>
          <b:Person>
            <b:Last>Darchuk</b:Last>
            <b:Middle>A</b:Middle>
            <b:First>R</b:First>
          </b:Person>
          <b:Person>
            <b:Last>Tsybrii</b:Last>
            <b:First>Z</b:First>
          </b:Person>
          <b:Person>
            <b:Last>Worobiec</b:Last>
            <b:First>A</b:First>
          </b:Person>
          <b:Person>
            <b:Last>Vázquez</b:Last>
            <b:First>C</b:First>
          </b:Person>
          <b:Person>
            <b:Last>Palacios</b:Last>
            <b:Middle>M</b:Middle>
            <b:First>O</b:First>
          </b:Person>
          <b:Person>
            <b:Last>Stefaniak</b:Last>
            <b:Middle>A</b:Middle>
            <b:First>E</b:First>
          </b:Person>
          <b:Person>
            <b:Last>Rotondo</b:Last>
            <b:Middle>G</b:Middle>
            <b:First>G</b:First>
          </b:Person>
          <b:Person>
            <b:Last>Sizov</b:Last>
            <b:First>F</b:First>
          </b:Person>
          <b:Person>
            <b:Last>van Greiken</b:Last>
            <b:First>R</b:First>
          </b:Person>
        </b:NameList>
      </b:Author>
    </b:Author>
    <b:RefOrder>273</b:RefOrder>
  </b:Source>
  <b:Source>
    <b:Tag>Wis94</b:Tag>
    <b:SourceType>JournalArticle</b:SourceType>
    <b:Guid>{5A8AC888-E8FA-8A46-B830-88DA3612B113}</b:Guid>
    <b:Title>A Late Archaic period burial from the south-central Andean coast</b:Title>
    <b:JournalName>Latin American Antiquity</b:JournalName>
    <b:Year>1994</b:Year>
    <b:Pages>212-227</b:Pages>
    <b:Author>
      <b:Author>
        <b:NameList>
          <b:Person>
            <b:Last>Wise</b:Last>
            <b:First>K</b:First>
          </b:Person>
          <b:Person>
            <b:Last>Clark</b:Last>
            <b:Middle>R</b:Middle>
            <b:First>N</b:First>
          </b:Person>
          <b:Person>
            <b:Last>Williams</b:Last>
            <b:Middle>R</b:Middle>
            <b:First>S</b:First>
          </b:Person>
        </b:NameList>
      </b:Author>
    </b:Author>
    <b:RefOrder>274</b:RefOrder>
  </b:Source>
  <b:Source>
    <b:Tag>Cha11</b:Tag>
    <b:SourceType>JournalArticle</b:SourceType>
    <b:Guid>{9D2A0818-3269-BC49-85F5-F6D29C776321}</b:Guid>
    <b:Title>Stainton West CNDR Cumbria Post-excavation Assessment Oxford Archaeology North Birse Civils</b:Title>
    <b:JournalName>Oxford Archaeology Reports</b:JournalName>
    <b:Year>2011</b:Year>
    <b:Volume>2011-12/1211</b:Volume>
    <b:Pages>L10066</b:Pages>
    <b:Author>
      <b:Author>
        <b:NameList>
          <b:Person>
            <b:Last>Champness</b:Last>
            <b:First>C</b:First>
          </b:Person>
        </b:NameList>
      </b:Author>
    </b:Author>
    <b:RefOrder>275</b:RefOrder>
  </b:Source>
  <b:Source>
    <b:Tag>Sco16</b:Tag>
    <b:SourceType>JournalArticle</b:SourceType>
    <b:Guid>{80A0D844-065B-9944-A8AB-6B9736B3803C}</b:Guid>
    <b:Title>A review of ancient Egyptian pigments and cosmetics</b:Title>
    <b:JournalName>Studies in Conversation</b:JournalName>
    <b:Year>2016</b:Year>
    <b:Volume>61</b:Volume>
    <b:Issue>4</b:Issue>
    <b:Pages>185-202</b:Pages>
    <b:Author>
      <b:Author>
        <b:NameList>
          <b:Person>
            <b:Last>Scott</b:Last>
            <b:Middle>A</b:Middle>
            <b:First>D</b:First>
          </b:Person>
        </b:NameList>
      </b:Author>
    </b:Author>
    <b:Comments>https://doi.org/10.1179/2047058414Y.0000000162</b:Comments>
    <b:RefOrder>276</b:RefOrder>
  </b:Source>
  <b:Source>
    <b:Tag>Ebb37</b:Tag>
    <b:SourceType>Book</b:SourceType>
    <b:Guid>{8521FC92-9DFD-3142-93AD-FAEB1CC66728}</b:Guid>
    <b:Title>The Papyrus Ebers: The Greatest Egyptian Medical Document</b:Title>
    <b:Year>1937</b:Year>
    <b:City>Copenhagen</b:City>
    <b:Publisher>Levin and Munksgaard</b:Publisher>
    <b:Author>
      <b:Author>
        <b:NameList>
          <b:Person>
            <b:Last>Ebbell</b:Last>
            <b:First>B</b:First>
          </b:Person>
        </b:NameList>
      </b:Author>
    </b:Author>
    <b:RefOrder>277</b:RefOrder>
  </b:Source>
  <b:Source>
    <b:Tag>Rit62</b:Tag>
    <b:SourceType>JournalArticle</b:SourceType>
    <b:Guid>{0959DB59-9AB9-B140-8C7A-D59EA1E19156}</b:Guid>
    <b:Title>The Red Ochre Culture of the Upper Great Lakes and Adjacent Areas</b:Title>
    <b:Year>1962</b:Year>
    <b:JournalName>Fieldiana. Anthropology</b:JournalName>
    <b:Volume>36</b:Volume>
    <b:Pages>243-275</b:Pages>
    <b:Author>
      <b:Author>
        <b:NameList>
          <b:Person>
            <b:Last>Ritzenthaler</b:Last>
            <b:Middle>E</b:Middle>
            <b:First>R</b:First>
          </b:Person>
          <b:Person>
            <b:Last>Quimby</b:Last>
            <b:Middle>I</b:Middle>
            <b:First>G</b:First>
          </b:Person>
        </b:NameList>
      </b:Author>
    </b:Author>
    <b:RefOrder>278</b:RefOrder>
  </b:Source>
  <b:Source>
    <b:Tag>Erg11</b:Tag>
    <b:SourceType>JournalArticle</b:SourceType>
    <b:Guid>{D3049351-11DC-AF45-B6F5-5EB6B289F8E5}</b:Guid>
    <b:Title>Colour Symbolism in the Prehistoric Architecture of Central Anatolia and Raman Spectroscopic Investigation of Red Ochre in Chalcholithic Çatalhöyük</b:Title>
    <b:JournalName>Journal of Oxford Archaeology</b:JournalName>
    <b:Year>2011</b:Year>
    <b:Volume>30</b:Volume>
    <b:Issue>1</b:Issue>
    <b:Pages>1-11</b:Pages>
    <b:Author>
      <b:Author>
        <b:NameList>
          <b:Person>
            <b:Last>Ergogu</b:Last>
            <b:First>B</b:First>
          </b:Person>
          <b:Person>
            <b:Last>Ulibley</b:Last>
            <b:First>A</b:First>
          </b:Person>
        </b:NameList>
      </b:Author>
    </b:Author>
    <b:RefOrder>279</b:RefOrder>
  </b:Source>
  <b:Source>
    <b:Tag>Bar06</b:Tag>
    <b:SourceType>JournalArticle</b:SourceType>
    <b:Guid>{4B5E078B-25A1-7B40-AA72-3156B154933E}</b:Guid>
    <b:Title>Colour and art: A brief history of pigments</b:Title>
    <b:JournalName>Optics and Laser Technology</b:JournalName>
    <b:Year>2006</b:Year>
    <b:Volume>38</b:Volume>
    <b:Issue>4-6</b:Issue>
    <b:Pages>445-453</b:Pages>
    <b:Author>
      <b:Author>
        <b:NameList>
          <b:Person>
            <b:Last>Barnett</b:Last>
            <b:Middle>R</b:Middle>
            <b:First>J</b:First>
          </b:Person>
          <b:Person>
            <b:Last>Miller</b:Last>
            <b:First>S</b:First>
          </b:Person>
          <b:Person>
            <b:Last>Pearce</b:Last>
            <b:First>E</b:First>
          </b:Person>
        </b:NameList>
      </b:Author>
    </b:Author>
    <b:Comments>https://doi.org/10.1016/j.optlastec.2005.06.005</b:Comments>
    <b:RefOrder>280</b:RefOrder>
  </b:Source>
  <b:Source>
    <b:Tag>Tho56</b:Tag>
    <b:SourceType>Book</b:SourceType>
    <b:Guid>{BE00A3FA-B9D2-4A4C-A167-C01863ECE05F}</b:Guid>
    <b:Title>The Materials and Techniques of Medieval Painting</b:Title>
    <b:Year>1956</b:Year>
    <b:City>New York</b:City>
    <b:Publisher>Dover Publications, Inc</b:Publisher>
    <b:Author>
      <b:Author>
        <b:NameList>
          <b:Person>
            <b:Last>Thompson</b:Last>
            <b:Middle>V</b:Middle>
            <b:First>D</b:First>
          </b:Person>
        </b:NameList>
      </b:Author>
    </b:Author>
    <b:RefOrder>281</b:RefOrder>
  </b:Source>
  <b:Source>
    <b:Tag>Fio18</b:Tag>
    <b:SourceType>JournalArticle</b:SourceType>
    <b:Guid>{CD6B5E2A-832C-6D43-946E-D7FE10003F30}</b:Guid>
    <b:Title>Shelk’nam body paintings: ancient and recent uses of an ephemeral art form in Tierra del Fuego (southern end of Southamerica).</b:Title>
    <b:Year>2018</b:Year>
    <b:JournalName>Arctic and Antarctic</b:JournalName>
    <b:Volume>10</b:Volume>
    <b:Pages>9-59</b:Pages>
    <b:Author>
      <b:Author>
        <b:NameList>
          <b:Person>
            <b:Last>Fiore</b:Last>
            <b:First>D</b:First>
          </b:Person>
        </b:NameList>
      </b:Author>
    </b:Author>
    <b:RefOrder>282</b:RefOrder>
  </b:Source>
  <b:Source>
    <b:Tag>Fio08</b:Tag>
    <b:SourceType>BookSection</b:SourceType>
    <b:Guid>{910AE2CF-313B-0446-A67D-F962EAB9C620}</b:Guid>
    <b:Title>Body Painting and Visual Practice: The Creation of Social Identities through Image Making and Display in Tierra del Fuego (Southern South America)</b:Title>
    <b:Year>2008</b:Year>
    <b:Pages>Chp 11</b:Pages>
    <b:Author>
      <b:Author>
        <b:NameList>
          <b:Person>
            <b:Last>Fiore</b:Last>
            <b:First>D</b:First>
          </b:Person>
        </b:NameList>
      </b:Author>
      <b:Editor>
        <b:NameList>
          <b:Person>
            <b:Last>Domingo</b:Last>
            <b:First>I</b:First>
          </b:Person>
          <b:Person>
            <b:Last>Fiore</b:Last>
            <b:First>D</b:First>
          </b:Person>
          <b:Person>
            <b:Last>May</b:Last>
            <b:Middle>K</b:Middle>
            <b:First>S</b:First>
          </b:Person>
        </b:NameList>
      </b:Editor>
    </b:Author>
    <b:BookTitle>Archaeologies of Art: Time, Place, and Identiy</b:BookTitle>
    <b:City>Abingdon</b:City>
    <b:Publisher>Routledge</b:Publisher>
    <b:RefOrder>283</b:RefOrder>
  </b:Source>
  <b:Source>
    <b:Tag>Coo03</b:Tag>
    <b:SourceType>Book</b:SourceType>
    <b:Guid>{3279198C-EB0E-3240-AC46-D8E5F352A23D}</b:Guid>
    <b:Title>James Cook: The Journals</b:Title>
    <b:City>London</b:City>
    <b:Publisher>Penguin Books</b:Publisher>
    <b:Year>2003</b:Year>
    <b:Author>
      <b:Author>
        <b:NameList>
          <b:Person>
            <b:Last>Cook</b:Last>
            <b:First>J</b:First>
          </b:Person>
        </b:NameList>
      </b:Author>
      <b:Editor>
        <b:NameList>
          <b:Person>
            <b:Last>Edwards</b:Last>
            <b:First>P</b:First>
          </b:Person>
        </b:NameList>
      </b:Editor>
    </b:Author>
    <b:RefOrder>284</b:RefOrder>
  </b:Source>
  <b:Source>
    <b:Tag>Gou68</b:Tag>
    <b:SourceType>JournalArticle</b:SourceType>
    <b:Guid>{B9CEF72A-4E98-A349-876A-760B3500AB5F}</b:Guid>
    <b:Title>Living archaeology: the Ngatatjara of western Australia</b:Title>
    <b:Year>1968</b:Year>
    <b:JournalName>Southwestern Journal of Anthropology</b:JournalName>
    <b:Volume>24</b:Volume>
    <b:Issue>2</b:Issue>
    <b:Pages>101-122</b:Pages>
    <b:Author>
      <b:Author>
        <b:NameList>
          <b:Person>
            <b:Last>Gould</b:Last>
            <b:Middle>A</b:Middle>
            <b:First>R</b:First>
          </b:Person>
        </b:NameList>
      </b:Author>
    </b:Author>
    <b:RefOrder>285</b:RefOrder>
  </b:Source>
  <b:Source>
    <b:Tag>Hun15</b:Tag>
    <b:SourceType>JournalArticle</b:SourceType>
    <b:Guid>{25B2E242-BD6B-A647-8F09-B5328CC7BA9F}</b:Guid>
    <b:Title>Looking Up and Looking Down: Pigment Chemistry as a Chronological Marker in the Sydney Basin Rock Art Assemblage, Australia</b:Title>
    <b:Year>2015</b:Year>
    <b:JournalName>Rock Art Research</b:JournalName>
    <b:Volume>32</b:Volume>
    <b:Issue>2</b:Issue>
    <b:Pages>131-145</b:Pages>
    <b:Author>
      <b:Author>
        <b:NameList>
          <b:Person>
            <b:Last>Huntley</b:Last>
            <b:Middle>A</b:Middle>
            <b:First>J</b:First>
          </b:Person>
        </b:NameList>
      </b:Author>
    </b:Author>
    <b:RefOrder>286</b:RefOrder>
  </b:Source>
  <b:Source>
    <b:Tag>Taç12</b:Tag>
    <b:SourceType>BookSection</b:SourceType>
    <b:Guid>{C3622435-4E82-894D-812B-EAFA9F814BF5}</b:Guid>
    <b:Title>Ochre, clay, stone and art</b:Title>
    <b:Year>2012</b:Year>
    <b:Pages>31-42</b:Pages>
    <b:Author>
      <b:Author>
        <b:NameList>
          <b:Person>
            <b:Last>Taçon</b:Last>
            <b:Middle>S C</b:Middle>
            <b:First>P </b:First>
          </b:Person>
        </b:NameList>
      </b:Author>
      <b:Editor>
        <b:NameList>
          <b:Person>
            <b:Last>Bovin</b:Last>
            <b:First>N</b:First>
          </b:Person>
          <b:Person>
            <b:Last>Owoc</b:Last>
            <b:Middle>A</b:Middle>
            <b:First>M</b:First>
          </b:Person>
        </b:NameList>
      </b:Editor>
    </b:Author>
    <b:BookTitle>Soild, Stones and Symbols: Cultural perceptions of the mineral world</b:BookTitle>
    <b:City>Abingdon</b:City>
    <b:Publisher>Routledge</b:Publisher>
    <b:Edition>2nd Edition</b:Edition>
    <b:RefOrder>287</b:RefOrder>
  </b:Source>
  <b:Source>
    <b:Tag>Lee13</b:Tag>
    <b:SourceType>JournalArticle</b:SourceType>
    <b:Guid>{A70C62ED-3B1D-7644-9620-CD281FB0B2FE}</b:Guid>
    <b:Title>The Paintings of Ana Kai Tangata cave, Easter Island (Rapa Nui)</b:Title>
    <b:Year>2013</b:Year>
    <b:Pages>11-32</b:Pages>
    <b:JournalName>Rapa Nui Journal</b:JournalName>
    <b:Volume>27</b:Volume>
    <b:Issue>2</b:Issue>
    <b:Author>
      <b:Author>
        <b:NameList>
          <b:Person>
            <b:Last>Lee</b:Last>
            <b:First>G</b:First>
          </b:Person>
          <b:Person>
            <b:Last>Horley</b:Last>
            <b:First>P</b:First>
          </b:Person>
        </b:NameList>
      </b:Author>
    </b:Author>
    <b:RefOrder>288</b:RefOrder>
  </b:Source>
  <b:Source>
    <b:Tag>Jon18</b:Tag>
    <b:SourceType>Book</b:SourceType>
    <b:Guid>{1A01D562-B3BF-F64A-9660-B538EF5EA420}</b:Guid>
    <b:Title>Ochre and Rust: Artefacts and Encounters on Australian Frontiers</b:Title>
    <b:Year>2018</b:Year>
    <b:City>London</b:City>
    <b:Publisher>Hurst and Company</b:Publisher>
    <b:Author>
      <b:Author>
        <b:NameList>
          <b:Person>
            <b:Last>Jones</b:Last>
            <b:First>P</b:First>
          </b:Person>
        </b:NameList>
      </b:Author>
    </b:Author>
    <b:RefOrder>289</b:RefOrder>
  </b:Source>
  <b:Source>
    <b:Tag>Ind08</b:Tag>
    <b:SourceType>Report</b:SourceType>
    <b:Guid>{81F54C1B-9CD7-7149-BB45-E14422040812}</b:Guid>
    <b:Title>Aboriginal Ceremonies</b:Title>
    <b:City>Brisbane</b:City>
    <b:Publisher>Queensland Government</b:Publisher>
    <b:Year>2008</b:Year>
    <b:Author>
      <b:Author>
        <b:Corporate>Indigenous perspectives</b:Corporate>
      </b:Author>
    </b:Author>
    <b:RefOrder>290</b:RefOrder>
  </b:Source>
  <b:Source>
    <b:Tag>Rob07</b:Tag>
    <b:SourceType>BookSection</b:SourceType>
    <b:Guid>{448389A9-3D7D-0643-B532-E55376E2B63A}</b:Guid>
    <b:Title>Burial Treatment as Transformations of Bodily Ideology</b:Title>
    <b:BookTitle>Performing Death: Social Analysis of Funerary Traditions in the Ancient Near East and Mediterranean</b:BookTitle>
    <b:City>Chicago</b:City>
    <b:Publisher>The Oriental Institute of the University of Chicago</b:Publisher>
    <b:Year>2007</b:Year>
    <b:Pages>287-298</b:Pages>
    <b:Author>
      <b:Author>
        <b:NameList>
          <b:Person>
            <b:Last>Robb</b:Last>
            <b:First>J</b:First>
          </b:Person>
        </b:NameList>
      </b:Author>
      <b:Editor>
        <b:NameList>
          <b:Person>
            <b:Last>Laneri</b:Last>
            <b:First>N</b:First>
          </b:Person>
        </b:NameList>
      </b:Editor>
    </b:Author>
    <b:RefOrder>291</b:RefOrder>
  </b:Source>
  <b:Source>
    <b:Tag>Loh05</b:Tag>
    <b:SourceType>JournalArticle</b:SourceType>
    <b:Guid>{F2193088-6D5D-3944-99B4-FD903EDBD3F8}</b:Guid>
    <b:Title>The Afterlife of Asabano Corpses: Relationship with the Deceased in Papua New Guinea</b:Title>
    <b:JournalName>Ethnology</b:JournalName>
    <b:Year>2005</b:Year>
    <b:Volume>44</b:Volume>
    <b:Issue>2</b:Issue>
    <b:Pages>189-206</b:Pages>
    <b:Author>
      <b:Author>
        <b:NameList>
          <b:Person>
            <b:Last>Lohmann</b:Last>
            <b:Middle>I</b:Middle>
            <b:First>R</b:First>
          </b:Person>
        </b:NameList>
      </b:Author>
    </b:Author>
    <b:RefOrder>292</b:RefOrder>
  </b:Source>
  <b:Source>
    <b:Tag>Lan18</b:Tag>
    <b:SourceType>BookSection</b:SourceType>
    <b:Guid>{29712B50-1746-7742-B0B7-A9D0C11755B7}</b:Guid>
    <b:Title>Explorng red ochre use in Timor-Leste and surrounds: Headhunting, burials, and beads</b:Title>
    <b:Year>2018</b:Year>
    <b:Pages>25-36</b:Pages>
    <b:Author>
      <b:Author>
        <b:NameList>
          <b:Person>
            <b:Last>Langley</b:Last>
            <b:Middle>C</b:Middle>
            <b:First>M</b:First>
          </b:Person>
          <b:Person>
            <b:Last>O'Connor</b:Last>
            <b:First>S</b:First>
          </b:Person>
        </b:NameList>
      </b:Author>
      <b:BookAuthor>
        <b:NameList>
          <b:Person>
            <b:Last>Langley</b:Last>
            <b:Middle>C</b:Middle>
            <b:First>M</b:First>
          </b:Person>
          <b:Person>
            <b:Last>Litster</b:Last>
            <b:First>M</b:First>
          </b:Person>
          <b:Person>
            <b:Last>Wright</b:Last>
            <b:First>D</b:First>
          </b:Person>
          <b:Person>
            <b:Last>May</b:Last>
            <b:Middle>K</b:Middle>
            <b:First>S</b:First>
          </b:Person>
        </b:NameList>
      </b:BookAuthor>
    </b:Author>
    <b:BookTitle>The Archaeology of Portable Art: Southeast Asian, Pacific and Australian Perspectives</b:BookTitle>
    <b:City>Abingdon</b:City>
    <b:Publisher>Routledge</b:Publisher>
    <b:Comments>DOI: 10.4324/9781315299112-3</b:Comments>
    <b:RefOrder>293</b:RefOrder>
  </b:Source>
  <b:Source>
    <b:Tag>Ngu15</b:Tag>
    <b:SourceType>BookSection</b:SourceType>
    <b:Guid>{B5F38588-95D5-DA48-8D3B-D6699B12F311}</b:Guid>
    <b:Title>First archaeological evidence of symbolic activities from the Pleistocene of Vietnam</b:Title>
    <b:BookTitle>Emergence and Diversity of Modern Human Behaviour in Paleolithic Asia</b:BookTitle>
    <b:City>College Station</b:City>
    <b:Publisher>Texas A&amp;M University Press</b:Publisher>
    <b:Year>2015</b:Year>
    <b:Pages>133-139</b:Pages>
    <b:Author>
      <b:Author>
        <b:NameList>
          <b:Person>
            <b:Last>Nguyen</b:Last>
            <b:First>V</b:First>
          </b:Person>
        </b:NameList>
      </b:Author>
      <b:Editor>
        <b:NameList>
          <b:Person>
            <b:Last>Kaifu</b:Last>
            <b:First>Y</b:First>
          </b:Person>
          <b:Person>
            <b:Last>Izuho</b:Last>
            <b:First>M</b:First>
          </b:Person>
          <b:Person>
            <b:Last>Goebel</b:Last>
            <b:First>T</b:First>
          </b:Person>
          <b:Person>
            <b:Last>Sto</b:Last>
            <b:First>H</b:First>
          </b:Person>
          <b:Person>
            <b:Last>Ono</b:Last>
            <b:First>A</b:First>
          </b:Person>
        </b:NameList>
      </b:Editor>
    </b:Author>
    <b:RefOrder>294</b:RefOrder>
  </b:Source>
  <b:Source>
    <b:Tag>Rud822</b:Tag>
    <b:SourceType>JournalArticle</b:SourceType>
    <b:Guid>{8C6BC1F0-FB4A-AC4E-9297-C0E53F2E0164}</b:Guid>
    <b:Title>Khoisan pigments and paints and their relationship to rock paintings</b:Title>
    <b:Year>1982</b:Year>
    <b:Pages>3-268</b:Pages>
    <b:JournalName>Annals of the South African Museum</b:JournalName>
    <b:Volume>87</b:Volume>
    <b:Author>
      <b:Author>
        <b:NameList>
          <b:Person>
            <b:Last>Rudner</b:Last>
            <b:First>I</b:First>
          </b:Person>
        </b:NameList>
      </b:Author>
    </b:Author>
    <b:RefOrder>295</b:RefOrder>
  </b:Source>
  <b:Source>
    <b:Tag>Yor93</b:Tag>
    <b:SourceType>Book</b:SourceType>
    <b:Guid>{AF8687AF-5C85-1843-ABFD-BC9C46FBD765}</b:Guid>
    <b:Title>They Write Their Dreams on the Rock Forever: Rock Eritings in the Stein Rover Valley of British Columbia</b:Title>
    <b:Year>1993</b:Year>
    <b:City>Vancouver</b:City>
    <b:Publisher>Hignell Printing Ltd</b:Publisher>
    <b:Author>
      <b:Author>
        <b:NameList>
          <b:Person>
            <b:Last>York</b:Last>
            <b:First>A</b:First>
          </b:Person>
          <b:Person>
            <b:Last>Daly</b:Last>
            <b:First>R</b:First>
          </b:Person>
          <b:Person>
            <b:Last>Arnett</b:Last>
            <b:First>C</b:First>
          </b:Person>
        </b:NameList>
      </b:Author>
    </b:Author>
    <b:RefOrder>296</b:RefOrder>
  </b:Source>
  <b:Source>
    <b:Tag>Tai30</b:Tag>
    <b:SourceType>JournalArticle</b:SourceType>
    <b:Guid>{8801CE66-9AA8-2747-9A88-F03A17AADC8A}</b:Guid>
    <b:Title>The Salishan tribes of the western plateaus</b:Title>
    <b:Year>1930</b:Year>
    <b:JournalName>US Government Printing Office</b:JournalName>
    <b:Author>
      <b:Author>
        <b:NameList>
          <b:Person>
            <b:Last>Tait</b:Last>
            <b:First>J</b:First>
          </b:Person>
        </b:NameList>
      </b:Author>
    </b:Author>
    <b:RefOrder>297</b:RefOrder>
  </b:Source>
  <b:Source>
    <b:Tag>Wat15</b:Tag>
    <b:SourceType>BookSection</b:SourceType>
    <b:Guid>{90D676FA-B233-AA41-9FB6-BB4C411ABF5E}</b:Guid>
    <b:Title>Early Color Symbolism</b:Title>
    <b:Year>2015</b:Year>
    <b:Pages>319-339</b:Pages>
    <b:Author>
      <b:Author>
        <b:NameList>
          <b:Person>
            <b:Last>Watts</b:Last>
            <b:First>I</b:First>
          </b:Person>
        </b:NameList>
      </b:Author>
      <b:Editor>
        <b:NameList>
          <b:Person>
            <b:Last>Elliot</b:Last>
            <b:Middle>J</b:Middle>
            <b:First>A</b:First>
          </b:Person>
          <b:Person>
            <b:Last>Fairchild</b:Last>
            <b:Middle>D</b:Middle>
            <b:First>M</b:First>
          </b:Person>
          <b:Person>
            <b:Last>Franklin</b:Last>
            <b:First>A</b:First>
          </b:Person>
        </b:NameList>
      </b:Editor>
    </b:Author>
    <b:BookTitle>Handbook of Color Pyschology</b:BookTitle>
    <b:City>Cambridge</b:City>
    <b:Publisher>Cambridge University Press</b:Publisher>
    <b:RefOrder>298</b:RefOrder>
  </b:Source>
  <b:Source>
    <b:Tag>Pow13</b:Tag>
    <b:SourceType>JournalArticle</b:SourceType>
    <b:Guid>{46C3FBCC-8E1F-1B45-A89A-AE1BDB53A0F2}</b:Guid>
    <b:Title>The Seasonality Thermostat: Female Reproductive Synchrony and Male Behaviour in Monkeys, Neanderthals, and Modern Humans</b:Title>
    <b:Year>2013</b:Year>
    <b:Pages>33-60</b:Pages>
    <b:JournalName>PalaeoAnthropology</b:JournalName>
    <b:Author>
      <b:Author>
        <b:NameList>
          <b:Person>
            <b:Last>Power</b:Last>
            <b:First>C</b:First>
          </b:Person>
          <b:Person>
            <b:Last>Sommer</b:Last>
            <b:First>V</b:First>
          </b:Person>
          <b:Person>
            <b:Last>Watts</b:Last>
            <b:First>I</b:First>
          </b:Person>
        </b:NameList>
      </b:Author>
    </b:Author>
    <b:Comments>DOI: 10.4207/PA.2013.ART79</b:Comments>
    <b:RefOrder>299</b:RefOrder>
  </b:Source>
  <b:Source>
    <b:Tag>Kni951</b:Tag>
    <b:SourceType>JournalArticle</b:SourceType>
    <b:Guid>{9541D8E4-6D09-AA4F-BDAE-78530E91C968}</b:Guid>
    <b:Title>The Human Symbolic Revolution: A Darwinian Account</b:Title>
    <b:JournalName>Cambridge Archaeological Journal</b:JournalName>
    <b:Year>1995</b:Year>
    <b:Volume>5</b:Volume>
    <b:Issue>1</b:Issue>
    <b:Pages>75-114</b:Pages>
    <b:Author>
      <b:Author>
        <b:NameList>
          <b:Person>
            <b:Last>Knight</b:Last>
            <b:First>C</b:First>
          </b:Person>
          <b:Person>
            <b:Last>Power</b:Last>
            <b:First>C</b:First>
          </b:Person>
          <b:Person>
            <b:Last>Watts</b:Last>
            <b:First>I</b:First>
          </b:Person>
        </b:NameList>
      </b:Author>
    </b:Author>
    <b:RefOrder>300</b:RefOrder>
  </b:Source>
  <b:Source>
    <b:Tag>Vil151</b:Tag>
    <b:SourceType>JournalArticle</b:SourceType>
    <b:Guid>{387A7560-085B-014D-9393-17029B2846BA}</b:Guid>
    <b:Title> A Milk and Ochre Paint Mixture Used 49,000 Years Ago at Sibudu, South Africa</b:Title>
    <b:JournalName>PLoS One</b:JournalName>
    <b:Year>2015</b:Year>
    <b:Volume>10</b:Volume>
    <b:Issue>6</b:Issue>
    <b:Pages>10</b:Pages>
    <b:Author>
      <b:Author>
        <b:NameList>
          <b:Person>
            <b:Last>Villa</b:Last>
            <b:First>P</b:First>
          </b:Person>
          <b:Person>
            <b:Last>Pollarolo</b:Last>
            <b:First>L</b:First>
          </b:Person>
          <b:Person>
            <b:Last>Degano</b:Last>
            <b:First>I</b:First>
          </b:Person>
          <b:Person>
            <b:Last>Birolo</b:Last>
            <b:First>L</b:First>
          </b:Person>
          <b:Person>
            <b:Last>Pasero</b:Last>
            <b:First>M</b:First>
          </b:Person>
          <b:Person>
            <b:Last>Biagioni</b:Last>
            <b:First>C</b:First>
          </b:Person>
          <b:Person>
            <b:Last>Douka</b:Last>
            <b:First>K</b:First>
          </b:Person>
          <b:Person>
            <b:Last>Vinciguerra</b:Last>
            <b:First>R</b:First>
          </b:Person>
          <b:Person>
            <b:Last>Lucejko</b:Last>
            <b:Middle>J</b:Middle>
            <b:First>J</b:First>
          </b:Person>
          <b:Person>
            <b:Last>Wadley</b:Last>
            <b:First>L</b:First>
          </b:Person>
        </b:NameList>
      </b:Author>
    </b:Author>
    <b:RefOrder>301</b:RefOrder>
  </b:Source>
  <b:Source>
    <b:Tag>Wad05</b:Tag>
    <b:SourceType>JournalArticle</b:SourceType>
    <b:Guid>{7CD34EE0-4F27-4F41-A3A6-549464BF1DD7}</b:Guid>
    <b:Title>Putting ochre to the test: Replication studies of adhesives that may have been used for hafting tools in the Middle Stone Age</b:Title>
    <b:JournalName>Journal of Human Evolution</b:JournalName>
    <b:Year>2005</b:Year>
    <b:Volume>49</b:Volume>
    <b:Pages>587-601</b:Pages>
    <b:Author>
      <b:Author>
        <b:NameList>
          <b:Person>
            <b:Last>Wadley</b:Last>
            <b:First>L</b:First>
          </b:Person>
        </b:NameList>
      </b:Author>
    </b:Author>
    <b:RefOrder>302</b:RefOrder>
  </b:Source>
  <b:Source>
    <b:Tag>Hum76</b:Tag>
    <b:SourceType>BookSection</b:SourceType>
    <b:Guid>{DCCD9D80-F23D-B343-9286-FB5061AFAB6F}</b:Guid>
    <b:Title>The Colour Currency of Nature</b:Title>
    <b:City>London</b:City>
    <b:Publisher>Studio-Vista</b:Publisher>
    <b:Year>1976</b:Year>
    <b:Pages>95-98</b:Pages>
    <b:BookTitle>Colour for Architecture</b:BookTitle>
    <b:Author>
      <b:Author>
        <b:NameList>
          <b:Person>
            <b:Last>Humphrey</b:Last>
            <b:First>N</b:First>
          </b:Person>
        </b:NameList>
      </b:Author>
      <b:BookAuthor>
        <b:NameList>
          <b:Person>
            <b:Last>Porter </b:Last>
            <b:First>T</b:First>
          </b:Person>
          <b:Person>
            <b:Last>Mikellides</b:Last>
            <b:First>B</b:First>
          </b:Person>
        </b:NameList>
      </b:BookAuthor>
    </b:Author>
    <b:RefOrder>303</b:RefOrder>
  </b:Source>
  <b:Source>
    <b:Tag>Bar05</b:Tag>
    <b:SourceType>JournalArticle</b:SourceType>
    <b:Guid>{79F5F579-0A74-7F42-AAA8-2B16D77BC8A1}</b:Guid>
    <b:Title>Sporting contests: Seeing red? Putting sportswear in context</b:Title>
    <b:JournalName>Nature</b:JournalName>
    <b:Year>2005</b:Year>
    <b:Volume>437</b:Volume>
    <b:Issue>293</b:Issue>
    <b:Pages>E10-E11</b:Pages>
    <b:Author>
      <b:Author>
        <b:NameList>
          <b:Person>
            <b:Last>Barton</b:Last>
            <b:Middle>A</b:Middle>
            <b:First>R</b:First>
          </b:Person>
          <b:Person>
            <b:Last>Hill</b:Last>
            <b:Middle>A</b:Middle>
            <b:First>R</b:First>
          </b:Person>
        </b:NameList>
      </b:Author>
    </b:Author>
    <b:RefOrder>304</b:RefOrder>
  </b:Source>
  <b:Source>
    <b:Tag>Ber69</b:Tag>
    <b:SourceType>Book</b:SourceType>
    <b:Guid>{943EAA16-886C-3B41-8696-048B3F0FC29B}</b:Guid>
    <b:Title>Basic Color Terms: Their Universality and Evolution</b:Title>
    <b:Publisher>University of California Press</b:Publisher>
    <b:City>Berkeley</b:City>
    <b:Year>1969</b:Year>
    <b:Author>
      <b:Author>
        <b:NameList>
          <b:Person>
            <b:Last>Berlin</b:Last>
            <b:First>B</b:First>
          </b:Person>
          <b:Person>
            <b:Last>Kay</b:Last>
            <b:First>P</b:First>
          </b:Person>
        </b:NameList>
      </b:Author>
    </b:Author>
    <b:RefOrder>305</b:RefOrder>
  </b:Source>
  <b:Source>
    <b:Tag>Hil051</b:Tag>
    <b:SourceType>JournalArticle</b:SourceType>
    <b:Guid>{FDA5FC35-CEBB-4C4F-BD1D-1BC3CA84CB90}</b:Guid>
    <b:Title>Red enhances human performance in contests</b:Title>
    <b:JournalName>Nature</b:JournalName>
    <b:Year>2005</b:Year>
    <b:Volume>435</b:Volume>
    <b:Issue>293</b:Issue>
    <b:Pages>293</b:Pages>
    <b:Author>
      <b:Author>
        <b:NameList>
          <b:Person>
            <b:Last>Hill</b:Last>
            <b:Middle>A</b:Middle>
            <b:First>R</b:First>
          </b:Person>
          <b:Person>
            <b:Last>Barton</b:Last>
            <b:Middle>A</b:Middle>
            <b:First>R</b:First>
          </b:Person>
        </b:NameList>
      </b:Author>
    </b:Author>
    <b:RefOrder>306</b:RefOrder>
  </b:Source>
  <b:Source>
    <b:Tag>Lit07</b:Tag>
    <b:SourceType>JournalArticle</b:SourceType>
    <b:Guid>{4FC0F766-1343-894F-A0AD-43A17960AADA}</b:Guid>
    <b:Title>Attribution to red suggests special rle in dominance signalling</b:Title>
    <b:JournalName>Journal of Cultural and Evolutionary Psychology</b:JournalName>
    <b:Year>2007</b:Year>
    <b:Volume>5</b:Volume>
    <b:Pages>87-94</b:Pages>
    <b:Author>
      <b:Author>
        <b:NameList>
          <b:Person>
            <b:Last>Little</b:Last>
            <b:Middle>C</b:Middle>
            <b:First>A</b:First>
          </b:Person>
          <b:Person>
            <b:Last>Hill</b:Last>
            <b:Middle>A</b:Middle>
            <b:First>R</b:First>
          </b:Person>
        </b:NameList>
      </b:Author>
    </b:Author>
    <b:RefOrder>307</b:RefOrder>
  </b:Source>
  <b:Source>
    <b:Tag>Att08</b:Tag>
    <b:SourceType>JournalArticle</b:SourceType>
    <b:Guid>{41C01B76-A431-8A4D-9E9D-E7AC37D675AC}</b:Guid>
    <b:Title>Red shirt colour is associated with long-term team success in English footbal</b:Title>
    <b:JournalName>Journal Sports Science</b:JournalName>
    <b:Year>2008</b:Year>
    <b:Volume>26</b:Volume>
    <b:Pages>577-582</b:Pages>
    <b:Author>
      <b:Author>
        <b:NameList>
          <b:Person>
            <b:Last>Attril</b:Last>
            <b:Middle>J</b:Middle>
            <b:First>M</b:First>
          </b:Person>
          <b:Person>
            <b:Last>Gresty</b:Last>
            <b:Middle>A</b:Middle>
            <b:First>K</b:First>
          </b:Person>
          <b:Person>
            <b:Last>Hill</b:Last>
            <b:Middle>A</b:Middle>
            <b:First>R</b:First>
          </b:Person>
          <b:Person>
            <b:Last>Barton</b:Last>
            <b:Middle>A</b:Middle>
            <b:First>R</b:First>
          </b:Person>
        </b:NameList>
      </b:Author>
    </b:Author>
    <b:RefOrder>308</b:RefOrder>
  </b:Source>
  <b:Source>
    <b:Tag>Wie12</b:Tag>
    <b:SourceType>BookSection</b:SourceType>
    <b:Guid>{67836A41-B043-3147-BEE8-AC0063DA62A7}</b:Guid>
    <b:Title>Evolutionary approaches to sport and competition</b:Title>
    <b:Publisher>Oxford University Press</b:Publisher>
    <b:City>Oxford</b:City>
    <b:Year>2012</b:Year>
    <b:Pages>290-310</b:Pages>
    <b:Author>
      <b:Author>
        <b:NameList>
          <b:Person>
            <b:Last>Wiedemann</b:Last>
            <b:First>D</b:First>
          </b:Person>
          <b:Person>
            <b:Last>Barton</b:Last>
            <b:Middle>A</b:Middle>
            <b:First>R</b:First>
          </b:Person>
          <b:Person>
            <b:Last>Hill</b:Last>
            <b:Middle>A</b:Middle>
            <b:First>R</b:First>
          </b:Person>
        </b:NameList>
      </b:Author>
      <b:BookAuthor>
        <b:NameList>
          <b:Person>
            <b:Last>Roberts</b:Last>
            <b:Middle>C</b:Middle>
            <b:First>S</b:First>
          </b:Person>
        </b:NameList>
      </b:BookAuthor>
    </b:Author>
    <b:BookTitle>Appliced Evolutionary Psychology</b:BookTitle>
    <b:RefOrder>309</b:RefOrder>
  </b:Source>
  <b:Source>
    <b:Tag>Wie15</b:Tag>
    <b:SourceType>JournalArticle</b:SourceType>
    <b:Guid>{A1F922C8-3F96-7541-946B-67E31CAC11D0}</b:Guid>
    <b:Title>Red clothing increases perceived dominance, aggression and anger</b:Title>
    <b:JournalName>Biology Letters</b:JournalName>
    <b:Year>2015</b:Year>
    <b:Volume>11</b:Volume>
    <b:Issue>20150166</b:Issue>
    <b:Pages>1-4</b:Pages>
    <b:Author>
      <b:Author>
        <b:NameList>
          <b:Person>
            <b:Last>Wiedemann</b:Last>
            <b:First>D</b:First>
          </b:Person>
          <b:Person>
            <b:Last>Burt</b:Last>
            <b:Middle>M</b:Middle>
            <b:First>D</b:First>
          </b:Person>
          <b:Person>
            <b:Last>Hill</b:Last>
            <b:Middle>A</b:Middle>
            <b:First>R</b:First>
          </b:Person>
          <b:Person>
            <b:Last>Barton</b:Last>
            <b:Middle>A</b:Middle>
            <b:First>R</b:First>
          </b:Person>
        </b:NameList>
      </b:Author>
    </b:Author>
    <b:RefOrder>310</b:RefOrder>
  </b:Source>
  <b:Source>
    <b:Tag>Kuh14</b:Tag>
    <b:SourceType>JournalArticle</b:SourceType>
    <b:Guid>{389F8CA5-EF79-3045-BFA7-F3D94AC40883}</b:Guid>
    <b:Title>Signaling Theory and Technologies of Communication in the Paleolithic</b:Title>
    <b:Year>2014</b:Year>
    <b:Volume>9</b:Volume>
    <b:Pages>42-50</b:Pages>
    <b:JournalName>Biological Theory</b:JournalName>
    <b:Author>
      <b:Author>
        <b:NameList>
          <b:Person>
            <b:Last>Kuhn</b:Last>
            <b:Middle>L</b:Middle>
            <b:First>S</b:First>
          </b:Person>
        </b:NameList>
      </b:Author>
    </b:Author>
    <b:RefOrder>311</b:RefOrder>
  </b:Source>
  <b:Source>
    <b:Tag>Rob12</b:Tag>
    <b:SourceType>JournalArticle</b:SourceType>
    <b:Guid>{D19BFE98-6022-5040-9008-1B759B1BDDDB}</b:Guid>
    <b:Author>
      <b:Author>
        <b:NameList>
          <b:Person>
            <b:Last>Roberson</b:Last>
            <b:First>D</b:First>
          </b:Person>
          <b:Person>
            <b:Last>Davidoff</b:Last>
            <b:First>J</b:First>
          </b:Person>
          <b:Person>
            <b:Last>Davies</b:Last>
            <b:First>I.</b:First>
            <b:Middle>R.L.</b:Middle>
          </b:Person>
          <b:Person>
            <b:Last>Shapiro</b:Last>
            <b:First>L.</b:First>
            <b:Middle>R.</b:Middle>
          </b:Person>
        </b:NameList>
      </b:Author>
    </b:Author>
    <b:Title>Colour Categories and Category Acquisition in Himba and English</b:Title>
    <b:JournalName>The Department of Psychology, University of Essex. </b:JournalName>
    <b:Year>2012</b:Year>
    <b:RefOrder>312</b:RefOrder>
  </b:Source>
  <b:Source>
    <b:Tag>Zip14</b:Tag>
    <b:SourceType>JournalArticle</b:SourceType>
    <b:Guid>{DE4A755D-40EA-E64F-9F58-FAC37068CCFD}</b:Guid>
    <b:Title>An experimental study of hafting adhesives and the implications for compound tool technology</b:Title>
    <b:JournalName>PLoS One</b:JournalName>
    <b:Year>2014</b:Year>
    <b:Volume>9</b:Volume>
    <b:Issue>11</b:Issue>
    <b:Pages>e112560</b:Pages>
    <b:Author>
      <b:Author>
        <b:NameList>
          <b:Person>
            <b:Last>Zipkin</b:Last>
            <b:Middle>M</b:Middle>
            <b:First>A</b:First>
          </b:Person>
          <b:Person>
            <b:Last>Wagner</b:Last>
            <b:First>M</b:First>
          </b:Person>
          <b:Person>
            <b:Last>McGrath</b:Last>
            <b:First>K</b:First>
          </b:Person>
          <b:Person>
            <b:Last>Brooks</b:Last>
            <b:Middle>S</b:Middle>
            <b:First>A</b:First>
          </b:Person>
          <b:Person>
            <b:Last>Lucas</b:Last>
            <b:Middle>W</b:Middle>
            <b:First>P</b:First>
          </b:Person>
        </b:NameList>
      </b:Author>
    </b:Author>
    <b:RefOrder>313</b:RefOrder>
  </b:Source>
  <b:Source>
    <b:Tag>Rif151</b:Tag>
    <b:SourceType>JournalArticle</b:SourceType>
    <b:Guid>{B8C0B111-4AE6-634C-997E-54F3826125A2}</b:Guid>
    <b:Title>Evaluating the Photoprotective Effects of Ochre on Human Skin by In Vivo SPF Assessment: Implications for Human Evolution, Adaptation and Disperal.</b:Title>
    <b:JournalName>PLoS One</b:JournalName>
    <b:Year>2015</b:Year>
    <b:Volume>10</b:Volume>
    <b:Issue>9</b:Issue>
    <b:Pages>1-30</b:Pages>
    <b:Author>
      <b:Author>
        <b:NameList>
          <b:Person>
            <b:Last>Rifkin</b:Last>
            <b:First>R</b:First>
          </b:Person>
          <b:Person>
            <b:Last>Dayet</b:Last>
            <b:First>L</b:First>
          </b:Person>
          <b:Person>
            <b:Last>Queffelec</b:Last>
            <b:First>A</b:First>
          </b:Person>
          <b:Person>
            <b:Last>Summer</b:Last>
            <b:First>B</b:First>
          </b:Person>
          <b:Person>
            <b:Last>Lategan</b:Last>
            <b:First>M</b:First>
          </b:Person>
          <b:Person>
            <b:Last>d'Errico</b:Last>
            <b:First>F</b:First>
          </b:Person>
        </b:NameList>
      </b:Author>
    </b:Author>
    <b:RefOrder>314</b:RefOrder>
  </b:Source>
  <b:Source>
    <b:Tag>Aud82</b:Tag>
    <b:SourceType>JournalArticle</b:SourceType>
    <b:Guid>{52643751-4763-BF40-98F1-4EDF7A2BDD73}</b:Guid>
    <b:Title>Les ocres et leurs témoins au Paléolithique en France: enquête et expériences sur leur validité archéologique</b:Title>
    <b:JournalName>Cahiers du Centre de Recherches Pre ́ historiques Paris</b:JournalName>
    <b:Year>1982</b:Year>
    <b:Volume>8</b:Volume>
    <b:Pages>33-80</b:Pages>
    <b:Author>
      <b:Author>
        <b:NameList>
          <b:Person>
            <b:Last>Audouin</b:Last>
            <b:First>F</b:First>
          </b:Person>
          <b:Person>
            <b:Last>Plisson</b:Last>
            <b:First>H</b:First>
          </b:Person>
        </b:NameList>
      </b:Author>
    </b:Author>
    <b:RefOrder>315</b:RefOrder>
  </b:Source>
  <b:Source>
    <b:Tag>Pei79</b:Tag>
    <b:SourceType>JournalArticle</b:SourceType>
    <b:Guid>{B8C3D5BA-32DE-F548-A188-7729643B924B}</b:Guid>
    <b:Title>Colours that Cure</b:Title>
    <b:JournalName>Hemosphere</b:JournalName>
    <b:Year>1979</b:Year>
    <b:Volume>23</b:Volume>
    <b:Issue>4</b:Issue>
    <b:Pages>214-217</b:Pages>
    <b:Author>
      <b:Author>
        <b:NameList>
          <b:Person>
            <b:Last>Peile</b:Last>
            <b:Middle>R</b:Middle>
            <b:First>A</b:First>
          </b:Person>
        </b:NameList>
      </b:Author>
    </b:Author>
    <b:RefOrder>316</b:RefOrder>
  </b:Source>
  <b:Source>
    <b:Tag>Sag94</b:Tag>
    <b:SourceType>Book</b:SourceType>
    <b:Guid>{8C960B69-136A-0547-88FD-333CB514FD09}</b:Guid>
    <b:Title>Bruising the Red Earth: Ochre Mining and Ritual in Aboriginal Tasmania</b:Title>
    <b:Year>1994</b:Year>
    <b:City>Melbourne</b:City>
    <b:Publisher>Melbourne University Press</b:Publisher>
    <b:Author>
      <b:Author>
        <b:NameList>
          <b:Person>
            <b:Last>Sagona</b:Last>
            <b:First>A</b:First>
          </b:Person>
        </b:NameList>
      </b:Author>
    </b:Author>
    <b:RefOrder>317</b:RefOrder>
  </b:Source>
  <b:Source>
    <b:Tag>Hod13</b:Tag>
    <b:SourceType>JournalArticle</b:SourceType>
    <b:Guid>{1317A846-9B9C-414B-9DB5-2DC8AEDF9D8E}</b:Guid>
    <b:Title>Ochre Use in the Middle Stone Age at Sibudu, South Africa: Grinding, Rubbing, Scoring and Engraving. </b:Title>
    <b:Year>2013</b:Year>
    <b:JournalName>Journal of African Archaeology</b:JournalName>
    <b:Volume>11</b:Volume>
    <b:Issue>1</b:Issue>
    <b:Pages>75-95</b:Pages>
    <b:Author>
      <b:Author>
        <b:NameList>
          <b:Person>
            <b:Last>Hodgskiss</b:Last>
            <b:First>T</b:First>
          </b:Person>
        </b:NameList>
      </b:Author>
    </b:Author>
    <b:RefOrder>318</b:RefOrder>
  </b:Source>
  <b:Source>
    <b:Tag>Mar05</b:Tag>
    <b:SourceType>JournalArticle</b:SourceType>
    <b:Guid>{3475DAA3-AA29-8141-A32D-5791E33D4E57}</b:Guid>
    <b:Title>Analysis of ochres from Clearwell Caves: the role of particle size in determining colour</b:Title>
    <b:JournalName>Spectrochimica Acta </b:JournalName>
    <b:Year>2005</b:Year>
    <b:Volume>Part A</b:Volume>
    <b:Issue>61</b:Issue>
    <b:Pages>233-241</b:Pages>
    <b:Author>
      <b:Author>
        <b:NameList>
          <b:Person>
            <b:Last>Marshall</b:Last>
            <b:Middle>R</b:Middle>
            <b:First>L-J</b:First>
          </b:Person>
          <b:Person>
            <b:Last>Williams</b:Last>
            <b:Middle>R</b:Middle>
            <b:First>J</b:First>
          </b:Person>
          <b:Person>
            <b:Last>Almond</b:Last>
            <b:Middle>J</b:Middle>
            <b:First>M</b:First>
          </b:Person>
          <b:Person>
            <b:Last>Atkinson</b:Last>
            <b:Middle>D M</b:Middle>
            <b:First>S</b:First>
          </b:Person>
          <b:Person>
            <b:Last>Cook</b:Last>
            <b:Middle>R</b:Middle>
            <b:First>S</b:First>
          </b:Person>
          <b:Person>
            <b:Last>Matthews</b:Last>
            <b:First>W</b:First>
          </b:Person>
          <b:Person>
            <b:Last>Mortimore</b:Last>
            <b:Middle>L</b:Middle>
            <b:First>J</b:First>
          </b:Person>
        </b:NameList>
      </b:Author>
    </b:Author>
    <b:RefOrder>319</b:RefOrder>
  </b:Source>
  <b:Source>
    <b:Tag>Ber08</b:Tag>
    <b:SourceType>JournalArticle</b:SourceType>
    <b:Guid>{950B3A92-F704-4944-8495-4ABAE3CA24CA}</b:Guid>
    <b:Title>Geochemical characterization of archaeological ochre at Nelson Bay Cave (Western Cape Province), South Africa. </b:Title>
    <b:JournalName>The South African Archaeological Bulletin</b:JournalName>
    <b:Year>2008</b:Year>
    <b:Volume>63</b:Volume>
    <b:Issue>187</b:Issue>
    <b:Pages>3-11</b:Pages>
    <b:Author>
      <b:Author>
        <b:NameList>
          <b:Person>
            <b:Last>Bernatchez</b:Last>
            <b:Middle>A</b:Middle>
            <b:First>J</b:First>
          </b:Person>
        </b:NameList>
      </b:Author>
    </b:Author>
    <b:RefOrder>320</b:RefOrder>
  </b:Source>
  <b:Source>
    <b:Tag>Mac11</b:Tag>
    <b:SourceType>JournalArticle</b:SourceType>
    <b:Guid>{9E5B9222-2CF2-DB4E-A8B8-846A091B2C12}</b:Guid>
    <b:Title>Geochemical characterization of ochre from central coastal British Columbia, Canada</b:Title>
    <b:JournalName>Journal of Archaeological Science</b:JournalName>
    <b:Year>2011</b:Year>
    <b:Volume>38</b:Volume>
    <b:Issue>12</b:Issue>
    <b:Pages>3620-3630</b:Pages>
    <b:Author>
      <b:Author>
        <b:NameList>
          <b:Person>
            <b:Last>MacDonald</b:Last>
            <b:Middle>L</b:Middle>
            <b:First>B</b:First>
          </b:Person>
          <b:Person>
            <b:Last>Hancock</b:Last>
            <b:Middle>G</b:Middle>
            <b:First>R</b:First>
          </b:Person>
          <b:Person>
            <b:Last>Cannon</b:Last>
            <b:First>A</b:First>
          </b:Person>
          <b:Person>
            <b:Last>Pidruczny</b:Last>
            <b:First>A</b:First>
          </b:Person>
        </b:NameList>
      </b:Author>
    </b:Author>
    <b:RefOrder>321</b:RefOrder>
  </b:Source>
  <b:Source>
    <b:Tag>New05</b:Tag>
    <b:SourceType>JournalArticle</b:SourceType>
    <b:Guid>{5D356285-79FA-AE40-8D27-0412BB5E7A21}</b:Guid>
    <b:Title>Portable X-ray fluorescence analysis of rock art pigments.</b:Title>
    <b:JournalName>Plains Anthropologist</b:JournalName>
    <b:Year>2005</b:Year>
    <b:Volume>50</b:Volume>
    <b:Issue>195</b:Issue>
    <b:Pages>277-283</b:Pages>
    <b:Author>
      <b:Author>
        <b:NameList>
          <b:Person>
            <b:Last>Newman</b:Last>
            <b:First>B</b:First>
          </b:Person>
          <b:Person>
            <b:Last>Loendorf</b:Last>
            <b:First>L</b:First>
          </b:Person>
        </b:NameList>
      </b:Author>
    </b:Author>
    <b:RefOrder>322</b:RefOrder>
  </b:Source>
  <b:Source>
    <b:Tag>Rif16</b:Tag>
    <b:SourceType>JournalArticle</b:SourceType>
    <b:Guid>{396C3E83-F5EF-0341-8B1E-6DC7E745E132}</b:Guid>
    <b:Title>Characterising pigments on 30000-year-old portable art from Apollo 11 Cave, Karas Region, southern Namibia. </b:Title>
    <b:JournalName>Journal of Archaeological Science</b:JournalName>
    <b:Year>2016</b:Year>
    <b:Volume>5</b:Volume>
    <b:Pages>336-347</b:Pages>
    <b:Author>
      <b:Author>
        <b:NameList>
          <b:Person>
            <b:Last>Rifkin</b:Last>
            <b:Middle>F</b:Middle>
            <b:First>R</b:First>
          </b:Person>
          <b:Person>
            <b:Last>Prinsloo</b:Last>
            <b:First>L</b:First>
          </b:Person>
          <b:Person>
            <b:Last>Dayet</b:Last>
            <b:First>L</b:First>
          </b:Person>
          <b:Person>
            <b:Last>Haaland</b:Last>
            <b:Middle>M</b:Middle>
            <b:First>M</b:First>
          </b:Person>
          <b:Person>
            <b:Last>Henshilwood</b:Last>
            <b:Middle>S</b:Middle>
            <b:First>C</b:First>
          </b:Person>
          <b:Person>
            <b:Last>Diz</b:Last>
            <b:Middle>L</b:Middle>
            <b:First>E</b:First>
          </b:Person>
          <b:Person>
            <b:Last>Moyo </b:Last>
            <b:First>S</b:First>
          </b:Person>
          <b:Person>
            <b:Last>Vogelsang</b:Last>
            <b:First>R</b:First>
          </b:Person>
          <b:Person>
            <b:Last>Kambombo</b:Last>
            <b:First>F</b:First>
          </b:Person>
        </b:NameList>
      </b:Author>
    </b:Author>
    <b:RefOrder>323</b:RefOrder>
  </b:Source>
  <b:Source>
    <b:Tag>Tou11</b:Tag>
    <b:SourceType>JournalArticle</b:SourceType>
    <b:Guid>{35657A98-2CDD-344D-A408-62E858F1B474}</b:Guid>
    <b:Title>The first in situ Raman spectroscopic study of San rock art in South Africa: procedures and preliminary results.</b:Title>
    <b:JournalName>Journal of Raman Spectroscopy</b:JournalName>
    <b:Year>2011</b:Year>
    <b:Volume>42</b:Volume>
    <b:Issue>3</b:Issue>
    <b:Pages>399-406</b:Pages>
    <b:Author>
      <b:Author>
        <b:NameList>
          <b:Person>
            <b:Last>Tournié</b:Last>
            <b:First>A</b:First>
          </b:Person>
          <b:Person>
            <b:Last>Prinsloo</b:Last>
            <b:Middle>C</b:Middle>
            <b:First>L</b:First>
          </b:Person>
          <b:Person>
            <b:Last>Paris</b:Last>
            <b:First>C</b:First>
          </b:Person>
          <b:Person>
            <b:Last>Colomban</b:Last>
            <b:First>P</b:First>
          </b:Person>
          <b:Person>
            <b:Last>Smith</b:Last>
            <b:First>B</b:First>
          </b:Person>
        </b:NameList>
      </b:Author>
    </b:Author>
    <b:RefOrder>324</b:RefOrder>
  </b:Source>
  <b:Source>
    <b:Tag>Vel18</b:Tag>
    <b:SourceType>JournalArticle</b:SourceType>
    <b:Guid>{E99C12C5-0B63-C040-BBBB-833B09059EFE}</b:Guid>
    <b:Title>Ochre and pigment use at Hohle Fels cave: Results of the first systematic review of ochre and ochre-related artefacts from the Upper Palaeolithic in Germany.</b:Title>
    <b:JournalName>PLoS One</b:JournalName>
    <b:Year>2018</b:Year>
    <b:Volume>13</b:Volume>
    <b:Issue>12</b:Issue>
    <b:Pages>e0209874</b:Pages>
    <b:Author>
      <b:Author>
        <b:NameList>
          <b:Person>
            <b:Last>Velliky</b:Last>
            <b:Middle>C</b:Middle>
            <b:First>E</b:First>
          </b:Person>
          <b:Person>
            <b:Last>Porr</b:Last>
            <b:First>M</b:First>
          </b:Person>
          <b:Person>
            <b:Last>Gonard</b:Last>
            <b:Middle>J</b:Middle>
            <b:First>N</b:First>
          </b:Person>
        </b:NameList>
      </b:Author>
    </b:Author>
    <b:RefOrder>325</b:RefOrder>
  </b:Source>
  <b:Source>
    <b:Tag>Vel13</b:Tag>
    <b:SourceType>JournalArticle</b:SourceType>
    <b:Guid>{1C07B965-A076-E54A-8A63-922497E50620}</b:Guid>
    <b:Title>Rock Paintings of Squamish Valley, British Columbia: Geochemical Analysis of Pigments Using Portable X-ray Fluorescence Spectrometry (pXRF).</b:Title>
    <b:JournalName>American Indian Rock Art</b:JournalName>
    <b:Year>2013</b:Year>
    <b:Volume>39</b:Volume>
    <b:Pages>131-142</b:Pages>
    <b:Author>
      <b:Author>
        <b:NameList>
          <b:Person>
            <b:Last>Velliky</b:Last>
            <b:Middle>C</b:Middle>
            <b:First>E</b:First>
          </b:Person>
          <b:Person>
            <b:Last>Reimer</b:Last>
            <b:First>R</b:First>
          </b:Person>
        </b:NameList>
      </b:Author>
    </b:Author>
    <b:RefOrder>326</b:RefOrder>
  </b:Source>
  <b:Source>
    <b:Tag>Zar19</b:Tag>
    <b:SourceType>JournalArticle</b:SourceType>
    <b:Guid>{EE2B29DD-2F7D-D741-9EC1-D4DC8375E0DC}</b:Guid>
    <b:Title>Long-distance transport of red ocher by Clovis foragers</b:Title>
    <b:JournalName>Journal of Archaeological Science: Reports</b:JournalName>
    <b:Year>2019</b:Year>
    <b:Volume>25</b:Volume>
    <b:Pages>519-529</b:Pages>
    <b:Author>
      <b:Author>
        <b:NameList>
          <b:Person>
            <b:Last>Zarzycka</b:Last>
            <b:Middle>E</b:Middle>
            <b:First>S</b:First>
          </b:Person>
          <b:Person>
            <b:Last>Surovell</b:Last>
            <b:Middle>A</b:Middle>
            <b:First>T</b:First>
          </b:Person>
          <b:Person>
            <b:Last>Mackie</b:Last>
            <b:Middle>E</b:Middle>
            <b:First>M</b:First>
          </b:Person>
          <b:Person>
            <b:Last>Pelton</b:Last>
            <b:Middle>R</b:Middle>
            <b:First>S</b:First>
          </b:Person>
          <b:Person>
            <b:Last> R.L. Kelly</b:Last>
            <b:Middle>L</b:Middle>
            <b:First>R</b:First>
          </b:Person>
          <b:Person>
            <b:Last>Goldberg</b:Last>
            <b:First>P</b:First>
          </b:Person>
          <b:Person>
            <b:Last>Dewey</b:Last>
            <b:First>J</b:First>
          </b:Person>
          <b:Person>
            <b:Last>Kent</b:Last>
            <b:First>M</b:First>
          </b:Person>
        </b:NameList>
      </b:Author>
    </b:Author>
    <b:RefOrder>327</b:RefOrder>
  </b:Source>
  <b:Source>
    <b:Tag>For01</b:Tag>
    <b:SourceType>JournalArticle</b:SourceType>
    <b:Guid>{4A5708B6-A763-FB43-9E66-04C053245B21}</b:Guid>
    <b:Title>The Upper Palaeolithic Triple Burial of Dolní Vēstonice: Pathology and Funerary Behaviour</b:Title>
    <b:JournalName>American Journal of Physical Anthropology</b:JournalName>
    <b:Year>2001</b:Year>
    <b:Volume>115</b:Volume>
    <b:Pages>372-379</b:Pages>
    <b:Author>
      <b:Author>
        <b:NameList>
          <b:Person>
            <b:Last>Formicola</b:Last>
            <b:First>V</b:First>
          </b:Person>
          <b:Person>
            <b:Last>Pontrandolfi</b:Last>
            <b:First>A</b:First>
          </b:Person>
          <b:Person>
            <b:Last>Svoboda</b:Last>
            <b:First>J</b:First>
          </b:Person>
        </b:NameList>
      </b:Author>
    </b:Author>
    <b:RefOrder>328</b:RefOrder>
  </b:Source>
  <b:Source>
    <b:Tag>Tho99</b:Tag>
    <b:SourceType>JournalArticle</b:SourceType>
    <b:Guid>{A674BD30-EBE9-D54B-A9C2-8D94C12C01CB}</b:Guid>
    <b:Title>Australia's oldest human remins: age of the Lake Mungo 3 skeleton</b:Title>
    <b:JournalName>Journal of Human Evolution</b:JournalName>
    <b:Year>1999</b:Year>
    <b:Volume>36</b:Volume>
    <b:Pages>591-612</b:Pages>
    <b:Author>
      <b:Author>
        <b:NameList>
          <b:Person>
            <b:Last>Thorne</b:Last>
            <b:First>A</b:First>
          </b:Person>
          <b:Person>
            <b:Last>Grün</b:Last>
            <b:First>R</b:First>
          </b:Person>
          <b:Person>
            <b:Last>Mortimer</b:Last>
            <b:First>G</b:First>
          </b:Person>
          <b:Person>
            <b:Last>Spooner</b:Last>
            <b:Middle>J</b:Middle>
            <b:First>J</b:First>
          </b:Person>
          <b:Person>
            <b:Last>McCulloch</b:Last>
            <b:First>M</b:First>
          </b:Person>
          <b:Person>
            <b:Last>Taylor</b:Last>
            <b:First>L</b:First>
          </b:Person>
          <b:Person>
            <b:Last>Curnoe</b:Last>
            <b:First>D</b:First>
          </b:Person>
        </b:NameList>
      </b:Author>
    </b:Author>
    <b:RefOrder>329</b:RefOrder>
  </b:Source>
  <b:Source>
    <b:Tag>Tri18</b:Tag>
    <b:SourceType>JournalArticle</b:SourceType>
    <b:Guid>{6AC649E8-0522-1B40-8DA1-EF551E28F935}</b:Guid>
    <b:Title>Diversity and differential idsposal of the dead at Sunghir</b:Title>
    <b:JournalName>Antiquity</b:JournalName>
    <b:Year>2018</b:Year>
    <b:Volume>92</b:Volume>
    <b:Issue>361</b:Issue>
    <b:Pages>7-21. https://doi.org/10.15184/aqy.2017.223</b:Pages>
    <b:Author>
      <b:Author>
        <b:NameList>
          <b:Person>
            <b:Last>Trinkhaus</b:Last>
            <b:First>E</b:First>
          </b:Person>
          <b:Person>
            <b:Last>Buzhilova</b:Last>
            <b:Middle>P</b:Middle>
            <b:First>A</b:First>
          </b:Person>
        </b:NameList>
      </b:Author>
    </b:Author>
    <b:RefOrder>330</b:RefOrder>
  </b:Source>
  <b:Source>
    <b:Tag>Pea05</b:Tag>
    <b:SourceType>JournalArticle</b:SourceType>
    <b:Guid>{EA8E7D77-874F-FF45-B5CF-61602299F638}</b:Guid>
    <b:Title>The social context of early pottery in the Lingnan region of south China</b:Title>
    <b:JournalName>Anitquity</b:JournalName>
    <b:Year>2005</b:Year>
    <b:Volume>79</b:Volume>
    <b:Issue>306</b:Issue>
    <b:Pages>819-828. DOI: https://doi.org/10.1017/S0003598X00114954</b:Pages>
    <b:Author>
      <b:Author>
        <b:NameList>
          <b:Person>
            <b:Last>Pearson</b:Last>
            <b:First>R</b:First>
          </b:Person>
        </b:NameList>
      </b:Author>
    </b:Author>
    <b:RefOrder>331</b:RefOrder>
  </b:Source>
  <b:Source>
    <b:Tag>Hig11</b:Tag>
    <b:SourceType>JournalArticle</b:SourceType>
    <b:Guid>{B633F866-F71B-7942-AE97-F5D9FCF8EDD9}</b:Guid>
    <b:Title>The Iron Age of the Mun Valley, Thailand</b:Title>
    <b:JournalName>Antiquaries Journal</b:JournalName>
    <b:Year>2011</b:Year>
    <b:Volume>21</b:Volume>
    <b:Pages>356-389</b:Pages>
    <b:Author>
      <b:Author>
        <b:NameList>
          <b:Person>
            <b:Last>Higham</b:Last>
            <b:First>C</b:First>
            <b:Middle>F W</b:Middle>
          </b:Person>
        </b:NameList>
      </b:Author>
    </b:Author>
    <b:RefOrder>332</b:RefOrder>
  </b:Source>
  <b:Source>
    <b:Tag>Tan15</b:Tag>
    <b:SourceType>JournalArticle</b:SourceType>
    <b:Guid>{C81CAF1D-D4B4-3D47-A818-5CE2F5563DBD}</b:Guid>
    <b:Title>The hidden paintings of Angkor Wat</b:Title>
    <b:JournalName>Antiquity</b:JournalName>
    <b:Year>2015</b:Year>
    <b:Volume>88</b:Volume>
    <b:Pages>549-564. DOI: https://doi.org/10.1017/S0003598X00101176</b:Pages>
    <b:Author>
      <b:Author>
        <b:NameList>
          <b:Person>
            <b:Last>Tan</b:Last>
            <b:Middle>H</b:Middle>
            <b:First>N</b:First>
          </b:Person>
          <b:Person>
            <b:Last>Sokrithy</b:Last>
            <b:First>I</b:First>
          </b:Person>
          <b:Person>
            <b:Last>Than</b:Last>
            <b:First>H</b:First>
          </b:Person>
          <b:Person>
            <b:Last>Chan</b:Last>
            <b:First>K</b:First>
          </b:Person>
        </b:NameList>
      </b:Author>
    </b:Author>
    <b:RefOrder>333</b:RefOrder>
  </b:Source>
  <b:Source>
    <b:Tag>ORe15</b:Tag>
    <b:SourceType>BookSection</b:SourceType>
    <b:Guid>{2B7D586E-3FC1-6E45-889E-6687B39AF87C}</b:Guid>
    <b:Title>Prehistoric Mortuary Traditions in Cambodia</b:Title>
    <b:Year>2015</b:Year>
    <b:Pages>45-67</b:Pages>
    <b:BookTitle>The Routledge Handbook of Bioarchaeology in Southeast Asia and the Pacific Islands</b:BookTitle>
    <b:City>Abingdon</b:City>
    <b:Publisher>Routledge</b:Publisher>
    <b:Author>
      <b:Author>
        <b:NameList>
          <b:Person>
            <b:Last>O'Reilly</b:Last>
            <b:First>D</b:First>
          </b:Person>
          <b:Person>
            <b:Last>Shewan</b:Last>
            <b:Middle>G</b:Middle>
            <b:First>L</b:First>
          </b:Person>
        </b:NameList>
      </b:Author>
      <b:Editor>
        <b:NameList>
          <b:Person>
            <b:Last>Oxenham</b:Last>
            <b:First>M</b:First>
          </b:Person>
          <b:Person>
            <b:Last>Buckley</b:Last>
            <b:Middle>R</b:Middle>
            <b:First>H</b:First>
          </b:Person>
        </b:NameList>
      </b:Editor>
    </b:Author>
    <b:RefOrder>334</b:RefOrder>
  </b:Source>
  <b:Source>
    <b:Tag>Mel07</b:Tag>
    <b:SourceType>Book</b:SourceType>
    <b:Guid>{FC75958E-1D75-2944-8700-A760F9E73BA2}</b:Guid>
    <b:Title>Rethinking the Human Revolution: new behavioural and biological perspectives on the origin and dispersal of modern humans</b:Title>
    <b:City>Cambridge</b:City>
    <b:Publisher>McDonald Institute for Archaeological Research</b:Publisher>
    <b:Year>2007</b:Year>
    <b:Author>
      <b:Author>
        <b:NameList>
          <b:Person>
            <b:Last>Mellars</b:Last>
            <b:Middle>A</b:Middle>
            <b:First>P</b:First>
          </b:Person>
          <b:Person>
            <b:Last>Boyle</b:Last>
            <b:First>K</b:First>
          </b:Person>
          <b:Person>
            <b:Last>Bar-Yosef</b:Last>
            <b:First>O</b:First>
          </b:Person>
          <b:Person>
            <b:Last>Stringer</b:Last>
            <b:First>C</b:First>
          </b:Person>
        </b:NameList>
      </b:Author>
    </b:Author>
    <b:RefOrder>335</b:RefOrder>
  </b:Source>
  <b:Source>
    <b:Tag>Haa20</b:Tag>
    <b:SourceType>JournalArticle</b:SourceType>
    <b:Guid>{2AE8ACB2-F049-1541-BE6E-B2A3A8AB7A3B}</b:Guid>
    <b:Title>Hidden in plain sight: A microanalytical study of Middle Stone Age ochre piece trapped inside a micromorphological block sample</b:Title>
    <b:Year>2020</b:Year>
    <b:JournalName>Geoarchaeology</b:JournalName>
    <b:Pages>1-31. https://doi.org/10.1002/gea.21830</b:Pages>
    <b:Author>
      <b:Author>
        <b:NameList>
          <b:Person>
            <b:Last>Haaland</b:Last>
            <b:Middle>M</b:Middle>
            <b:First>M</b:First>
          </b:Person>
          <b:Person>
            <b:Last>Strauss</b:Last>
            <b:Middle>M</b:Middle>
            <b:First>A</b:First>
          </b:Person>
          <b:Person>
            <b:Last>Velliky</b:Last>
            <b:Middle>C</b:Middle>
            <b:First>E</b:First>
          </b:Person>
          <b:Person>
            <b:Last>Mentzer</b:Last>
            <b:Middle>M</b:Middle>
            <b:First>S</b:First>
          </b:Person>
          <b:Person>
            <b:Last>Miller</b:Last>
            <b:Middle>E</b:Middle>
            <b:First>C</b:First>
          </b:Person>
          <b:Person>
            <b:Last>van Niekerk</b:Last>
            <b:Middle>L</b:Middle>
            <b:First>K</b:First>
          </b:Person>
          <b:Person>
            <b:Last>Henshilwood</b:Last>
            <b:Middle>S</b:Middle>
            <b:First>C</b:First>
          </b:Person>
        </b:NameList>
      </b:Author>
    </b:Author>
    <b:RefOrder>336</b:RefOrder>
  </b:Source>
  <b:Source>
    <b:Tag>Geg00</b:Tag>
    <b:SourceType>Book</b:SourceType>
    <b:Guid>{53B2632F-DBDF-714F-ABD6-FEC047B609CF}</b:Guid>
    <b:Title>Colour Vision: From Genes to Perception</b:Title>
    <b:Publisher>Cambridge University Press</b:Publisher>
    <b:City>Cambridge</b:City>
    <b:Year>2000</b:Year>
    <b:Author>
      <b:Author>
        <b:NameList>
          <b:Person>
            <b:Last>Gegenfurtner</b:Last>
            <b:Middle>R</b:Middle>
            <b:First>K</b:First>
          </b:Person>
          <b:Person>
            <b:Last>Sharpe</b:Last>
            <b:Middle>T</b:Middle>
            <b:First>L</b:First>
          </b:Person>
          <b:Person>
            <b:Last>Boycott</b:Last>
            <b:Middle>B</b:Middle>
            <b:First>B</b:First>
          </b:Person>
        </b:NameList>
      </b:Author>
    </b:Author>
    <b:RefOrder>337</b:RefOrder>
  </b:Source>
  <b:Source>
    <b:Tag>Par051</b:Tag>
    <b:SourceType>Book</b:SourceType>
    <b:Guid>{10BC80AD-1DEA-4549-99E9-7F998A7C140E}</b:Guid>
    <b:Title>Seven Deadly Colours: the Genius of Nature's Palette</b:Title>
    <b:City>London</b:City>
    <b:Publisher>Natural History Museum</b:Publisher>
    <b:Year>2005; 2016</b:Year>
    <b:Author>
      <b:Author>
        <b:NameList>
          <b:Person>
            <b:Last>Parker</b:Last>
            <b:First>A</b:First>
          </b:Person>
        </b:NameList>
      </b:Author>
    </b:Author>
    <b:RefOrder>338</b:RefOrder>
  </b:Source>
  <b:Source>
    <b:Tag>Jac96</b:Tag>
    <b:SourceType>JournalArticle</b:SourceType>
    <b:Guid>{6C7549F8-35A0-1449-BA60-10400D3C2AB4}</b:Guid>
    <b:Title>Trichromatic colour vision in New World Monkeys</b:Title>
    <b:JournalName>Nature</b:JournalName>
    <b:Year>1996</b:Year>
    <b:Volume>382</b:Volume>
    <b:Issue>6587</b:Issue>
    <b:Pages>156-158</b:Pages>
    <b:Author>
      <b:Author>
        <b:NameList>
          <b:Person>
            <b:Last>Jacobs </b:Last>
            <b:Middle>H</b:Middle>
            <b:First>G</b:First>
          </b:Person>
          <b:Person>
            <b:Last>Neitz</b:Last>
            <b:First>M</b:First>
          </b:Person>
          <b:Person>
            <b:Last>Deegan</b:Last>
            <b:Middle>F</b:Middle>
            <b:First>J</b:First>
          </b:Person>
          <b:Person>
            <b:Last>Neitz</b:Last>
            <b:First>J</b:First>
          </b:Person>
        </b:NameList>
      </b:Author>
    </b:Author>
    <b:RefOrder>339</b:RefOrder>
  </b:Source>
  <b:Source>
    <b:Tag>Luc031</b:Tag>
    <b:SourceType>JournalArticle</b:SourceType>
    <b:Guid>{FA769DB4-ED57-3342-AC8A-E4D5DBB1AB13}</b:Guid>
    <b:Title>Evolution and function of routine trichromatic vision in primates</b:Title>
    <b:JournalName>Evolution</b:JournalName>
    <b:Year>2003</b:Year>
    <b:Volume>57</b:Volume>
    <b:Issue>11</b:Issue>
    <b:Pages>2636-2643</b:Pages>
    <b:Author>
      <b:Author>
        <b:NameList>
          <b:Person>
            <b:Last>Lucas</b:Last>
            <b:Middle>W</b:Middle>
            <b:First>P</b:First>
          </b:Person>
          <b:Person>
            <b:Last>Dominy</b:Last>
            <b:Middle>J</b:Middle>
            <b:First>N</b:First>
          </b:Person>
        </b:NameList>
      </b:Author>
    </b:Author>
    <b:RefOrder>340</b:RefOrder>
  </b:Source>
  <b:Source>
    <b:Tag>Sur03</b:Tag>
    <b:SourceType>JournalArticle</b:SourceType>
    <b:Guid>{93EE0A20-A10C-3F46-9F5C-20541C99BC94}</b:Guid>
    <b:Title>Evolution and selection of trichromatic vision in primates</b:Title>
    <b:Year>2003</b:Year>
    <b:Volume>18</b:Volume>
    <b:Pages>198-205</b:Pages>
    <b:Author>
      <b:Author>
        <b:NameList>
          <b:Person>
            <b:Last>Surridge</b:Last>
            <b:First>A</b:First>
            <b:Middle>K</b:Middle>
          </b:Person>
          <b:Person>
            <b:Last>Osorio</b:Last>
            <b:First>D</b:First>
          </b:Person>
          <b:Person>
            <b:Last>Mundy</b:Last>
            <b:First>N</b:First>
            <b:Middle>I</b:Middle>
          </b:Person>
        </b:NameList>
      </b:Author>
    </b:Author>
    <b:JournalName>Trends in Ecology and Evolution</b:JournalName>
    <b:Issue>4</b:Issue>
    <b:RefOrder>341</b:RefOrder>
  </b:Source>
  <b:Source>
    <b:Tag>Par03</b:Tag>
    <b:SourceType>Book</b:SourceType>
    <b:Guid>{2FD82678-7E87-334F-9E60-87A0A7C6316A}</b:Guid>
    <b:Title>In the blink of an eye</b:Title>
    <b:Publisher>Perseus</b:Publisher>
    <b:City>Cambridge</b:City>
    <b:Year>2003</b:Year>
    <b:Author>
      <b:Author>
        <b:NameList>
          <b:Person>
            <b:Last>Parker</b:Last>
            <b:First>A</b:First>
          </b:Person>
        </b:NameList>
      </b:Author>
    </b:Author>
    <b:RefOrder>342</b:RefOrder>
  </b:Source>
  <b:Source>
    <b:Tag>Pon17</b:Tag>
    <b:SourceType>JournalArticle</b:SourceType>
    <b:Guid>{ED991509-4532-7E4B-B485-74C080440D3E}</b:Guid>
    <b:Title>Do you see what I see? The difference between dog and human visual perception may affect the outcome of experiments</b:Title>
    <b:Year>2017</b:Year>
    <b:Volume>140</b:Volume>
    <b:Pages>53-60</b:Pages>
    <b:JournalName>Behavioural Processes</b:JournalName>
    <b:Author>
      <b:Author>
        <b:NameList>
          <b:Person>
            <b:Last>Pongracz</b:Last>
            <b:First>P</b:First>
          </b:Person>
          <b:Person>
            <b:Last>Ujvari</b:Last>
            <b:First>V</b:First>
          </b:Person>
          <b:Person>
            <b:Last>Farago</b:Last>
            <b:First>T</b:First>
          </b:Person>
          <b:Person>
            <b:Last>Miklosi</b:Last>
            <b:First>A</b:First>
          </b:Person>
          <b:Person>
            <b:Last>Peter</b:Last>
            <b:First>A</b:First>
          </b:Person>
        </b:NameList>
      </b:Author>
    </b:Author>
    <b:RefOrder>343</b:RefOrder>
  </b:Source>
  <b:Source>
    <b:Tag>Alb10</b:Tag>
    <b:SourceType>JournalArticle</b:SourceType>
    <b:Guid>{67AFC0A2-CA39-8644-A97F-ABDD5E00BC55}</b:Guid>
    <b:Title>Color blindness</b:Title>
    <b:JournalName>Nature Methods</b:JournalName>
    <b:Year>2010</b:Year>
    <b:Volume>7</b:Volume>
    <b:Pages>775</b:Pages>
    <b:Author>
      <b:Author>
        <b:NameList>
          <b:Person>
            <b:Last>Albrecht</b:Last>
            <b:First>M</b:First>
          </b:Person>
        </b:NameList>
      </b:Author>
    </b:Author>
    <b:RefOrder>344</b:RefOrder>
  </b:Source>
  <b:Source>
    <b:Tag>Dao10</b:Tag>
    <b:SourceType>JournalArticle</b:SourceType>
    <b:Guid>{AFFF83C5-FE77-6646-95B2-AF6932066D5C}</b:Guid>
    <b:Title>Categorical effects in children's colour search: a cross-linguistic comparison</b:Title>
    <b:Year>2010</b:Year>
    <b:Volume>24</b:Volume>
    <b:Pages>373-400</b:Pages>
    <b:Issue>2</b:Issue>
    <b:JournalName>British Journal of Developmental Psychology</b:JournalName>
    <b:Author>
      <b:Author>
        <b:NameList>
          <b:Person>
            <b:Last>Daoutis</b:Last>
            <b:First>C</b:First>
          </b:Person>
          <b:Person>
            <b:Last>Franklin</b:Last>
            <b:First>A</b:First>
          </b:Person>
          <b:Person>
            <b:Last>Riddett</b:Last>
            <b:First>A</b:First>
          </b:Person>
          <b:Person>
            <b:Last>Clifford</b:Last>
            <b:First>A</b:First>
          </b:Person>
          <b:Person>
            <b:Last>Davies</b:Last>
            <b:Middle>R L</b:Middle>
            <b:First>I</b:First>
          </b:Person>
        </b:NameList>
      </b:Author>
    </b:Author>
    <b:RefOrder>345</b:RefOrder>
  </b:Source>
  <b:Source>
    <b:Tag>Mou98</b:Tag>
    <b:SourceType>Book</b:SourceType>
    <b:Guid>{3D2430D1-8CDD-D545-966D-ADBC9356A25A}</b:Guid>
    <b:Title>Understanding Pregnancy Loss</b:Title>
    <b:Year>1998</b:Year>
    <b:City>Macmillan</b:City>
    <b:Publisher>London</b:Publisher>
    <b:Author>
      <b:Author>
        <b:NameList>
          <b:Person>
            <b:Last>Moulder</b:Last>
            <b:First>C</b:First>
          </b:Person>
        </b:NameList>
      </b:Author>
    </b:Author>
    <b:RefOrder>346</b:RefOrder>
  </b:Source>
  <b:Source>
    <b:Tag>Aus16</b:Tag>
    <b:SourceType>JournalArticle</b:SourceType>
    <b:Guid>{37488281-C4D5-A24B-A8FC-82B0E92E7B54}</b:Guid>
    <b:Title>The Biological Profile of Unidentified Human Remains in a Forensic Context</b:Title>
    <b:Year>2016</b:Year>
    <b:JournalName>Academic Forensic Pathology</b:JournalName>
    <b:Volume>6</b:Volume>
    <b:Issue>3</b:Issue>
    <b:Pages>370-390. doi: 10.23907/2016.039</b:Pages>
    <b:Author>
      <b:Author>
        <b:NameList>
          <b:Person>
            <b:Last>Austin</b:Last>
            <b:First>D</b:First>
          </b:Person>
          <b:Person>
            <b:Last>King</b:Last>
            <b:Middle>E</b:Middle>
            <b:First>R</b:First>
          </b:Person>
        </b:NameList>
      </b:Author>
    </b:Author>
    <b:RefOrder>347</b:RefOrder>
  </b:Source>
  <b:Source>
    <b:Tag>Hor07</b:Tag>
    <b:SourceType>JournalArticle</b:SourceType>
    <b:Guid>{B577B0D9-1605-784B-8F21-88138AFAFDFA}</b:Guid>
    <b:Title>Much Ado About Nothing: A Comparison of Missing Data Methods and Softwear to Fit Incomplete Data Regression Models</b:Title>
    <b:JournalName>The American Statistician</b:JournalName>
    <b:Year>2007</b:Year>
    <b:Volume>61</b:Volume>
    <b:Issue>1</b:Issue>
    <b:Pages>79-90. https://doi-org.ezp.lib.cam.ac.uk/10.1198/000313007X172556</b:Pages>
    <b:Author>
      <b:Author>
        <b:NameList>
          <b:Person>
            <b:Last>Horton</b:Last>
            <b:Middle>J</b:Middle>
            <b:First>N</b:First>
          </b:Person>
          <b:Person>
            <b:Last>Kleinman</b:Last>
            <b:Middle>P</b:Middle>
            <b:First>K</b:First>
          </b:Person>
        </b:NameList>
      </b:Author>
    </b:Author>
    <b:RefOrder>348</b:RefOrder>
  </b:Source>
  <b:Source>
    <b:Tag>Bar99</b:Tag>
    <b:SourceType>JournalArticle</b:SourceType>
    <b:Guid>{A62E5FFB-62D2-0942-ACBA-2EAD84AD3EE5}</b:Guid>
    <b:Title>Applications of multiple imputation in medical studies: from AIDS to NHANES</b:Title>
    <b:JournalName>Statisical Methods in Medical Research</b:JournalName>
    <b:Year>1999</b:Year>
    <b:Volume>8</b:Volume>
    <b:Issue>1</b:Issue>
    <b:Pages>17-36. doi:10.1177/096228029900800103</b:Pages>
    <b:Author>
      <b:Author>
        <b:NameList>
          <b:Person>
            <b:Last>Barnard</b:Last>
            <b:First>J</b:First>
          </b:Person>
          <b:Person>
            <b:Last>Meng</b:Last>
            <b:First>X-L</b:First>
          </b:Person>
        </b:NameList>
      </b:Author>
    </b:Author>
    <b:RefOrder>349</b:RefOrder>
  </b:Source>
  <b:Source>
    <b:Tag>Fit16</b:Tag>
    <b:SourceType>JournalArticle</b:SourceType>
    <b:Guid>{78E00D37-D2DD-454C-AC60-86E1E109514A}</b:Guid>
    <b:Title>Fitzwilliam Museum Discover the Youngest Ancient Egyptian Human Foetus in Minature Coffin</b:Title>
    <b:Year>2016</b:Year>
    <b:Author>
      <b:Author>
        <b:Corporate>Fitzwilliam Museum</b:Corporate>
      </b:Author>
    </b:Author>
    <b:JournalName>Press | The Fitzwilliam Museum</b:JournalName>
    <b:Comments>Press release for 'Death on the Nile: Uncovering the Afterlife of Ancient Egypt' May 2016</b:Comments>
    <b:RefOrder>350</b:RefOrder>
  </b:Source>
  <b:Source>
    <b:Tag>HTA15</b:Tag>
    <b:SourceType>Report</b:SourceType>
    <b:Guid>{95F35881-C9ED-AB40-95A4-FD3D4AFDBBDD}</b:Guid>
    <b:Title>Guidance on the disposal of pregnancy remains following pregnancy loss or termination</b:Title>
    <b:Year>2015</b:Year>
    <b:Author>
      <b:Author>
        <b:Corporate>HTA</b:Corporate>
      </b:Author>
    </b:Author>
    <b:Publisher>Human Tissue Authority</b:Publisher>
    <b:City>London</b:City>
    <b:Comments>https://www.hta.gov.uk/policies/hta-guidance-sensitive-handling-pregnancy-remains</b:Comments>
    <b:RefOrder>351</b:RefOrder>
  </b:Source>
  <b:Source>
    <b:Tag>HTA04</b:Tag>
    <b:SourceType>Report</b:SourceType>
    <b:Guid>{E17CDDFF-43ED-F84A-856A-29AB8BFE03D0}</b:Guid>
    <b:Title>Human Tissue Act 2004</b:Title>
    <b:Publisher>Human Tissue Authority</b:Publisher>
    <b:City>London</b:City>
    <b:Year>2004</b:Year>
    <b:Author>
      <b:Author>
        <b:Corporate>HT Act</b:Corporate>
      </b:Author>
    </b:Author>
    <b:Comments>https://www.legislation.gov.uk/ukpga/2004/30/contents</b:Comments>
    <b:RefOrder>352</b:RefOrder>
  </b:Source>
  <b:Source>
    <b:Tag>RCO05</b:Tag>
    <b:SourceType>Report</b:SourceType>
    <b:Guid>{E2FA262C-7D24-C845-89BC-07B2338F86C8}</b:Guid>
    <b:Author>
      <b:Author>
        <b:Corporate>RCOG</b:Corporate>
      </b:Author>
    </b:Author>
    <b:Title>Registration of Stillbirths and Certification for Pregnancy Loss Before 24 Weeks of Gestation</b:Title>
    <b:Publisher>Royal College of Obstetricians and Gynaecologists</b:Publisher>
    <b:City>London</b:City>
    <b:Year>2005</b:Year>
    <b:Comments>Good Practice No. 4</b:Comments>
    <b:RefOrder>353</b:RefOrder>
  </b:Source>
  <b:Source>
    <b:Tag>Eva12</b:Tag>
    <b:SourceType>JournalArticle</b:SourceType>
    <b:Guid>{241DDE95-5404-6A4F-99CD-420EB60E76C6}</b:Guid>
    <b:Title>Emotional care for women who experience miscarriage</b:Title>
    <b:Year>2012</b:Year>
    <b:JournalName>Nursing Standard</b:JournalName>
    <b:Volume>26</b:Volume>
    <b:Issue>42</b:Issue>
    <b:Pages>35-41</b:Pages>
    <b:Author>
      <b:Author>
        <b:NameList>
          <b:Person>
            <b:Last>Evans</b:Last>
            <b:First>R</b:First>
          </b:Person>
        </b:NameList>
      </b:Author>
    </b:Author>
    <b:RefOrder>354</b:RefOrder>
  </b:Source>
  <b:Source>
    <b:Tag>Twi20</b:Tag>
    <b:SourceType>InternetSite</b:SourceType>
    <b:Guid>{28CBD78D-D8F2-EA42-B0B9-CCA98003AFF3}</b:Guid>
    <b:Title>Chrissy Teigan</b:Title>
    <b:Year>2020</b:Year>
    <b:URL>https://twitter.com/chrissyteigen</b:URL>
    <b:YearAccessed>12</b:YearAccessed>
    <b:MonthAccessed>12</b:MonthAccessed>
    <b:DayAccessed>2020</b:DayAccessed>
    <b:Author>
      <b:Author>
        <b:Corporate>Twitter</b:Corporate>
      </b:Author>
    </b:Author>
    <b:RefOrder>355</b:RefOrder>
  </b:Source>
  <b:Source>
    <b:Tag>Ins20</b:Tag>
    <b:SourceType>InternetSite</b:SourceType>
    <b:Guid>{ABEA93F0-2BF2-964A-826A-68A02E68E3AD}</b:Guid>
    <b:Author>
      <b:Author>
        <b:Corporate>Instagram</b:Corporate>
      </b:Author>
    </b:Author>
    <b:Title>Chrissy Teigen</b:Title>
    <b:URL>https://www.instagram.com/chrissyteigen/</b:URL>
    <b:Year>2020</b:Year>
    <b:YearAccessed>12</b:YearAccessed>
    <b:MonthAccessed>12</b:MonthAccessed>
    <b:DayAccessed>2020</b:DayAccessed>
    <b:RefOrder>356</b:RefOrder>
  </b:Source>
  <b:Source>
    <b:Tag>McC18</b:Tag>
    <b:SourceType>JournalArticle</b:SourceType>
    <b:Guid>{25B060B6-F148-4B48-9126-3263E56529DF}</b:Guid>
    <b:Title>The Prehistoric Peopling of Southeast Asia</b:Title>
    <b:Year>2018</b:Year>
    <b:JournalName>Science</b:JournalName>
    <b:Volume>361</b:Volume>
    <b:Pages>88-92</b:Pages>
    <b:Author>
      <b:Author>
        <b:NameList>
          <b:Person>
            <b:Last>McColl</b:Last>
            <b:First>H</b:First>
          </b:Person>
          <b:Person>
            <b:Last>Racimo</b:Last>
            <b:First>F</b:First>
          </b:Person>
          <b:Person>
            <b:Last>Vinner</b:Last>
            <b:First>L</b:First>
          </b:Person>
          <b:Person>
            <b:Last>et al.,</b:Last>
          </b:Person>
        </b:NameList>
      </b:Author>
    </b:Author>
    <b:RefOrder>357</b:RefOrder>
  </b:Source>
  <b:Source>
    <b:Tag>Mij10</b:Tag>
    <b:SourceType>JournalArticle</b:SourceType>
    <b:Guid>{AAB682B3-136A-B946-9F52-684CAEB77E2F}</b:Guid>
    <b:Title>New Evidence for a 67,000-year-old Human Presence at Callao Cave, Luzon, Philippines</b:Title>
    <b:JournalName>Journal of Human Evolution</b:JournalName>
    <b:Year>2010</b:Year>
    <b:Volume>59</b:Volume>
    <b:Issue>1</b:Issue>
    <b:Pages>123-132</b:Pages>
    <b:Author>
      <b:Author>
        <b:NameList>
          <b:Person>
            <b:Last>Mijares</b:Last>
            <b:Middle>S</b:Middle>
            <b:First>A</b:First>
          </b:Person>
          <b:Person>
            <b:Last>Détroit</b:Last>
            <b:First>F</b:First>
          </b:Person>
          <b:Person>
            <b:Last>Piper</b:Last>
            <b:First>P</b:First>
          </b:Person>
          <b:Person>
            <b:Last>Grün</b:Last>
            <b:First>R</b:First>
          </b:Person>
          <b:Person>
            <b:Last>Bellwood</b:Last>
            <b:First>P</b:First>
          </b:Person>
          <b:Person>
            <b:Last>Aubert</b:Last>
            <b:First>M</b:First>
          </b:Person>
          <b:Person>
            <b:Last>Champion</b:Last>
            <b:First>G</b:First>
          </b:Person>
          <b:Person>
            <b:Last>Cuevas</b:Last>
            <b:First>N</b:First>
          </b:Person>
          <b:Person>
            <b:Last>De Leon</b:Last>
            <b:First>A</b:First>
          </b:Person>
          <b:Person>
            <b:Last>Dizon</b:Last>
            <b:First>E</b:First>
          </b:Person>
        </b:NameList>
      </b:Author>
    </b:Author>
    <b:RefOrder>358</b:RefOrder>
  </b:Source>
  <b:Source>
    <b:Tag>Dét19</b:Tag>
    <b:SourceType>JournalArticle</b:SourceType>
    <b:Guid>{CFB3E1D8-7DFD-0C42-9D2A-2E96E08FA1DB}</b:Guid>
    <b:Title>A new species of Homo from the Late Pleistocene of the Philippines</b:Title>
    <b:JournalName>Nature</b:JournalName>
    <b:Year>2019</b:Year>
    <b:Volume>568</b:Volume>
    <b:Pages>181-186. https://doi.org/10.1038/s41586-019-1067-9</b:Pages>
    <b:Author>
      <b:Author>
        <b:NameList>
          <b:Person>
            <b:Last>Détroit</b:Last>
            <b:First>F</b:First>
          </b:Person>
          <b:Person>
            <b:Last>Mijares</b:Last>
            <b:Middle>S</b:Middle>
            <b:First>A</b:First>
          </b:Person>
          <b:Person>
            <b:Last>Corny</b:Last>
            <b:First>J</b:First>
          </b:Person>
          <b:Person>
            <b:Last>Daver</b:Last>
            <b:First>G</b:First>
          </b:Person>
          <b:Person>
            <b:Last>Zanolli</b:Last>
            <b:First>C</b:First>
          </b:Person>
          <b:Person>
            <b:Last>Dizon</b:Last>
            <b:First>E</b:First>
          </b:Person>
          <b:Person>
            <b:Last>Robles</b:Last>
            <b:First>E</b:First>
          </b:Person>
          <b:Person>
            <b:Last>Grün</b:Last>
            <b:First>R</b:First>
          </b:Person>
          <b:Person>
            <b:Last>Piper</b:Last>
            <b:Middle>J</b:Middle>
            <b:First>P</b:First>
          </b:Person>
        </b:NameList>
      </b:Author>
    </b:Author>
    <b:RefOrder>359</b:RefOrder>
  </b:Source>
  <b:Source>
    <b:Tag>Lip18</b:Tag>
    <b:SourceType>JournalArticle</b:SourceType>
    <b:Guid>{98DCB9A3-676B-CC4B-ADB8-B9D1291FBBEF}</b:Guid>
    <b:Title>Acient genomes document multiple waves of migration in Southeast Asian prehistory</b:Title>
    <b:JournalName>Science</b:JournalName>
    <b:Year>2018</b:Year>
    <b:Volume>361</b:Volume>
    <b:Pages>92-95</b:Pages>
    <b:Author>
      <b:Author>
        <b:NameList>
          <b:Person>
            <b:Last>Lipson</b:Last>
            <b:First>M</b:First>
          </b:Person>
          <b:Person>
            <b:Last>Cheronet</b:Last>
            <b:First>O</b:First>
          </b:Person>
          <b:Person>
            <b:Last>Mallick</b:Last>
            <b:First>S</b:First>
          </b:Person>
          <b:Person>
            <b:Last>et al., </b:Last>
          </b:Person>
        </b:NameList>
      </b:Author>
    </b:Author>
    <b:RefOrder>360</b:RefOrder>
  </b:Source>
  <b:Source>
    <b:Tag>Grü05</b:Tag>
    <b:SourceType>JournalArticle</b:SourceType>
    <b:Guid>{4D44049F-9EC7-624A-ACAD-4D06FB4B71F4}</b:Guid>
    <b:Title>U-series and ESR analyses of bones and teeth relating to the human burials from Skhul</b:Title>
    <b:JournalName>Journal of Human Evolution</b:JournalName>
    <b:Year>2005</b:Year>
    <b:Volume>49</b:Volume>
    <b:Issue>3</b:Issue>
    <b:Pages>316-334</b:Pages>
    <b:Author>
      <b:Author>
        <b:NameList>
          <b:Person>
            <b:Last>Grün</b:Last>
            <b:First>R</b:First>
          </b:Person>
          <b:Person>
            <b:Last>Stringer</b:Last>
            <b:First>C</b:First>
          </b:Person>
          <b:Person>
            <b:Last>McDermott</b:Last>
            <b:First>F</b:First>
          </b:Person>
          <b:Person>
            <b:Last>Nathan</b:Last>
            <b:First>R</b:First>
          </b:Person>
          <b:Person>
            <b:Last>Porat</b:Last>
            <b:First>N</b:First>
          </b:Person>
          <b:Person>
            <b:Last>Robertson</b:Last>
            <b:First>S</b:First>
          </b:Person>
          <b:Person>
            <b:Last>Taylor</b:Last>
            <b:First>L</b:First>
          </b:Person>
          <b:Person>
            <b:Last>Mortimer</b:Last>
            <b:First>G</b:First>
          </b:Person>
          <b:Person>
            <b:Last>Eggins</b:Last>
            <b:First>S</b:First>
          </b:Person>
          <b:Person>
            <b:Last>McCulloch</b:Last>
            <b:First>M</b:First>
          </b:Person>
        </b:NameList>
      </b:Author>
    </b:Author>
    <b:RefOrder>361</b:RefOrder>
  </b:Source>
  <b:Source>
    <b:Tag>Har19</b:Tag>
    <b:SourceType>JournalArticle</b:SourceType>
    <b:Guid>{61666B23-0F43-5F4B-A532-B99A43BCF069}</b:Guid>
    <b:Title>Apidima Cave fossils provide earliest evidence of Homo sapiens in Eurasia</b:Title>
    <b:JournalName>Nature</b:JournalName>
    <b:Year>2019</b:Year>
    <b:Volume>571</b:Volume>
    <b:Pages>500-504. https://doi.org/10.1038/s41586-019-1376-z</b:Pages>
    <b:Author>
      <b:Author>
        <b:NameList>
          <b:Person>
            <b:Last>Harvati</b:Last>
            <b:First>K</b:First>
          </b:Person>
          <b:Person>
            <b:Last>Röding</b:Last>
            <b:First>C</b:First>
          </b:Person>
          <b:Person>
            <b:Last>Bosman</b:Last>
            <b:Middle>M</b:Middle>
            <b:First>A</b:First>
          </b:Person>
        </b:NameList>
      </b:Author>
    </b:Author>
    <b:RefOrder>362</b:RefOrder>
  </b:Source>
  <b:Source>
    <b:Tag>Cai17</b:Tag>
    <b:SourceType>JournalArticle</b:SourceType>
    <b:Guid>{9CCDD707-52B6-D24C-AC66-9D88F925A7B0}</b:Guid>
    <b:Title>The age of human remains and associated fauna from Zhiren Cave in Guangxi, southern China</b:Title>
    <b:JournalName>Quaternary International</b:JournalName>
    <b:Year>2017</b:Year>
    <b:Volume>434</b:Volume>
    <b:Issue>Part A</b:Issue>
    <b:Pages>84-91. https://doi.org/10.1016/j.quaint.2015.12.088</b:Pages>
    <b:Author>
      <b:Author>
        <b:NameList>
          <b:Person>
            <b:Last>Cai</b:Last>
            <b:First>Y</b:First>
          </b:Person>
          <b:Person>
            <b:Last>Qiamg</b:Last>
            <b:First>X</b:First>
          </b:Person>
          <b:Person>
            <b:Last>Wang</b:Last>
            <b:First>X</b:First>
          </b:Person>
          <b:Person>
            <b:Last>Jin</b:Last>
            <b:First>C</b:First>
          </b:Person>
          <b:Person>
            <b:Last>Wang</b:Last>
            <b:First>Y</b:First>
          </b:Person>
          <b:Person>
            <b:Last>Trinkaus</b:Last>
            <b:First>E</b:First>
          </b:Person>
          <b:Person>
            <b:Last>An</b:Last>
            <b:First>Z</b:First>
          </b:Person>
        </b:NameList>
      </b:Author>
    </b:Author>
    <b:RefOrder>363</b:RefOrder>
  </b:Source>
  <b:Source>
    <b:Tag>Liu15</b:Tag>
    <b:SourceType>JournalArticle</b:SourceType>
    <b:Guid>{700ED7C1-7249-684D-BA4B-61BA2EF1DBC5}</b:Guid>
    <b:Title>The earliest unequivocally modern humans in southern China</b:Title>
    <b:JournalName>Nature</b:JournalName>
    <b:Year>2015</b:Year>
    <b:Volume>526</b:Volume>
    <b:Pages>696–699. https://doi.org/10.1038/nature15696</b:Pages>
    <b:Author>
      <b:Author>
        <b:NameList>
          <b:Person>
            <b:Last>Liu</b:Last>
            <b:First>W</b:First>
          </b:Person>
          <b:Person>
            <b:Last>Martinón-Torres</b:Last>
            <b:First>M</b:First>
          </b:Person>
          <b:Person>
            <b:Last>Mcai</b:Last>
            <b:First>Y-j</b:First>
          </b:Person>
          <b:Person>
            <b:Last>et al., </b:Last>
          </b:Person>
        </b:NameList>
      </b:Author>
    </b:Author>
    <b:RefOrder>364</b:RefOrder>
  </b:Source>
  <b:Source>
    <b:Tag>Sha18</b:Tag>
    <b:SourceType>JournalArticle</b:SourceType>
    <b:Guid>{89C28456-B430-DF4F-B995-5C7228BE4FEE}</b:Guid>
    <b:Title>Additional evidence for early modern human morphological diversity in Southeast Asia at Tam Pa Ling, Laos</b:Title>
    <b:JournalName>Quaternary International</b:JournalName>
    <b:Year>2018</b:Year>
    <b:Volume>466</b:Volume>
    <b:Issue>Part A</b:Issue>
    <b:Author>
      <b:Author>
        <b:NameList>
          <b:Person>
            <b:Last>Shackelford</b:Last>
            <b:First>L</b:First>
          </b:Person>
          <b:Person>
            <b:Last>Demeter</b:Last>
            <b:First>F</b:First>
          </b:Person>
          <b:Person>
            <b:Last>Westaway</b:Last>
            <b:First>K</b:First>
          </b:Person>
          <b:Person>
            <b:Last>et al., </b:Last>
          </b:Person>
        </b:NameList>
      </b:Author>
    </b:Author>
    <b:Pages>93-106. https://doi.org/10.1016/j.quaint.2016.12.002</b:Pages>
    <b:RefOrder>365</b:RefOrder>
  </b:Source>
  <b:Source>
    <b:Tag>Wes17</b:Tag>
    <b:SourceType>JournalArticle</b:SourceType>
    <b:Guid>{E73CF77D-9442-FE4C-B714-23E9574AEAAF}</b:Guid>
    <b:Title>An early modern human presence in Sumatra 73,000–63,000 years ago</b:Title>
    <b:JournalName>Nature</b:JournalName>
    <b:Year>2017</b:Year>
    <b:Volume>548</b:Volume>
    <b:Pages>322-325. https://doi.org/10.1038/nature23452</b:Pages>
    <b:Author>
      <b:Author>
        <b:NameList>
          <b:Person>
            <b:Last>Westaway</b:Last>
            <b:Middle>E</b:Middle>
            <b:First>K</b:First>
          </b:Person>
          <b:Person>
            <b:Last>Louys</b:Last>
            <b:First>J</b:First>
          </b:Person>
          <b:Person>
            <b:Last>DueAwe</b:Last>
            <b:First>R</b:First>
          </b:Person>
          <b:Person>
            <b:Last>et al., </b:Last>
          </b:Person>
        </b:NameList>
      </b:Author>
    </b:Author>
    <b:RefOrder>366</b:RefOrder>
  </b:Source>
  <b:Source>
    <b:Tag>Ber21</b:Tag>
    <b:SourceType>JournalArticle</b:SourceType>
    <b:Guid>{41801675-D464-ED4E-A7A7-2E6B337AA63F}</b:Guid>
    <b:Title>Origins of midern human ancestry</b:Title>
    <b:JournalName>Nature</b:JournalName>
    <b:Year>2021</b:Year>
    <b:Volume>590</b:Volume>
    <b:Pages>229-237. https://doi.org/10.1038/s41586-021-03244-5</b:Pages>
    <b:Author>
      <b:Author>
        <b:NameList>
          <b:Person>
            <b:Last>Bergström</b:Last>
            <b:First>A</b:First>
          </b:Person>
          <b:Person>
            <b:Last>Stringer</b:Last>
            <b:First>C</b:First>
          </b:Person>
          <b:Person>
            <b:Last>Hajdinjak</b:Last>
            <b:First>M</b:First>
          </b:Person>
          <b:Person>
            <b:Last>Scerri</b:Last>
            <b:Middle>M L</b:Middle>
            <b:First>E</b:First>
          </b:Person>
          <b:Person>
            <b:Last>Skoglund</b:Last>
            <b:First>P</b:First>
          </b:Person>
        </b:NameList>
      </b:Author>
    </b:Author>
    <b:RefOrder>367</b:RefOrder>
  </b:Source>
  <b:Source>
    <b:Tag>JiX16</b:Tag>
    <b:SourceType>JournalArticle</b:SourceType>
    <b:Guid>{549C48A6-DD45-8646-B76B-7AAF40DB9FE9}</b:Guid>
    <b:Title>The oldest Hoabinhian technocomplex in Asia (43.5 ka) at Xiaodong rockshelter, Yunnan Province, southwest China</b:Title>
    <b:JournalName>Quaternary International</b:JournalName>
    <b:Year>2016</b:Year>
    <b:Volume>400</b:Volume>
    <b:Pages>166-174. https://doi.org/10.1016/j.quaint.2015.09.080</b:Pages>
    <b:Author>
      <b:Author>
        <b:NameList>
          <b:Person>
            <b:Last>Ji</b:Last>
            <b:First>X</b:First>
          </b:Person>
          <b:Person>
            <b:Last>Kuman</b:Last>
            <b:First>K</b:First>
          </b:Person>
          <b:Person>
            <b:Last>Clarke</b:Last>
            <b:Middle>J</b:Middle>
            <b:First>R</b:First>
          </b:Person>
          <b:Person>
            <b:Last>Forestier</b:Last>
            <b:First>H</b:First>
          </b:Person>
          <b:Person>
            <b:Last>Li</b:Last>
            <b:First>Y</b:First>
          </b:Person>
          <b:Person>
            <b:Last>Ma</b:Last>
            <b:First>J</b:First>
          </b:Person>
          <b:Person>
            <b:Last>Qiu</b:Last>
            <b:First>K</b:First>
          </b:Person>
          <b:Person>
            <b:Last>Li</b:Last>
            <b:First>H</b:First>
          </b:Person>
          <b:Person>
            <b:Last>Wu</b:Last>
            <b:First>Y</b:First>
          </b:Person>
        </b:NameList>
      </b:Author>
    </b:Author>
    <b:RefOrder>368</b:RefOrder>
  </b:Source>
  <b:Source>
    <b:Tag>Hig13</b:Tag>
    <b:SourceType>JournalArticle</b:SourceType>
    <b:Guid>{C5DDC46C-83BE-C946-AA37-D05A34640158}</b:Guid>
    <b:Title>Hunter-Gatherers in Southeast Asia: From Prehistory to the Present</b:Title>
    <b:JournalName>Human Biology</b:JournalName>
    <b:Year>2013</b:Year>
    <b:Volume>85</b:Volume>
    <b:Issue>1</b:Issue>
    <b:Pages>21-43</b:Pages>
    <b:Author>
      <b:Author>
        <b:NameList>
          <b:Person>
            <b:Last>Higham</b:Last>
            <b:Middle>F W</b:Middle>
            <b:First>C</b:First>
          </b:Person>
        </b:NameList>
      </b:Author>
    </b:Author>
    <b:RefOrder>369</b:RefOrder>
  </b:Source>
  <b:Source>
    <b:Tag>Hig141</b:Tag>
    <b:SourceType>Book</b:SourceType>
    <b:Guid>{C05C8EAD-4571-9B4B-A8AD-2A71CC8CE15D}</b:Guid>
    <b:Title>Early Mainland Sotheast Asia: From First Humans to Angkor</b:Title>
    <b:Year>2014</b:Year>
    <b:Author>
      <b:Author>
        <b:NameList>
          <b:Person>
            <b:Last>Higham</b:Last>
            <b:Middle>F W</b:Middle>
            <b:First>C</b:First>
          </b:Person>
        </b:NameList>
      </b:Author>
    </b:Author>
    <b:City>Bangkok</b:City>
    <b:Publisher>River Books</b:Publisher>
    <b:RefOrder>370</b:RefOrder>
  </b:Source>
  <b:Source>
    <b:Tag>Mol11</b:Tag>
    <b:SourceType>JournalArticle</b:SourceType>
    <b:Guid>{7C64CA31-C4CA-7749-B781-C11CC4871680}</b:Guid>
    <b:Title>Molecular evidence for a single evolutionary origin of domesticated rice</b:Title>
    <b:Year>2011</b:Year>
    <b:JournalName>PNAS</b:JournalName>
    <b:Volume>108</b:Volume>
    <b:Issue>20</b:Issue>
    <b:Pages>8351-8356. https://doi.org/10.1073/pnas.1104686108</b:Pages>
    <b:Author>
      <b:Author>
        <b:NameList>
          <b:Person>
            <b:Last>Molina</b:Last>
            <b:First>J</b:First>
          </b:Person>
          <b:Person>
            <b:Last>Sikora</b:Last>
            <b:First>M</b:First>
          </b:Person>
          <b:Person>
            <b:Last>Garud</b:Last>
            <b:First>N</b:First>
          </b:Person>
          <b:Person>
            <b:Last>et al., </b:Last>
          </b:Person>
        </b:NameList>
      </b:Author>
    </b:Author>
    <b:RefOrder>371</b:RefOrder>
  </b:Source>
  <b:Source>
    <b:Tag>Ful11</b:Tag>
    <b:SourceType>JournalArticle</b:SourceType>
    <b:Guid>{18E58421-B73B-304F-ACFF-D77D6ED18BF5}</b:Guid>
    <b:Title>Oathways to Asian Civilisations; Tracing the Origins and Spread of Rice and Rice Cultures</b:Title>
    <b:JournalName>Rice</b:JournalName>
    <b:Year>2011</b:Year>
    <b:Volume>4</b:Volume>
    <b:Pages>78-92. DOI 10.1007/s12284-011-9078-7</b:Pages>
    <b:Author>
      <b:Author>
        <b:NameList>
          <b:Person>
            <b:Last>Fuller</b:Last>
            <b:Middle>Q</b:Middle>
            <b:First>D</b:First>
          </b:Person>
        </b:NameList>
      </b:Author>
    </b:Author>
    <b:RefOrder>372</b:RefOrder>
  </b:Source>
  <b:Source>
    <b:Tag>Hig21</b:Tag>
    <b:SourceType>JournalArticle</b:SourceType>
    <b:Guid>{5C9A55CF-A1EA-144D-B9E7-761041A0ADC7}</b:Guid>
    <b:Title>The later prehistory of Southeast Asia and southern China: the impact of exchange, farming and metallurgy</b:Title>
    <b:JournalName>Asian Archaeology</b:JournalName>
    <b:Year>2021</b:Year>
    <b:Pages> https://doi.org/10.1007/s41826-021-00040-y</b:Pages>
    <b:Author>
      <b:Author>
        <b:NameList>
          <b:Person>
            <b:Last>Higham</b:Last>
            <b:Middle>F W</b:Middle>
            <b:First>C</b:First>
          </b:Person>
        </b:NameList>
      </b:Author>
    </b:Author>
    <b:RefOrder>373</b:RefOrder>
  </b:Source>
  <b:Source>
    <b:Tag>Oxe06</b:Tag>
    <b:SourceType>Book</b:SourceType>
    <b:Guid>{0DA81CC7-19D6-D24F-B79E-AB245BE04E6E}</b:Guid>
    <b:Title>Bioarchaeology of Southeast Asia</b:Title>
    <b:Year>2006</b:Year>
    <b:City>Cambridge</b:City>
    <b:Publisher>Cambridge University Press</b:Publisher>
    <b:Author>
      <b:Editor>
        <b:NameList>
          <b:Person>
            <b:Last>Oxenham</b:Last>
            <b:First>M</b:First>
          </b:Person>
          <b:Person>
            <b:Last>Tayles</b:Last>
            <b:First>N</b:First>
          </b:Person>
        </b:NameList>
      </b:Editor>
    </b:Author>
    <b:RefOrder>374</b:RefOrder>
  </b:Source>
  <b:Source>
    <b:Tag>Buc15</b:Tag>
    <b:SourceType>Book</b:SourceType>
    <b:Guid>{3DF87D58-1939-2D49-8B98-5E5DAC063730}</b:Guid>
    <b:Title>The Routledge Handbook of Bioarchaeology in Southeast Asia and the Pacific Island</b:Title>
    <b:City>Abingdon</b:City>
    <b:Publisher>Routledge</b:Publisher>
    <b:Year>2015</b:Year>
    <b:Author>
      <b:Editor>
        <b:NameList>
          <b:Person>
            <b:Last>Buckley</b:Last>
            <b:Middle>R</b:Middle>
            <b:First>H</b:First>
          </b:Person>
          <b:Person>
            <b:Last>Oxenham</b:Last>
            <b:First>M</b:First>
          </b:Person>
        </b:NameList>
      </b:Editor>
    </b:Author>
    <b:RefOrder>375</b:RefOrder>
  </b:Source>
  <b:Source>
    <b:Tag>Pie06</b:Tag>
    <b:SourceType>BookSection</b:SourceType>
    <b:Guid>{F93CA482-1013-7B48-8978-047C92D37795}</b:Guid>
    <b:Title>A multivariate craniometric study of the prehistoric and modern inhabitants of Southeast Asia, East Asia, and surrounding regions: a human kaleidoscope?</b:Title>
    <b:City>Cambridge</b:City>
    <b:Publisher>Cambridge University Press</b:Publisher>
    <b:Year>2006</b:Year>
    <b:BookTitle>Bioarchaeology of Southeast Asia</b:BookTitle>
    <b:Pages>59-90</b:Pages>
    <b:Author>
      <b:Author>
        <b:NameList>
          <b:Person>
            <b:Last>Pietrusewsky</b:Last>
            <b:First>M</b:First>
          </b:Person>
        </b:NameList>
      </b:Author>
      <b:Editor>
        <b:NameList>
          <b:Person>
            <b:Last>Oxenham</b:Last>
            <b:First>M</b:First>
          </b:Person>
          <b:Person>
            <b:Last>Tayles</b:Last>
            <b:First>N</b:First>
          </b:Person>
        </b:NameList>
      </b:Editor>
    </b:Author>
    <b:RefOrder>376</b:RefOrder>
  </b:Source>
  <b:Source>
    <b:Tag>Mat17</b:Tag>
    <b:SourceType>BookSection</b:SourceType>
    <b:Guid>{7BAF21E8-31D5-E243-A75B-252363959F8C}</b:Guid>
    <b:Title>The biological history of southeast Asian populations from the Late Pleistocene and Holocene cemtery data</b:Title>
    <b:BookTitle>First Islanders: Prehistory and human migration in island Southeast Asia</b:BookTitle>
    <b:City>Oxford</b:City>
    <b:Publisher>Wiley Blackwell</b:Publisher>
    <b:Year>2017</b:Year>
    <b:Pages>98-106</b:Pages>
    <b:Author>
      <b:Author>
        <b:NameList>
          <b:Person>
            <b:Last>Matsumura</b:Last>
            <b:First>H</b:First>
          </b:Person>
          <b:Person>
            <b:Last>Oxenham</b:Last>
            <b:First>M</b:First>
          </b:Person>
          <b:Person>
            <b:Last>Simanjuntak</b:Last>
            <b:First>T</b:First>
          </b:Person>
          <b:Person>
            <b:Last>Yamagata</b:Last>
            <b:First>M</b:First>
          </b:Person>
        </b:NameList>
      </b:Author>
      <b:Editor>
        <b:NameList>
          <b:Person>
            <b:Last>Bellwood</b:Last>
            <b:First>P</b:First>
          </b:Person>
        </b:NameList>
      </b:Editor>
    </b:Author>
    <b:RefOrder>377</b:RefOrder>
  </b:Source>
  <b:Source>
    <b:Tag>Bel97</b:Tag>
    <b:SourceType>BookSection</b:SourceType>
    <b:Guid>{3CD54093-B67A-DA4B-8C40-E954BD62D4F3}</b:Guid>
    <b:Title>The Hoabinhians and their Island Contemporaries</b:Title>
    <b:BookTitle>Prehistory of the Indo-Malaysian Archipelago</b:BookTitle>
    <b:Publisher>ANU Press</b:Publisher>
    <b:Year>1997</b:Year>
    <b:Pages>155-200. Accessed February 12, 2021. http://www.jstor.org/stable/j.ctt24hf81.9.</b:Pages>
    <b:Author>
      <b:Author>
        <b:NameList>
          <b:Person>
            <b:Last>Bellwood</b:Last>
            <b:First>P</b:First>
          </b:Person>
        </b:NameList>
      </b:Author>
    </b:Author>
    <b:RefOrder>378</b:RefOrder>
  </b:Source>
  <b:Source>
    <b:Tag>Imd17</b:Tag>
    <b:SourceType>JournalArticle</b:SourceType>
    <b:Guid>{234C1140-9CEE-6A43-8C62-42E0E5FD4E5D}</b:Guid>
    <b:Title>The perforated stones of the Doi Pha Kan burials (Northern Thailand): A Mesolithic singularity?</b:Title>
    <b:Year>2017</b:Year>
    <b:Pages>351-361</b:Pages>
    <b:JournalName>Comptes Rendus Palevol</b:JournalName>
    <b:Volume>16</b:Volume>
    <b:Author>
      <b:Author>
        <b:NameList>
          <b:Person>
            <b:Last>Imdirakphol</b:Last>
            <b:First>S</b:First>
          </b:Person>
          <b:Person>
            <b:Last>Zazzo</b:Last>
            <b:First>A</b:First>
          </b:Person>
          <b:Person>
            <b:Last>Auetrakulvit</b:Last>
            <b:First>P</b:First>
          </b:Person>
          <b:Person>
            <b:Last>Tiamtinkrit</b:Last>
            <b:First>C</b:First>
          </b:Person>
          <b:Person>
            <b:Last>Pierret</b:Last>
            <b:First>A</b:First>
          </b:Person>
          <b:Person>
            <b:Last>Forestier</b:Last>
            <b:First>H</b:First>
          </b:Person>
          <b:Person>
            <b:Last>Zeitoun</b:Last>
            <b:First>V</b:First>
          </b:Person>
        </b:NameList>
      </b:Author>
    </b:Author>
    <b:RefOrder>379</b:RefOrder>
  </b:Source>
  <b:Source>
    <b:Tag>Tho80</b:Tag>
    <b:SourceType>JournalArticle</b:SourceType>
    <b:Guid>{CEF50541-F5D2-1A44-8EE0-8B01A401EDEE}</b:Guid>
    <b:Title>Con Moong Cave: A noteworthy archaeological discovery in Vietnam</b:Title>
    <b:JournalName>Asian Perspectives</b:JournalName>
    <b:Year>1980</b:Year>
    <b:Volume>23</b:Volume>
    <b:Issue>1</b:Issue>
    <b:Pages>17-21</b:Pages>
    <b:Author>
      <b:Author>
        <b:NameList>
          <b:Person>
            <b:Last>Thong</b:Last>
            <b:Middle>H</b:Middle>
            <b:First>P</b:First>
          </b:Person>
        </b:NameList>
      </b:Author>
    </b:Author>
    <b:RefOrder>380</b:RefOrder>
  </b:Source>
  <b:Source>
    <b:Tag>Hig971</b:Tag>
    <b:SourceType>BookSection</b:SourceType>
    <b:Guid>{30764B40-AA74-FE40-85AB-BF9F06D2B58B}</b:Guid>
    <b:Title>The Human Burials</b:Title>
    <b:Year>1997</b:Year>
    <b:Pages>369-490</b:Pages>
    <b:BookTitle>The Excavation of Nong Nor: A Prehistoric Site in Central Thailand</b:BookTitle>
    <b:City>Oxford</b:City>
    <b:Publisher>University of Otago and Oxbow Books Ltd</b:Publisher>
    <b:Author>
      <b:Author>
        <b:NameList>
          <b:Person>
            <b:Last>Higham</b:Last>
            <b:Middle>F W</b:Middle>
            <b:First>C</b:First>
          </b:Person>
          <b:Person>
            <b:Last>Thosarat</b:Last>
            <b:First>R</b:First>
          </b:Person>
        </b:NameList>
      </b:Author>
      <b:Editor>
        <b:NameList>
          <b:Person>
            <b:Last>Higham</b:Last>
            <b:First>C</b:First>
            <b:Middle>F W</b:Middle>
          </b:Person>
          <b:Person>
            <b:Last>Thosarat</b:Last>
            <b:First>R</b:First>
          </b:Person>
        </b:NameList>
      </b:Editor>
    </b:Author>
    <b:RefOrder>381</b:RefOrder>
  </b:Source>
  <b:Source>
    <b:Tag>Tay97</b:Tag>
    <b:SourceType>BookSection</b:SourceType>
    <b:Guid>{43F2B27A-43A3-494D-BF5B-2E1FB9C065E7}</b:Guid>
    <b:Title>The People of Nong Nor</b:Title>
    <b:BookTitle>The Excavation of Nong Nor: A Prehistoric Site in Central Thailand</b:BookTitle>
    <b:City>Oxford</b:City>
    <b:Publisher>University of Otago and Oxbow Books Ltd.</b:Publisher>
    <b:Year>1997</b:Year>
    <b:Pages>321-345</b:Pages>
    <b:Author>
      <b:Author>
        <b:NameList>
          <b:Person>
            <b:Last>Tayles</b:Last>
            <b:First>N</b:First>
          </b:Person>
          <b:Person>
            <b:Last>Domett</b:Last>
            <b:First>K</b:First>
          </b:Person>
          <b:Person>
            <b:Last>Hunt</b:Last>
            <b:First>V</b:First>
          </b:Person>
        </b:NameList>
      </b:Author>
      <b:Editor>
        <b:NameList>
          <b:Person>
            <b:Last>Higham</b:Last>
            <b:Middle>F W</b:Middle>
            <b:First>C</b:First>
          </b:Person>
          <b:Person>
            <b:Last>Thosarat</b:Last>
            <b:First>K</b:First>
          </b:Person>
        </b:NameList>
      </b:Editor>
    </b:Author>
    <b:RefOrder>382</b:RefOrder>
  </b:Source>
  <b:Source>
    <b:Tag>Boy97</b:Tag>
    <b:SourceType>BookSection</b:SourceType>
    <b:Guid>{FCEB73E1-7AEE-9B47-83B1-D1C075D2B14A}</b:Guid>
    <b:Title>A Statistical Analysis of the Burials</b:Title>
    <b:Year>1997</b:Year>
    <b:Volume>Monographs in Prehistoric Anthropology No. 18</b:Volume>
    <b:City>Oxford</b:City>
    <b:Publisher>University of Otago and Oxbow Books Ltd</b:Publisher>
    <b:Author>
      <b:Author>
        <b:NameList>
          <b:Person>
            <b:Last>Higham</b:Last>
            <b:Middle>F W</b:Middle>
            <b:First>C</b:First>
          </b:Person>
          <b:Person>
            <b:Last>Debreceny</b:Last>
            <b:First>J</b:First>
          </b:Person>
          <b:Person>
            <b:Last>Manly</b:Last>
            <b:Middle>F J</b:Middle>
            <b:First>B</b:First>
          </b:Person>
        </b:NameList>
      </b:Author>
      <b:Editor>
        <b:NameList>
          <b:Person>
            <b:Last>Higham</b:Last>
            <b:Middle>F W</b:Middle>
            <b:First>C</b:First>
          </b:Person>
          <b:Person>
            <b:Last>Thosarat</b:Last>
            <b:First>R</b:First>
          </b:Person>
        </b:NameList>
      </b:Editor>
    </b:Author>
    <b:BookTitle>The Excavation of Nong Nor: A Prehistoric Site in Central Thailand</b:BookTitle>
    <b:Pages>491-508</b:Pages>
    <b:RefOrder>383</b:RefOrder>
  </b:Source>
  <b:Source>
    <b:Tag>Hig142</b:Tag>
    <b:SourceType>JournalArticle</b:SourceType>
    <b:Guid>{22F59434-6C3C-EB41-9C09-E8538867544B}</b:Guid>
    <b:Title>The Excavation of Non Ban Jak, Northeast Thailand. - A report on the first three seasons</b:Title>
    <b:Year>2014</b:Year>
    <b:Pages>1-41</b:Pages>
    <b:JournalName>Journal of Indo-Pacific Archaeology</b:JournalName>
    <b:Volume>34</b:Volume>
    <b:Author>
      <b:Author>
        <b:NameList>
          <b:Person>
            <b:Last>Higham</b:Last>
            <b:Middle>F W</b:Middle>
            <b:First>C</b:First>
          </b:Person>
          <b:Person>
            <b:Last>Cameron</b:Last>
            <b:First>J</b:First>
          </b:Person>
          <b:Person>
            <b:Last>Chang</b:Last>
            <b:First>N</b:First>
          </b:Person>
          <b:Person>
            <b:Last>Castillo</b:Last>
            <b:First>C</b:First>
          </b:Person>
          <b:Person>
            <b:Last>Halcrow</b:Last>
            <b:First>S</b:First>
          </b:Person>
          <b:Person>
            <b:Last>O'Reilly</b:Last>
            <b:First>D</b:First>
          </b:Person>
          <b:Person>
            <b:Last>Oetchey</b:Last>
            <b:First>F</b:First>
          </b:Person>
          <b:Person>
            <b:Last>Shewan</b:Last>
            <b:First>L</b:First>
          </b:Person>
        </b:NameList>
      </b:Author>
    </b:Author>
    <b:RefOrder>384</b:RefOrder>
  </b:Source>
  <b:Source>
    <b:Tag>Ped19</b:Tag>
    <b:SourceType>JournalArticle</b:SourceType>
    <b:Guid>{343EB54B-E754-9B47-806B-EE6A286F2517}</b:Guid>
    <b:Title>A Bioarchaeological Study of Trauma at Late Iron Age to Protohistoric Non Ban Jak, Northeast Thailand</b:Title>
    <b:JournalName>Asian Perspectives</b:JournalName>
    <b:Year>2019</b:Year>
    <b:Volume>58</b:Volume>
    <b:Issue>2</b:Issue>
    <b:Pages>220-249</b:Pages>
    <b:Author>
      <b:Author>
        <b:NameList>
          <b:Person>
            <b:Last>Pedersen</b:Last>
            <b:Middle>T</b:Middle>
            <b:First>L</b:First>
          </b:Person>
          <b:Person>
            <b:Last>Domett</b:Last>
            <b:First>K</b:First>
          </b:Person>
          <b:Person>
            <b:Last>Chang</b:Last>
            <b:Middle>J</b:Middle>
            <b:First>N</b:First>
          </b:Person>
          <b:Person>
            <b:Last>Halcrow</b:Last>
            <b:Middle>E</b:Middle>
            <b:First>S</b:First>
          </b:Person>
          <b:Person>
            <b:Last>Buckley</b:Last>
            <b:Middle>R</b:Middle>
            <b:First>H</b:First>
          </b:Person>
          <b:Person>
            <b:Last>Higham</b:Last>
            <b:Middle>F W</b:Middle>
            <b:First>C</b:First>
          </b:Person>
          <b:Person>
            <b:Last>O'Reilly</b:Last>
            <b:Middle>J W</b:Middle>
            <b:First>D</b:First>
          </b:Person>
          <b:Person>
            <b:Last>Shewan</b:Last>
            <b:First>L</b:First>
          </b:Person>
        </b:NameList>
      </b:Author>
    </b:Author>
    <b:RefOrder>385</b:RefOrder>
  </b:Source>
  <b:Source>
    <b:Tag>Higep</b:Tag>
    <b:SourceType>BookSection</b:SourceType>
    <b:Guid>{0BE2F965-F7E2-B34D-911B-547BEB03BC74}</b:Guid>
    <b:Title>The Western Mound: The Cultural Sequence</b:Title>
    <b:Year>in prep</b:Year>
    <b:Pages>209-527</b:Pages>
    <b:Author>
      <b:Author>
        <b:NameList>
          <b:Person>
            <b:Last>Higham</b:Last>
            <b:Middle>F W</b:Middle>
            <b:First>C</b:First>
          </b:Person>
        </b:NameList>
      </b:Author>
      <b:Editor>
        <b:NameList>
          <b:Person>
            <b:Last>Higham</b:Last>
            <b:Middle>F W</b:Middle>
            <b:First>C</b:First>
          </b:Person>
          <b:Person>
            <b:Last>et al., </b:Last>
          </b:Person>
        </b:NameList>
      </b:Editor>
    </b:Author>
    <b:BookTitle>The Excavation of Ban Non Wat</b:BookTitle>
    <b:RefOrder>386</b:RefOrder>
  </b:Source>
  <b:Source>
    <b:Tag>Bucep</b:Tag>
    <b:SourceType>BookSection</b:SourceType>
    <b:Guid>{4538C817-BC84-FA47-99B4-C93D892BBFE1}</b:Guid>
    <b:Title>An initial report on health and disease at Non Ban Jak</b:Title>
    <b:BookTitle>The Excavation of Non Ban Jak</b:BookTitle>
    <b:Year>in prep</b:Year>
    <b:Pages>464-</b:Pages>
    <b:Author>
      <b:Editor>
        <b:NameList>
          <b:Person>
            <b:Last>Higham</b:Last>
            <b:Middle>F W</b:Middle>
            <b:First>C</b:First>
          </b:Person>
          <b:Person>
            <b:Last>et al., </b:Last>
          </b:Person>
        </b:NameList>
      </b:Editor>
      <b:Author>
        <b:NameList>
          <b:Person>
            <b:Last>Buckley</b:Last>
            <b:First>H</b:First>
          </b:Person>
          <b:Person>
            <b:Last>Domett</b:Last>
            <b:First>K</b:First>
          </b:Person>
          <b:Person>
            <b:Last>Halcrow</b:Last>
            <b:First>S</b:First>
          </b:Person>
          <b:Person>
            <b:Last>Pedersen</b:Last>
            <b:First>L</b:First>
          </b:Person>
          <b:Person>
            <b:Last>Ward</b:Last>
            <b:First>S</b:First>
          </b:Person>
          <b:Person>
            <b:Last>Ling</b:Last>
            <b:First>N</b:First>
          </b:Person>
          <b:Person>
            <b:Last>O'Reilly</b:Last>
            <b:First>D</b:First>
          </b:Person>
          <b:Person>
            <b:Last>Shewan</b:Last>
            <b:First>L</b:First>
          </b:Person>
        </b:NameList>
      </b:Author>
    </b:Author>
    <b:RefOrder>387</b:RefOrder>
  </b:Source>
  <b:Source>
    <b:Tag>Hal16</b:Tag>
    <b:SourceType>BookSection</b:SourceType>
    <b:Guid>{F0436BA6-BFC6-D64D-9D00-491CA3700310}</b:Guid>
    <b:Title>Infant and child health and disease with agricultural intensification in mainland Southeast Asia</b:Title>
    <b:BookTitle>The Routledge Handbook of Bioarchaeology in Southeast Asia and the Pacific Islands</b:BookTitle>
    <b:City>London</b:City>
    <b:Publisher>Routledge</b:Publisher>
    <b:Year>2016</b:Year>
    <b:Pages>158-186</b:Pages>
    <b:Author>
      <b:Author>
        <b:NameList>
          <b:Person>
            <b:Last>Halcrow</b:Last>
            <b:Middle>E</b:Middle>
            <b:First>S</b:First>
          </b:Person>
          <b:Person>
            <b:Last>Tayles</b:Last>
            <b:First>N</b:First>
          </b:Person>
          <b:Person>
            <b:Last>King</b:Last>
            <b:Middle>L</b:Middle>
            <b:First>C</b:First>
          </b:Person>
        </b:NameList>
      </b:Author>
      <b:Editor>
        <b:NameList>
          <b:Person>
            <b:Last>Oxenham</b:Last>
            <b:First>M</b:First>
          </b:Person>
          <b:Person>
            <b:Last>Buckley</b:Last>
            <b:First>H</b:First>
          </b:Person>
        </b:NameList>
      </b:Editor>
    </b:Author>
    <b:RefOrder>388</b:RefOrder>
  </b:Source>
  <b:Source>
    <b:Tag>Hig111</b:Tag>
    <b:SourceType>JournalArticle</b:SourceType>
    <b:Guid>{F852018C-9956-7340-8042-402356FD4C2A}</b:Guid>
    <b:Title>The Bronze Age of Southeast Asia: new insight on social change from Ban Non Wat</b:Title>
    <b:Year>2011</b:Year>
    <b:Pages>365-389</b:Pages>
    <b:JournalName>Cambridge Archaeological Journal </b:JournalName>
    <b:Volume>21</b:Volume>
    <b:Issue>3</b:Issue>
    <b:Author>
      <b:Author>
        <b:NameList>
          <b:Person>
            <b:Last>Higham</b:Last>
            <b:Middle>F W</b:Middle>
            <b:First>C</b:First>
          </b:Person>
        </b:NameList>
      </b:Author>
    </b:Author>
    <b:RefOrder>389</b:RefOrder>
  </b:Source>
  <b:Source>
    <b:Tag>Kin13</b:Tag>
    <b:SourceType>JournalArticle</b:SourceType>
    <b:Guid>{585A38B5-714F-8B4B-BE9B-2AB34EAF9D7F}</b:Guid>
    <b:Title>Moving peoples, changin diets: isotopic differences highlight migration and subsistence changes in the Upper Mun River Valley, Thailand</b:Title>
    <b:JournalName>Journal of Archaeological Science</b:JournalName>
    <b:Year>2013</b:Year>
    <b:Volume>40</b:Volume>
    <b:Issue>4</b:Issue>
    <b:Pages>1681-1688. https://doi.org/10.1016/j.jas.2012.11.013</b:Pages>
    <b:Author>
      <b:Author>
        <b:NameList>
          <b:Person>
            <b:Last>King</b:Last>
            <b:Middle>L</b:Middle>
            <b:First>C</b:First>
          </b:Person>
          <b:Person>
            <b:Last>Bentley</b:Last>
            <b:First>A</b:First>
          </b:Person>
          <b:Person>
            <b:Last>Tayles</b:Last>
            <b:First>N</b:First>
          </b:Person>
          <b:Person>
            <b:Last>Vidardóttir</b:Last>
            <b:Middle>S</b:Middle>
            <b:First>U</b:First>
          </b:Person>
          <b:Person>
            <b:Last>Nowell</b:Last>
            <b:First>G</b:First>
          </b:Person>
          <b:Person>
            <b:Last>Macpherson</b:Last>
            <b:Middle>G</b:Middle>
            <b:First>C</b:First>
          </b:Person>
        </b:NameList>
      </b:Author>
    </b:Author>
    <b:RefOrder>390</b:RefOrder>
  </b:Source>
  <b:Source>
    <b:Tag>Kin131</b:Tag>
    <b:SourceType>BookSection</b:SourceType>
    <b:Guid>{518F47BF-EB83-2540-BC72-44A906850E77}</b:Guid>
    <b:Title>Social Organisation in the Prehistoric Mun River Valley: The story from the isotopes at Ban NonWat</b:Title>
    <b:Year>2013</b:Year>
    <b:Pages>143-165</b:Pages>
    <b:Author>
      <b:Author>
        <b:NameList>
          <b:Person>
            <b:Last>King</b:Last>
            <b:First>C</b:First>
          </b:Person>
        </b:NameList>
      </b:Author>
      <b:Editor>
        <b:NameList>
          <b:Person>
            <b:Last>King</b:Last>
            <b:First>C</b:First>
          </b:Person>
          <b:Person>
            <b:Last>Bentley</b:Last>
            <b:First>A</b:First>
          </b:Person>
          <b:Person>
            <b:Last>Viðarsdóttir</b:Last>
            <b:Middle>S</b:Middle>
            <b:First>U</b:First>
          </b:Person>
          <b:Person>
            <b:Last>Tayles</b:Last>
            <b:Middle>G</b:Middle>
            <b:First>N</b:First>
          </b:Person>
          <b:Person>
            <b:Last>Nowell</b:Last>
            <b:First>G</b:First>
          </b:Person>
          <b:Person>
            <b:Last>Macpherson</b:Last>
            <b:Middle>G</b:Middle>
            <b:First>C</b:First>
          </b:Person>
        </b:NameList>
      </b:Editor>
    </b:Author>
    <b:BookTitle>Social Organisation in the Prehistoric Mun River Valley, Thailand</b:BookTitle>
    <b:City>Doctoral Thesis</b:City>
    <b:Publisher>University of Durham</b:Publisher>
    <b:RefOrder>391</b:RefOrder>
  </b:Source>
  <b:Source>
    <b:Tag>Hig09</b:Tag>
    <b:SourceType>JournalArticle</b:SourceType>
    <b:Guid>{69095FD9-E22D-154E-8529-CC8F0BF5A5C4}</b:Guid>
    <b:Title>A new chronological framework for prehistoric Southeast Asia, based on a Bayesian model from Ban Non Wat</b:Title>
    <b:Year>2009</b:Year>
    <b:Pages>125-144</b:Pages>
    <b:JournalName>Antiquity</b:JournalName>
    <b:Volume>83</b:Volume>
    <b:Author>
      <b:Author>
        <b:NameList>
          <b:Person>
            <b:Last>Higham</b:Last>
            <b:Middle>F W</b:Middle>
            <b:First>C</b:First>
          </b:Person>
          <b:Person>
            <b:Last>Higham</b:Last>
            <b:First>T</b:First>
          </b:Person>
        </b:NameList>
      </b:Author>
    </b:Author>
    <b:RefOrder>392</b:RefOrder>
  </b:Source>
  <b:Source>
    <b:Tag>Wil09</b:Tag>
    <b:SourceType>JournalArticle</b:SourceType>
    <b:Guid>{2902992B-2124-8D47-8A72-7C81F834E832}</b:Guid>
    <b:Title>Field Anthropology: application to burial conexts in prehistoric Southeast Asia.</b:Title>
    <b:JournalName>Journal of Archaeological Science</b:JournalName>
    <b:Year>2009</b:Year>
    <b:Volume>36</b:Volume>
    <b:Pages>547-554</b:Pages>
    <b:Author>
      <b:Author>
        <b:NameList>
          <b:Person>
            <b:Last>Willis</b:Last>
            <b:First>A</b:First>
          </b:Person>
          <b:Person>
            <b:Last>Tayles</b:Last>
            <b:First>N</b:First>
          </b:Person>
        </b:NameList>
      </b:Author>
    </b:Author>
    <b:RefOrder>393</b:RefOrder>
  </b:Source>
  <b:Source>
    <b:Tag>Har12</b:Tag>
    <b:SourceType>JournalArticle</b:SourceType>
    <b:Guid>{311BF002-4094-2A4E-9218-456BEAB1ABBD}</b:Guid>
    <b:Title>Burial containers - A hidden aspect of mortuary practices: Archaeothanatology at Ban NonWat, Thailand</b:Title>
    <b:JournalName>Journal of Anthropological Archaeology</b:JournalName>
    <b:Year>2012</b:Year>
    <b:Volume>31</b:Volume>
    <b:Issue>2</b:Issue>
    <b:Pages>227-239</b:Pages>
    <b:Author>
      <b:Author>
        <b:NameList>
          <b:Person>
            <b:Last>Harris</b:Last>
            <b:Middle>J</b:Middle>
            <b:First>N</b:First>
          </b:Person>
          <b:Person>
            <b:Last>Tayles</b:Last>
            <b:First>N</b:First>
          </b:Person>
        </b:NameList>
      </b:Author>
    </b:Author>
    <b:RefOrder>394</b:RefOrder>
  </b:Source>
  <b:Source>
    <b:Tag>Bri172</b:Tag>
    <b:SourceType>InternetSite</b:SourceType>
    <b:Guid>{3B0FA056-F5E9-584E-A629-FDCD3D71A33B}</b:Guid>
    <b:Author>
      <b:Author>
        <b:Corporate>Britannica</b:Corporate>
      </b:Author>
    </b:Author>
    <b:Title>The quality of life for Indigenous Australians in the 21st century. Encyclopedia Britannica.</b:Title>
    <b:Publisher>Britanica</b:Publisher>
    <b:Year>2017</b:Year>
    <b:URL>https://www.britannica.com/topic/The-quality-of-life-for-Indigenous-Australians-in-the-21st-century-2109242</b:URL>
    <b:YearAccessed>2021</b:YearAccessed>
    <b:MonthAccessed>01</b:MonthAccessed>
    <b:DayAccessed>26</b:DayAccessed>
    <b:RefOrder>395</b:RefOrder>
  </b:Source>
  <b:Source>
    <b:Tag>Bin11</b:Tag>
    <b:SourceType>Book</b:SourceType>
    <b:Guid>{8DEAD5BC-96EA-6D40-AECB-C419CEBF9176}</b:Guid>
    <b:Title>Rätsel der Steinzeit zwischen Donau und Alpen</b:Title>
    <b:Year>2011</b:Year>
    <b:City>Linz</b:City>
    <b:Publisher>Linzer Archäologische Forschungen 41</b:Publisher>
    <b:Author>
      <b:Author>
        <b:NameList>
          <b:Person>
            <b:Last>Binsteiner</b:Last>
            <b:First>A</b:First>
          </b:Person>
        </b:NameList>
      </b:Author>
    </b:Author>
    <b:RefOrder>396</b:RefOrder>
  </b:Source>
  <b:Source>
    <b:Tag>Amb98</b:Tag>
    <b:SourceType>JournalArticle</b:SourceType>
    <b:Guid>{53002FCD-8CA1-3248-A5E9-1618F3120F3E}</b:Guid>
    <b:Title>Chronology of the Later Stone Age and food production in East Africa</b:Title>
    <b:JournalName>Journal of Archaeological Science</b:JournalName>
    <b:Year>1998</b:Year>
    <b:Volume>25</b:Volume>
    <b:Pages>377-392</b:Pages>
    <b:Author>
      <b:Author>
        <b:NameList>
          <b:Person>
            <b:Last>Ambrose</b:Last>
            <b:Middle>H</b:Middle>
            <b:First>S</b:First>
          </b:Person>
        </b:NameList>
      </b:Author>
    </b:Author>
    <b:RefOrder>397</b:RefOrder>
  </b:Source>
  <b:Source>
    <b:Tag>dEr12</b:Tag>
    <b:SourceType>JournalArticle</b:SourceType>
    <b:Guid>{D06928CF-8EEB-B04C-BA22-D0D3E3D6033F}</b:Guid>
    <b:Title>Early evidence of San material culture represented by organic artfacts from Border Cave, South Africa</b:Title>
    <b:Year>2012</b:Year>
    <b:JournalName>PNAS</b:JournalName>
    <b:Volume>109</b:Volume>
    <b:Pages>13214-13219</b:Pages>
    <b:Author>
      <b:Author>
        <b:NameList>
          <b:Person>
            <b:Last>d'Errico</b:Last>
            <b:First>F</b:First>
          </b:Person>
          <b:Person>
            <b:Last>Blackwell</b:Last>
            <b:First>L</b:First>
            <b:Middle>R</b:Middle>
          </b:Person>
          <b:Person>
            <b:Last>Villa</b:Last>
            <b:First>L</b:First>
            <b:Middle>R</b:Middle>
          </b:Person>
          <b:Person>
            <b:Last>Degano</b:Last>
            <b:First>P</b:First>
          </b:Person>
          <b:Person>
            <b:Last>Lucejko</b:Last>
            <b:First>J</b:First>
          </b:Person>
          <b:Person>
            <b:Last>Bamford</b:Last>
            <b:First>M</b:First>
          </b:Person>
          <b:Person>
            <b:Last>Higham</b:Last>
            <b:First>T</b:First>
          </b:Person>
          <b:Person>
            <b:Last>Colombini</b:Last>
            <b:First>M</b:First>
            <b:Middle>P</b:Middle>
          </b:Person>
          <b:Person>
            <b:Last>Beaumont</b:Last>
            <b:First>P</b:First>
          </b:Person>
        </b:NameList>
      </b:Author>
    </b:Author>
    <b:RefOrder>398</b:RefOrder>
  </b:Source>
  <b:Source>
    <b:Tag>Rom15</b:Tag>
    <b:SourceType>JournalArticle</b:SourceType>
    <b:Guid>{A4EAC22C-D842-D640-8A6C-923C56F93A5F}</b:Guid>
    <b:Title>Analysis of the red ochre of the El Mirón burial (Ramales de la Victoria Cantabria, Spain)</b:Title>
    <b:JournalName>Journal of Archaeological Science</b:JournalName>
    <b:Year>2015</b:Year>
    <b:Volume>60</b:Volume>
    <b:Pages>84-98</b:Pages>
    <b:Author>
      <b:Author>
        <b:NameList>
          <b:Person>
            <b:Last>Román</b:Last>
            <b:First>R</b:First>
            <b:Middle>S</b:Middle>
          </b:Person>
          <b:Person>
            <b:Last>Bañón</b:Last>
            <b:First>C</b:First>
            <b:Middle>B</b:Middle>
          </b:Person>
          <b:Person>
            <b:Last>Ruiz</b:Last>
            <b:First>M</b:First>
            <b:Middle>D L</b:Middle>
          </b:Person>
        </b:NameList>
      </b:Author>
    </b:Author>
    <b:RefOrder>399</b:RefOrder>
  </b:Source>
  <b:Source>
    <b:Tag>Stu16</b:Tag>
    <b:SourceType>JournalArticle</b:SourceType>
    <b:Guid>{43B9F528-4F95-0741-A7E1-0D6D71F5F1B6}</b:Guid>
    <b:Title>Distrubing the dead. Archaeothanatological analysis of the stone age burials at Zvejnieki, Latvia</b:Title>
    <b:Year>2016</b:Year>
    <b:Pages>716-725</b:Pages>
    <b:JournalName>Journal of Archaeological Science: Reports</b:JournalName>
    <b:Volume>10</b:Volume>
    <b:Author>
      <b:Author>
        <b:NameList>
          <b:Person>
            <b:Last>Stutz</b:Last>
            <b:Middle>N</b:Middle>
            <b:First>L</b:First>
          </b:Person>
          <b:Person>
            <b:Last>Larsson</b:Last>
            <b:First>L</b:First>
          </b:Person>
        </b:NameList>
      </b:Author>
    </b:Author>
    <b:RefOrder>400</b:RefOrder>
  </b:Source>
  <b:Source>
    <b:Tag>Lar17</b:Tag>
    <b:SourceType>JournalArticle</b:SourceType>
    <b:Guid>{648F3890-86A6-1846-B0DD-F34A19D40DF3}</b:Guid>
    <b:Title>New Aspects of the Meolithic-Neolithic cemeteries and Settlement at Zveknieki, Northern Latvia</b:Title>
    <b:JournalName>Acta Archaeologica</b:JournalName>
    <b:Year>2017</b:Year>
    <b:Volume>88</b:Volume>
    <b:Issue>1</b:Issue>
    <b:Pages>57-93</b:Pages>
    <b:Author>
      <b:Author>
        <b:NameList>
          <b:Person>
            <b:Last>Larsson</b:Last>
            <b:First>L</b:First>
          </b:Person>
          <b:Person>
            <b:Last>Nilsson</b:Last>
            <b:Middle>L</b:Middle>
            <b:First>Stutz</b:First>
          </b:Person>
          <b:Person>
            <b:Last>Zagorska</b:Last>
            <b:First>I</b:First>
          </b:Person>
          <b:Person>
            <b:Last>Bērzinš</b:Last>
            <b:First>V</b:First>
          </b:Person>
          <b:Person>
            <b:Last>Cerina</b:Last>
            <b:First>A</b:First>
          </b:Person>
        </b:NameList>
      </b:Author>
    </b:Author>
    <b:RefOrder>401</b:RefOrder>
  </b:Source>
  <b:Source>
    <b:Tag>Rät95</b:Tag>
    <b:SourceType>JournalArticle</b:SourceType>
    <b:Guid>{856D46A4-8205-BF4F-BE6C-65AB422BE748}</b:Guid>
    <b:Title>The red ochre graves of Vaateranta in Taipalsaari</b:Title>
    <b:JournalName>Fennoscandia archaeologia XII</b:JournalName>
    <b:Year>1995</b:Year>
    <b:Author>
      <b:Author>
        <b:NameList>
          <b:Person>
            <b:Last>Räty</b:Last>
            <b:First>J</b:First>
          </b:Person>
        </b:NameList>
      </b:Author>
    </b:Author>
    <b:RefOrder>402</b:RefOrder>
  </b:Source>
  <b:Source>
    <b:Tag>Mök13</b:Tag>
    <b:SourceType>JournalArticle</b:SourceType>
    <b:Guid>{663C9153-5910-7E45-A57B-B3B9AD5AE2EA}</b:Guid>
    <b:Title>Stone setting filled with red ochre from the Keelaharju site, nothernmost Baltic sea region: A Stone Age grave in the context of north European burial traditions</b:Title>
    <b:JournalName>Fennoscandia archaeologica XXX</b:JournalName>
    <b:Year>2013</b:Year>
    <b:Pages>13-36</b:Pages>
    <b:Author>
      <b:Author>
        <b:NameList>
          <b:Person>
            <b:Last>Mökkönen</b:Last>
            <b:First>T</b:First>
          </b:Person>
        </b:NameList>
      </b:Author>
    </b:Author>
    <b:RefOrder>403</b:RefOrder>
  </b:Source>
  <b:Source>
    <b:Tag>Ric19</b:Tag>
    <b:SourceType>JournalArticle</b:SourceType>
    <b:Guid>{CE5B8C29-5CD8-124B-9508-FF124D2ABE45}</b:Guid>
    <b:Title>Ochre, Ground Stone, and Wrapping the Dead in the Later Epipalaeolithic (Natufian) Levant: Revealing the Funerary Practices at Shubayqa 1, Jordan</b:Title>
    <b:JournalName>Journal of Field Archaeology</b:JournalName>
    <b:Year>2019</b:Year>
    <b:Volume>44</b:Volume>
    <b:Issue>7</b:Issue>
    <b:Pages>440-457. DOI: 10.1080/00934690.2019.1645546</b:Pages>
    <b:Author>
      <b:Author>
        <b:NameList>
          <b:Person>
            <b:Last>Richter</b:Last>
            <b:First>T</b:First>
          </b:Person>
          <b:Person>
            <b:Last>Bocaege</b:Last>
            <b:First>E</b:First>
          </b:Person>
          <b:Person>
            <b:Last>Ilsøe</b:Last>
            <b:First>P</b:First>
          </b:Person>
          <b:Person>
            <b:Last>Ruter</b:Last>
            <b:First>A</b:First>
          </b:Person>
          <b:Person>
            <b:Last>Pantos</b:Last>
            <b:First>A</b:First>
          </b:Person>
          <b:Person>
            <b:Last>Pedersen</b:Last>
            <b:First>P</b:First>
          </b:Person>
          <b:Person>
            <b:Last>Yeomans</b:Last>
            <b:First>L</b:First>
          </b:Person>
        </b:NameList>
      </b:Author>
    </b:Author>
    <b:RefOrder>404</b:RefOrder>
  </b:Source>
  <b:Source>
    <b:Tag>van19</b:Tag>
    <b:SourceType>JournalArticle</b:SourceType>
    <b:Guid>{F2873F84-4D07-2B40-B9A0-BFDE00DB6081}</b:Guid>
    <b:Title>A multianalytical approach for identifying a manganese source for the black pigment of the Chinchorro mortuary palette</b:Title>
    <b:JournalName>Geoarchaeology</b:JournalName>
    <b:Year>2019</b:Year>
    <b:Volume>34</b:Volume>
    <b:Issue>3</b:Issue>
    <b:Pages>322-335. https://doi-org.ezp.lib.cam.ac.uk/10.1002/gea.21713</b:Pages>
    <b:Author>
      <b:Author>
        <b:NameList>
          <b:Person>
            <b:Last>van Hoesen</b:Last>
            <b:First>J</b:First>
          </b:Person>
          <b:Person>
            <b:Last>Arriaza</b:Last>
            <b:First>B</b:First>
          </b:Person>
          <b:Person>
            <b:Last>Ryan</b:Last>
            <b:First>P</b:First>
          </b:Person>
          <b:Person>
            <b:Last>Grady</b:Last>
            <b:First>C</b:First>
          </b:Person>
        </b:NameList>
      </b:Author>
    </b:Author>
    <b:RefOrder>405</b:RefOrder>
  </b:Source>
  <b:Source>
    <b:Tag>Dua99</b:Tag>
    <b:SourceType>JournalArticle</b:SourceType>
    <b:Guid>{EC813EEA-956E-D04E-BE2C-B702DDE4FC44}</b:Guid>
    <b:Title>The early Upper Paleolithic human skeleton from the Abrigo do Lagar Velho (Portugal) and modern human emergence in Iberia</b:Title>
    <b:JournalName>PNAS</b:JournalName>
    <b:Year>1999</b:Year>
    <b:Volume>96</b:Volume>
    <b:Pages>7604-7609</b:Pages>
    <b:Author>
      <b:Author>
        <b:NameList>
          <b:Person>
            <b:Last>Duarte</b:Last>
            <b:First>C</b:First>
          </b:Person>
          <b:Person>
            <b:Last>Maurício</b:Last>
            <b:First>J</b:First>
          </b:Person>
          <b:Person>
            <b:Last>Pettitt</b:Last>
            <b:Middle>B</b:Middle>
            <b:First>P</b:First>
          </b:Person>
          <b:Person>
            <b:Last>Souto</b:Last>
            <b:First>P</b:First>
          </b:Person>
          <b:Person>
            <b:Last>Trinkaus</b:Last>
            <b:First>E</b:First>
          </b:Person>
          <b:Person>
            <b:Last>van der Plicht</b:Last>
            <b:First>H</b:First>
          </b:Person>
          <b:Person>
            <b:Last>Zilhão</b:Last>
            <b:First>J</b:First>
          </b:Person>
        </b:NameList>
      </b:Author>
    </b:Author>
    <b:RefOrder>406</b:RefOrder>
  </b:Source>
  <b:Source>
    <b:Tag>Zil05</b:Tag>
    <b:SourceType>BookSection</b:SourceType>
    <b:Guid>{D000BD33-EE44-DF42-9A20-27C7B468D289}</b:Guid>
    <b:Title>Burial Evidence for the Social Differentiation of Age Classes is the Early Upper Palaeolithic</b:Title>
    <b:Year>2005</b:Year>
    <b:Pages>231-241</b:Pages>
    <b:Author>
      <b:Author>
        <b:NameList>
          <b:Person>
            <b:Last>Zilhão</b:Last>
            <b:First>J</b:First>
          </b:Person>
        </b:NameList>
      </b:Author>
      <b:Editor>
        <b:NameList>
          <b:Person>
            <b:Last>Vialou</b:Last>
            <b:First>D</b:First>
          </b:Person>
          <b:Person>
            <b:Last>Renault-Miskovsky</b:Last>
            <b:First>J</b:First>
          </b:Person>
          <b:Person>
            <b:Last>Patou-Mathis</b:Last>
          </b:Person>
        </b:NameList>
      </b:Editor>
    </b:Author>
    <b:BookTitle>Comportements des Hommes du Paléolithique Moyen et Supérieur en Europe. Acts du Colloque du G.D. R. 1945 du CNRS, Paris, 8-10 Janvier 2003</b:BookTitle>
    <b:City>Liége</b:City>
    <b:Publisher>ERAUL 111</b:Publisher>
    <b:RefOrder>407</b:RefOrder>
  </b:Source>
  <b:Source>
    <b:Tag>Kac20</b:Tag>
    <b:SourceType>JournalArticle</b:SourceType>
    <b:Guid>{208379BD-FD9E-614A-95FF-BC89FD4BA078}</b:Guid>
    <b:Title>Complex mortuary dynamics in the Upper Palaeolithic of the decorated Grotte de Cussac, France</b:Title>
    <b:Year>2020</b:Year>
    <b:Pages>14851-14856. www.pnas.org/cgi/doi/10.1073/pnas.2005242117</b:Pages>
    <b:JournalName>PNAS</b:JournalName>
    <b:Volume>117</b:Volume>
    <b:Issue>26</b:Issue>
    <b:Author>
      <b:Author>
        <b:NameList>
          <b:Person>
            <b:Last>Kacki</b:Last>
            <b:First>S</b:First>
          </b:Person>
          <b:Person>
            <b:Last>Trinkaus</b:Last>
            <b:First>E</b:First>
          </b:Person>
          <b:Person>
            <b:Last>Schotsmans</b:Last>
            <b:Middle>M J</b:Middle>
            <b:First>E</b:First>
          </b:Person>
          <b:Person>
            <b:Last>Courtaud</b:Last>
            <b:Middle>Dori</b:Middle>
            <b:First>P</b:First>
          </b:Person>
          <b:Person>
            <b:Last>Dutailly</b:Last>
            <b:First>B</b:First>
          </b:Person>
          <b:Person>
            <b:Last>Guyomarc'h</b:Last>
            <b:First>P</b:First>
          </b:Person>
          <b:Person>
            <b:Last>Mora</b:Last>
            <b:First>P</b:First>
          </b:Person>
          <b:Person>
            <b:Last>Sparacello</b:Last>
            <b:Middle>S</b:Middle>
            <b:First>V</b:First>
          </b:Person>
          <b:Person>
            <b:Last>Villotte</b:Last>
            <b:First>S</b:First>
          </b:Person>
        </b:NameList>
      </b:Author>
    </b:Author>
    <b:RefOrder>408</b:RefOrder>
  </b:Source>
  <b:Source>
    <b:Tag>Tra16</b:Tag>
    <b:SourceType>JournalArticle</b:SourceType>
    <b:Guid>{FDAE0CCA-77DE-8048-8F69-4ADF78ADC6FC}</b:Guid>
    <b:Title>Dolní Vestonice I female grave (DV3). Red colourants and other components of the burial fill and grave floor</b:Title>
    <b:JournalName>Anthropologica et Praehistoric</b:JournalName>
    <b:Year>2016</b:Year>
    <b:Volume>126/2015</b:Volume>
    <b:Pages>161-178</b:Pages>
    <b:Author>
      <b:Author>
        <b:NameList>
          <b:Person>
            <b:Last>Trabaska</b:Last>
            <b:First>J</b:First>
          </b:Person>
          <b:Person>
            <b:Last>Oliva</b:Last>
            <b:First>M</b:First>
          </b:Person>
          <b:Person>
            <b:Last>Gaweł</b:Last>
            <b:First>A</b:First>
          </b:Person>
          <b:Person>
            <b:Last>TrybalskaB</b:Last>
          </b:Person>
        </b:NameList>
      </b:Author>
    </b:Author>
    <b:RefOrder>409</b:RefOrder>
  </b:Source>
  <b:Source>
    <b:Tag>Ono12</b:Tag>
    <b:SourceType>JournalArticle</b:SourceType>
    <b:Guid>{B7943E7F-94D7-FB4C-BE53-0143D30664B3}</b:Guid>
    <b:Title>The Barma Grande cave (Grimaldi, Vintimiglia, Italy): From Neandertal, hunter of "Elephas antiquus", to Sapiens with ornaments of mammoth ivory</b:Title>
    <b:JournalName>Quaternary International</b:JournalName>
    <b:Year>2012</b:Year>
    <b:Volume>255</b:Volume>
    <b:Issue>26</b:Issue>
    <b:Pages>141-157</b:Pages>
    <b:Author>
      <b:Author>
        <b:NameList>
          <b:Person>
            <b:Last>Onoratini</b:Last>
            <b:First>G</b:First>
          </b:Person>
          <b:Person>
            <b:Last>Arellano</b:Last>
            <b:First>A</b:First>
          </b:Person>
          <b:Person>
            <b:Last>Del Lucchese</b:Last>
            <b:First>A</b:First>
          </b:Person>
          <b:Person>
            <b:Last>Moullé</b:Last>
            <b:Middle>E</b:Middle>
            <b:First>P</b:First>
          </b:Person>
          <b:Person>
            <b:Last>Serre</b:Last>
            <b:First>F</b:First>
          </b:Person>
        </b:NameList>
      </b:Author>
    </b:Author>
    <b:RefOrder>410</b:RefOrder>
  </b:Source>
  <b:Source>
    <b:Tag>Pet03</b:Tag>
    <b:SourceType>JournalArticle</b:SourceType>
    <b:Guid>{B3C56DA4-1001-EE4B-9137-2823668EBEA1}</b:Guid>
    <b:Title>The Gravettian burial known as the Prince ('Il Principe'): new evidence for hus age and diet</b:Title>
    <b:JournalName>Antiquity</b:JournalName>
    <b:Year>2003</b:Year>
    <b:Volume>77</b:Volume>
    <b:Issue>295</b:Issue>
    <b:Pages>15-19</b:Pages>
    <b:Author>
      <b:Author>
        <b:NameList>
          <b:Person>
            <b:Last>Pettitt</b:Last>
            <b:Middle>B</b:Middle>
            <b:First>P</b:First>
          </b:Person>
          <b:Person>
            <b:Last>Richards</b:Last>
            <b:Middle>P</b:Middle>
            <b:First>M</b:First>
          </b:Person>
          <b:Person>
            <b:Last>Maggi</b:Last>
            <b:First>R</b:First>
          </b:Person>
          <b:Person>
            <b:Last>Formicola</b:Last>
            <b:First>V</b:First>
          </b:Person>
        </b:NameList>
      </b:Author>
    </b:Author>
    <b:RefOrder>411</b:RefOrder>
  </b:Source>
  <b:Source>
    <b:Tag>Doč05</b:Tag>
    <b:SourceType>JournalArticle</b:SourceType>
    <b:Guid>{20D86EAE-F8A8-A64E-BE92-49144064E673}</b:Guid>
    <b:Title>Gravettian Human Remains Brno II: Postcranial skeleton</b:Title>
    <b:JournalName>Anthropologie</b:JournalName>
    <b:Year>2005</b:Year>
    <b:Volume>XLIII/2-3</b:Volume>
    <b:Pages>295-304</b:Pages>
    <b:Author>
      <b:Author>
        <b:NameList>
          <b:Person>
            <b:Last>Dočkalová</b:Last>
            <b:First>M</b:First>
          </b:Person>
          <b:Person>
            <b:Last>Vančata</b:Last>
            <b:First>V</b:First>
          </b:Person>
        </b:NameList>
      </b:Author>
    </b:Author>
    <b:RefOrder>412</b:RefOrder>
  </b:Source>
  <b:Source>
    <b:Tag>Bel10</b:Tag>
    <b:SourceType>JournalArticle</b:SourceType>
    <b:Guid>{ED533B99-4B44-3743-8077-789B5A0614F0}</b:Guid>
    <b:Title>Funerary practices of the Iberomaurusian population of Taforalt (Tafoughalt, Morocco, 11e12,000 BP): the case of Grave XII</b:Title>
    <b:JournalName>Journal of Human Evolution</b:JournalName>
    <b:Year>2010</b:Year>
    <b:Volume>58</b:Volume>
    <b:Pages>522-532</b:Pages>
    <b:Author>
      <b:Author>
        <b:NameList>
          <b:Person>
            <b:Last>Belcastro</b:Last>
            <b:Middle>G</b:Middle>
            <b:First>M</b:First>
          </b:Person>
          <b:Person>
            <b:Last>Condemi</b:Last>
            <b:First>S</b:First>
          </b:Person>
          <b:Person>
            <b:Last>Mariotti</b:Last>
            <b:First>V</b:First>
          </b:Person>
        </b:NameList>
      </b:Author>
    </b:Author>
    <b:RefOrder>413</b:RefOrder>
  </b:Source>
  <b:Source>
    <b:Tag>Mar14</b:Tag>
    <b:SourceType>JournalArticle</b:SourceType>
    <b:Guid>{F7E4EF9B-53FC-1B4A-A631-F0D0ADC10033}</b:Guid>
    <b:Title>Iberomaurusian funerary customs: new evidence from unpublished records of the 1950s excavations of the Taforalt necropolis (Morocco)</b:Title>
    <b:JournalName>Journal of Archaeological Science</b:JournalName>
    <b:Year>2014</b:Year>
    <b:Volume>49</b:Volume>
    <b:Pages>488-499</b:Pages>
    <b:Author>
      <b:Author>
        <b:NameList>
          <b:Person>
            <b:Last>Mariotti</b:Last>
            <b:First>V</b:First>
          </b:Person>
          <b:Person>
            <b:Last>Condemi</b:Last>
            <b:First>S</b:First>
          </b:Person>
          <b:Person>
            <b:Last>Belcastro</b:Last>
            <b:Middle>G</b:Middle>
            <b:First>M</b:First>
          </b:Person>
        </b:NameList>
      </b:Author>
    </b:Author>
    <b:RefOrder>414</b:RefOrder>
  </b:Source>
  <b:Source>
    <b:Tag>Chi12</b:Tag>
    <b:SourceType>JournalArticle</b:SourceType>
    <b:Guid>{E118CD16-41FD-694F-BB35-B8E60FE42139}</b:Guid>
    <b:Title>Later hunter-gatherers in southern China, 18,000-3,000 BC</b:Title>
    <b:JournalName>Antiquity</b:JournalName>
    <b:Year>2012</b:Year>
    <b:Volume>86</b:Volume>
    <b:Pages>11-29</b:Pages>
    <b:Author>
      <b:Author>
        <b:NameList>
          <b:Person>
            <b:Last>Chi</b:Last>
            <b:First>Z</b:First>
          </b:Person>
          <b:Person>
            <b:Last>Hung</b:Last>
            <b:First>H-c</b:First>
          </b:Person>
        </b:NameList>
      </b:Author>
    </b:Author>
    <b:RefOrder>415</b:RefOrder>
  </b:Source>
  <b:Source>
    <b:Tag>Don19</b:Tag>
    <b:SourceType>JournalArticle</b:SourceType>
    <b:Guid>{47371D3B-7314-9A4D-A715-7009ECE92815}</b:Guid>
    <b:Title>Mortuary ritual and social identities during the late Dawenkou period in China</b:Title>
    <b:JournalName>Antiquity</b:JournalName>
    <b:Year>2019</b:Year>
    <b:Volume>93</b:Volume>
    <b:Issue>368</b:Issue>
    <b:Pages>378-392.  378 https://doi.org/10.15184/aqy.2019.34</b:Pages>
    <b:Author>
      <b:Author>
        <b:NameList>
          <b:Person>
            <b:Last>Dong</b:Last>
            <b:First>Y</b:First>
          </b:Person>
          <b:Person>
            <b:Last>Lin</b:Last>
            <b:First>L</b:First>
          </b:Person>
          <b:Person>
            <b:Last>Zhu</b:Last>
            <b:First>X</b:First>
          </b:Person>
          <b:Person>
            <b:Last>Luan</b:Last>
            <b:First>F</b:First>
          </b:Person>
          <b:Person>
            <b:Last>Underhill</b:Last>
            <b:Middle>P</b:Middle>
            <b:First>A</b:First>
          </b:Person>
        </b:NameList>
      </b:Author>
    </b:Author>
    <b:RefOrder>416</b:RefOrder>
  </b:Source>
  <b:Source>
    <b:Tag>WuY17</b:Tag>
    <b:SourceType>JournalArticle</b:SourceType>
    <b:Guid>{6EA38133-BAF3-8F48-A6D9-3FE60F8F6BC6}</b:Guid>
    <b:Title>Red pigments and Boraginaceae leaves in mortuary ritual of late Neolithic China: A case study f Shengedaliang site</b:Title>
    <b:JournalName>Microsc. Res. Tech</b:JournalName>
    <b:Year>2017</b:Year>
    <b:Volume>80</b:Volume>
    <b:Pages>231-238</b:Pages>
    <b:Author>
      <b:Author>
        <b:NameList>
          <b:Person>
            <b:Last>Wu</b:Last>
            <b:First>Y</b:First>
          </b:Person>
          <b:Person>
            <b:Last>Guo</b:Last>
            <b:First>X</b:First>
          </b:Person>
          <b:Person>
            <b:Last>Chen</b:Last>
            <b:First>X</b:First>
          </b:Person>
          <b:Person>
            <b:Last>Zhai</b:Last>
            <b:First>Z</b:First>
          </b:Person>
          <b:Person>
            <b:Last>Xia</b:Last>
            <b:First>X</b:First>
          </b:Person>
          <b:Person>
            <b:Last>Yang</b:Last>
            <b:First>Y</b:First>
          </b:Person>
        </b:NameList>
      </b:Author>
    </b:Author>
    <b:RefOrder>417</b:RefOrder>
  </b:Source>
  <b:Source>
    <b:Tag>Jai19</b:Tag>
    <b:SourceType>JournalArticle</b:SourceType>
    <b:Guid>{7B7F1AA8-0A59-464D-B552-8165660A3C71}</b:Guid>
    <b:Title>New insights and rethinking of cinnabar for chemical and its pharamacological dynamics</b:Title>
    <b:JournalName>Bioengineered</b:JournalName>
    <b:Year>2019</b:Year>
    <b:Volume>10</b:Volume>
    <b:Issue>1</b:Issue>
    <b:Pages>https://doi-org.ezp.lib.cam.ac.uk/10.1080/21655979.2019.1652491</b:Pages>
    <b:Author>
      <b:Author>
        <b:NameList>
          <b:Person>
            <b:Last>Jain</b:Last>
            <b:First>A</b:First>
          </b:Person>
          <b:Person>
            <b:Last>Sarsaiya</b:Last>
            <b:First>S</b:First>
          </b:Person>
          <b:Person>
            <b:Last>Wu</b:Last>
            <b:First>Q</b:First>
          </b:Person>
          <b:Person>
            <b:Last>Shi</b:Last>
            <b:First>J</b:First>
          </b:Person>
          <b:Person>
            <b:Last>Lu</b:Last>
            <b:First>Y</b:First>
          </b:Person>
        </b:NameList>
      </b:Author>
    </b:Author>
    <b:RefOrder>418</b:RefOrder>
  </b:Source>
  <b:Source>
    <b:Tag>Orz</b:Tag>
    <b:SourceType>JournalArticle</b:SourceType>
    <b:Guid>{21234735-8D22-DD44-B022-0F1C27CF479B}</b:Guid>
    <b:Title>Old and new ideas about the human sex ratio</b:Title>
    <b:Author>
      <b:Author>
        <b:NameList>
          <b:Person>
            <b:Last>Orzack</b:Last>
            <b:Middle>H</b:Middle>
            <b:First>S</b:First>
          </b:Person>
        </b:NameList>
      </b:Author>
    </b:Author>
    <b:JournalName>Significance</b:JournalName>
    <b:Year>2016</b:Year>
    <b:Volume>13</b:Volume>
    <b:Issue>1</b:Issue>
    <b:Pages>24-27.  https://doi.org/10.1111/j.1740-9713.2016.00879.x</b:Pages>
    <b:RefOrder>419</b:RefOrder>
  </b:Source>
  <b:Source>
    <b:Tag>Wen15</b:Tag>
    <b:SourceType>JournalArticle</b:SourceType>
    <b:Guid>{0F16EEFE-F9FA-064C-B14D-4325533A0D36}</b:Guid>
    <b:Title>Neonatal outcomes in relation to sex difference: a national cohort survey in Taiwan</b:Title>
    <b:JournalName>Biology of Sex Differences</b:JournalName>
    <b:Year>2015</b:Year>
    <b:Volume>5</b:Volume>
    <b:Issue>30</b:Issue>
    <b:Pages>doi: 10.1186/s13293-015-0052-8</b:Pages>
    <b:Author>
      <b:Author>
        <b:NameList>
          <b:Person>
            <b:Last>Weng</b:Last>
            <b:First>Y-H</b:First>
          </b:Person>
          <b:Person>
            <b:Last>Yang</b:Last>
            <b:First>C-Y</b:First>
          </b:Person>
          <b:Person>
            <b:Last>Chiu</b:Last>
            <b:First>Y-W</b:First>
          </b:Person>
        </b:NameList>
      </b:Author>
    </b:Author>
    <b:RefOrder>420</b:RefOrder>
  </b:Source>
  <b:Source>
    <b:Tag>Orz15</b:Tag>
    <b:SourceType>JournalArticle</b:SourceType>
    <b:Guid>{B0C8CB90-D08B-DA42-9328-CB3A35B10453}</b:Guid>
    <b:Title>The human sex ratio from conception to birth</b:Title>
    <b:JournalName>PNAS</b:JournalName>
    <b:Year>2015</b:Year>
    <b:Volume>112</b:Volume>
    <b:Issue>16</b:Issue>
    <b:Pages>E2102-E2111. https://doi.org/10.1073/pnas.1416546112</b:Pages>
    <b:Author>
      <b:Author>
        <b:NameList>
          <b:Person>
            <b:Last>Orzack</b:Last>
            <b:Middle>H</b:Middle>
            <b:First>S</b:First>
          </b:Person>
          <b:Person>
            <b:Last>Stubblefield</b:Last>
            <b:Middle>W</b:Middle>
            <b:First>J</b:First>
          </b:Person>
          <b:Person>
            <b:Last>Akmaev</b:Last>
            <b:Middle>R</b:Middle>
            <b:First>V</b:First>
          </b:Person>
          <b:Person>
            <b:Last>Munné</b:Last>
            <b:Middle>C S</b:Middle>
            <b:First>P</b:First>
          </b:Person>
          <b:Person>
            <b:Last>Scholl</b:Last>
            <b:First>T</b:First>
          </b:Person>
          <b:Person>
            <b:Last>Steinsaltz</b:Last>
            <b:First>D</b:First>
          </b:Person>
          <b:Person>
            <b:Last>Zuckerman</b:Last>
            <b:Middle>E</b:Middle>
            <b:First>J</b:First>
          </b:Person>
        </b:NameList>
      </b:Author>
    </b:Author>
    <b:RefOrder>421</b:RefOrder>
  </b:Source>
  <b:Source>
    <b:Tag>Lor18</b:Tag>
    <b:SourceType>JournalArticle</b:SourceType>
    <b:Guid>{512B22C5-325F-F743-ABBB-9EA59B228DBF}</b:Guid>
    <b:Title>Influence of Sex on Gestational Complications, Fetal-to-Neonatal Transition, and Postnatal Adaptation</b:Title>
    <b:JournalName>Frontiers in Pediatrics</b:JournalName>
    <b:Year>2018</b:Year>
    <b:Pages>https://doi.org/10.3389/fped.2018.00063</b:Pages>
    <b:Author>
      <b:Author>
        <b:NameList>
          <b:Person>
            <b:Last>Lorente-Porzo</b:Last>
            <b:First>S</b:First>
          </b:Person>
          <b:Person>
            <b:Last>Parra-Llorca</b:Last>
            <b:First>A</b:First>
          </b:Person>
          <b:Person>
            <b:Last>Torres</b:Last>
            <b:First>B</b:First>
          </b:Person>
          <b:Person>
            <b:Last>Torres-Cuevas</b:Last>
            <b:First>I</b:First>
          </b:Person>
          <b:Person>
            <b:Last>Nuñez-Ramiro</b:Last>
            <b:First>A</b:First>
          </b:Person>
          <b:Person>
            <b:Last>Cernada</b:Last>
            <b:First>M</b:First>
          </b:Person>
          <b:Person>
            <b:Last>Carcía-Robles</b:Last>
            <b:First>A</b:First>
          </b:Person>
          <b:Person>
            <b:Last>Vento</b:Last>
            <b:First>M</b:First>
          </b:Person>
        </b:NameList>
      </b:Author>
    </b:Author>
    <b:RefOrder>422</b:RefOrder>
  </b:Source>
  <b:Source>
    <b:Tag>Sch17</b:Tag>
    <b:SourceType>Book</b:SourceType>
    <b:Guid>{477BDC31-5CB4-DC46-99F9-85EE989A1F57}</b:Guid>
    <b:Title>Taphonomy of Human Remains</b:Title>
    <b:Year>2017</b:Year>
    <b:City>Chichester</b:City>
    <b:Publisher>Wiley</b:Publisher>
    <b:Author>
      <b:Editor>
        <b:NameList>
          <b:Person>
            <b:Last>Schotsmans</b:Last>
            <b:Middle>M J</b:Middle>
            <b:First>E</b:First>
          </b:Person>
          <b:Person>
            <b:Last>Marquez-Grant</b:Last>
            <b:First>N</b:First>
          </b:Person>
          <b:Person>
            <b:Last>Forbes</b:Last>
            <b:Middle>L</b:Middle>
            <b:First>S</b:First>
          </b:Person>
        </b:NameList>
      </b:Editor>
    </b:Author>
    <b:RefOrder>423</b:RefOrder>
  </b:Source>
  <b:Source>
    <b:Tag>Lik32</b:Tag>
    <b:SourceType>JournalArticle</b:SourceType>
    <b:Guid>{6459EBB1-446A-9147-8821-3D2F4515FB17}</b:Guid>
    <b:Title>A technique for the measurement of attitudes</b:Title>
    <b:Year>1932</b:Year>
    <b:JournalName>Archives of Psychology</b:JournalName>
    <b:Volume>22</b:Volume>
    <b:Issue>140</b:Issue>
    <b:Pages>55</b:Pages>
    <b:Author>
      <b:Author>
        <b:NameList>
          <b:Person>
            <b:Last>Likert</b:Last>
            <b:First>R</b:First>
          </b:Person>
        </b:NameList>
      </b:Author>
    </b:Author>
    <b:RefOrder>424</b:RefOrder>
  </b:Source>
  <b:Source>
    <b:Tag>Dre09</b:Tag>
    <b:SourceType>Book</b:SourceType>
    <b:Guid>{4AFBA016-648D-EE41-84E8-62A4CECFE1A6}</b:Guid>
    <b:Title>Statistics for Archaeologists: A Commonsense Approach</b:Title>
    <b:Year>2009</b:Year>
    <b:Author>
      <b:Author>
        <b:NameList>
          <b:Person>
            <b:Last>Drennan</b:Last>
            <b:Middle>D</b:Middle>
            <b:First>R</b:First>
          </b:Person>
        </b:NameList>
      </b:Author>
    </b:Author>
    <b:City>London</b:City>
    <b:Publisher>Spinger</b:Publisher>
    <b:Edition>2nd Edition</b:Edition>
    <b:RefOrder>425</b:RefOrder>
  </b:Source>
  <b:Source>
    <b:Tag>Wad16</b:Tag>
    <b:SourceType>JournalArticle</b:SourceType>
    <b:Guid>{9F126BC5-8E5E-F54D-AB55-7E1195BA43D9}</b:Guid>
    <b:Title>Parametric Tests for Likert Scale: For and Against</b:Title>
    <b:Year>2016</b:Year>
    <b:JournalName>Asian Journal of Psychiatry</b:JournalName>
    <b:Volume>24</b:Volume>
    <b:Pages>67-68. DOI: 10.1016/j.ajp.2016.08.016</b:Pages>
    <b:Author>
      <b:Author>
        <b:NameList>
          <b:Person>
            <b:Last>Wadgave</b:Last>
            <b:First>U</b:First>
          </b:Person>
          <b:Person>
            <b:Last>Khairnar</b:Last>
            <b:Middle>R</b:Middle>
            <b:First>M</b:First>
          </b:Person>
        </b:NameList>
      </b:Author>
    </b:Author>
    <b:RefOrder>426</b:RefOrder>
  </b:Source>
  <b:Source>
    <b:Tag>Zin05</b:Tag>
    <b:SourceType>JournalArticle</b:SourceType>
    <b:Guid>{4E7909B0-D1AF-9F49-9AB8-6703B272B12F}</b:Guid>
    <b:Title>Cronbach's α, Revelle's β, and McDonald's ω(H): Their relations with each other and two alternative conceptualisations of reliability</b:Title>
    <b:JournalName>Pyschmetrika</b:JournalName>
    <b:Year>2005</b:Year>
    <b:Volume>70</b:Volume>
    <b:Issue>1</b:Issue>
    <b:Pages>123-133. DOI: 10.1007/s11336-003-0974-7</b:Pages>
    <b:Author>
      <b:Author>
        <b:NameList>
          <b:Person>
            <b:Last>Zinbarg</b:Last>
            <b:Middle>E</b:Middle>
            <b:First>R</b:First>
          </b:Person>
          <b:Person>
            <b:Last>Revelle</b:Last>
            <b:First>W</b:First>
          </b:Person>
          <b:Person>
            <b:Last>Yovel</b:Last>
            <b:First>I</b:First>
          </b:Person>
          <b:Person>
            <b:Last>Li</b:Last>
            <b:First>W</b:First>
          </b:Person>
        </b:NameList>
      </b:Author>
    </b:Author>
    <b:RefOrder>427</b:RefOrder>
  </b:Source>
  <b:Source>
    <b:Tag>Gri16</b:Tag>
    <b:SourceType>JournalArticle</b:SourceType>
    <b:Guid>{F0FA4A76-E640-2241-83C5-975FA239C17F}</b:Guid>
    <b:Title>cooccur: Probabilistic Species Co-Occurrence Analysis in R</b:Title>
    <b:JournalName>Journal of Statistical Software</b:JournalName>
    <b:Year>2016</b:Year>
    <b:Volume>69</b:Volume>
    <b:Issue>2</b:Issue>
    <b:Pages>doi: 10.18637/jss.v069.c02</b:Pages>
    <b:Author>
      <b:Author>
        <b:NameList>
          <b:Person>
            <b:Last>Griffith</b:Last>
            <b:Middle>M</b:Middle>
            <b:First>D</b:First>
          </b:Person>
          <b:Person>
            <b:Last>Veech</b:Last>
            <b:Middle>A</b:Middle>
            <b:First>J</b:First>
          </b:Person>
          <b:Person>
            <b:Last>Marsh</b:Last>
            <b:Middle>J</b:Middle>
            <b:First>C</b:First>
          </b:Person>
        </b:NameList>
      </b:Author>
    </b:Author>
    <b:RefOrder>428</b:RefOrder>
  </b:Source>
  <b:Source>
    <b:Tag>Kai</b:Tag>
    <b:SourceType>JournalArticle</b:SourceType>
    <b:Guid>{D15CFB20-D2AB-E149-88C8-4DDA6B2563C1}</b:Guid>
    <b:Title>Little Jiffy, Mark IV</b:Title>
    <b:Author>
      <b:Author>
        <b:NameList>
          <b:Person>
            <b:Last>Kaiser</b:Last>
            <b:Middle>F</b:Middle>
            <b:First>H</b:First>
          </b:Person>
          <b:Person>
            <b:Last>Rice</b:Last>
            <b:First>J</b:First>
          </b:Person>
        </b:NameList>
      </b:Author>
    </b:Author>
    <b:JournalName>Educational and Pyschological Measurement</b:JournalName>
    <b:Year>1974</b:Year>
    <b:Volume>34</b:Volume>
    <b:Pages>111-117. https://doi-org.ezp.lib.cam.ac.uk/10.1177/001316447403400115</b:Pages>
    <b:RefOrder>429</b:RefOrder>
  </b:Source>
  <b:Source>
    <b:Tag>All00</b:Tag>
    <b:SourceType>JournalArticle</b:SourceType>
    <b:Guid>{1E1C9D53-5623-C846-812E-1BA85A9C1A0A}</b:Guid>
    <b:Title>Racial differences in temporal changes in newborn vitality and survival by gestation age</b:Title>
    <b:Year>2000</b:Year>
    <b:JournalName>Paediatric and Perinatal Epidemiology</b:JournalName>
    <b:Volume>14</b:Volume>
    <b:Pages>152-158</b:Pages>
    <b:Author>
      <b:Author>
        <b:NameList>
          <b:Person>
            <b:Last>Allen</b:Last>
            <b:Middle>C</b:Middle>
            <b:First>M</b:First>
          </b:Person>
          <b:Person>
            <b:Last>Alexander</b:Last>
            <b:Middle>R</b:Middle>
            <b:First>G</b:First>
          </b:Person>
          <b:Person>
            <b:Last>Thompkins</b:Last>
            <b:Middle>E</b:Middle>
            <b:First>M</b:First>
          </b:Person>
          <b:Person>
            <b:Last>Hulsey</b:Last>
            <b:Middle>C</b:Middle>
            <b:First>T</b:First>
          </b:Person>
        </b:NameList>
      </b:Author>
    </b:Author>
    <b:RefOrder>430</b:RefOrder>
  </b:Source>
  <b:Source>
    <b:Tag>Náj19</b:Tag>
    <b:SourceType>JournalArticle</b:SourceType>
    <b:Guid>{D4E63ED5-5096-0F4A-81A2-38EA5573E4D3}</b:Guid>
    <b:Title>Reliability, Population Classification and Weighting in Multidimensional Poverty Measurement: A Monte Carlo Study</b:Title>
    <b:JournalName>Social Indicators Research</b:JournalName>
    <b:Year>2019</b:Year>
    <b:Volume>142</b:Volume>
    <b:Pages>887-910. https://doi.org/10.1007/s11205-018-1950-z </b:Pages>
    <b:Author>
      <b:Author>
        <b:NameList>
          <b:Person>
            <b:Last>Nájera Catalán</b:Last>
            <b:Middle>E</b:Middle>
            <b:First>H</b:First>
          </b:Person>
        </b:NameList>
      </b:Author>
    </b:Author>
    <b:RefOrder>431</b:RefOrder>
  </b:Source>
  <b:Source>
    <b:Tag>Rev09</b:Tag>
    <b:SourceType>JournalArticle</b:SourceType>
    <b:Guid>{A0BBDFDA-033D-F849-8523-EEB49D0BD671}</b:Guid>
    <b:Title>Coefficients alpha, beta, omega, and the GLB: Comments on Sijtsma</b:Title>
    <b:JournalName>Psychometrika</b:JournalName>
    <b:Year>2009</b:Year>
    <b:Volume>74</b:Volume>
    <b:Issue>1</b:Issue>
    <b:Pages>145-154</b:Pages>
    <b:Author>
      <b:Author>
        <b:NameList>
          <b:Person>
            <b:Last>Revelle</b:Last>
            <b:First>W</b:First>
          </b:Person>
          <b:Person>
            <b:Last>Zinbarg</b:Last>
            <b:Middle>E</b:Middle>
            <b:First>R</b:First>
          </b:Person>
        </b:NameList>
      </b:Author>
    </b:Author>
    <b:RefOrder>432</b:RefOrder>
  </b:Source>
  <b:Source>
    <b:Tag>Vee13</b:Tag>
    <b:SourceType>JournalArticle</b:SourceType>
    <b:Guid>{5EF0E497-1901-EB43-86EB-ABBFB3FA91EE}</b:Guid>
    <b:Title>A probabilistic model for analysing species co-occurrence</b:Title>
    <b:JournalName>Global Ecology and Biogeography</b:JournalName>
    <b:Year>2013</b:Year>
    <b:Volume>22</b:Volume>
    <b:Pages>252-260. DOI: 10.1111/j.1466-8238.2012.00789.x</b:Pages>
    <b:Author>
      <b:Author>
        <b:NameList>
          <b:Person>
            <b:Last>Veech</b:Last>
            <b:Middle>A</b:Middle>
            <b:First>J</b:First>
          </b:Person>
        </b:NameList>
      </b:Author>
    </b:Author>
    <b:RefOrder>433</b:RefOrder>
  </b:Source>
  <b:Source>
    <b:Tag>Ron15</b:Tag>
    <b:SourceType>JournalArticle</b:SourceType>
    <b:Guid>{EFB1BAE2-5D41-F842-A068-C75CF4D4E748}</b:Guid>
    <b:Title>When techniology joins symbolic behaviour: The Gravettian burials at Grotta Paglicci (Rignano Garganico-Foggia-Southern Italy)</b:Title>
    <b:JournalName>Quaternary International</b:JournalName>
    <b:Year>2015</b:Year>
    <b:Volume>359</b:Volume>
    <b:Pages>423-441</b:Pages>
    <b:Author>
      <b:Author>
        <b:NameList>
          <b:Person>
            <b:Last>Ronchitelli</b:Last>
            <b:First>A</b:First>
          </b:Person>
          <b:Person>
            <b:Last>Mugnaini</b:Last>
            <b:First>S</b:First>
          </b:Person>
          <b:Person>
            <b:Last>Arrighi</b:Last>
            <b:First>S</b:First>
          </b:Person>
          <b:Person>
            <b:Last>Atrei</b:Last>
            <b:First>A</b:First>
          </b:Person>
          <b:Person>
            <b:Last>Capecchi</b:Last>
            <b:First>G</b:First>
          </b:Person>
          <b:Person>
            <b:Last>Giamello</b:Last>
            <b:First>M</b:First>
          </b:Person>
          <b:Person>
            <b:Last>Moroni</b:Last>
            <b:First>A</b:First>
          </b:Person>
        </b:NameList>
      </b:Author>
    </b:Author>
    <b:RefOrder>434</b:RefOrder>
  </b:Source>
  <b:Source>
    <b:Tag>Sof00</b:Tag>
    <b:SourceType>BookSection</b:SourceType>
    <b:Guid>{E9094789-6714-9142-B7F6-125FD03EED54}</b:Guid>
    <b:Title>Gravettian technologies in social contexts</b:Title>
    <b:Year>2000</b:Year>
    <b:Pages>59-69</b:Pages>
    <b:Author>
      <b:Author>
        <b:NameList>
          <b:Person>
            <b:Last>Soffer</b:Last>
            <b:First>O</b:First>
          </b:Person>
        </b:NameList>
      </b:Author>
      <b:Editor>
        <b:NameList>
          <b:Person>
            <b:Last>Roebroeks</b:Last>
            <b:First>W</b:First>
          </b:Person>
          <b:Person>
            <b:Last>Mussi</b:Last>
            <b:First>M</b:First>
          </b:Person>
          <b:Person>
            <b:Last>Svoboda</b:Last>
            <b:First>J</b:First>
          </b:Person>
          <b:Person>
            <b:Last>Fennema</b:Last>
            <b:First>K</b:First>
          </b:Person>
        </b:NameList>
      </b:Editor>
    </b:Author>
    <b:BookTitle>Hunters of the Golden Age: the mid upper palaeolithic of Eurasia 30,000 - 20,000 BP</b:BookTitle>
    <b:City>Leiden</b:City>
    <b:Publisher>University of Leiden</b:Publisher>
    <b:RefOrder>435</b:RefOrder>
  </b:Source>
  <b:Source>
    <b:Tag>Zil02</b:Tag>
    <b:SourceType>Book</b:SourceType>
    <b:Guid>{A2D99416-B3A3-9642-8371-417FED76E6AE}</b:Guid>
    <b:Title>Portait of the Artist as a Child, The Gravettian Human Skeleton from the Abrigo do Lagar Velho and its Archaeological Context</b:Title>
    <b:City>Lisbon</b:City>
    <b:Publisher>Instito Português de Arqueologia</b:Publisher>
    <b:Year>2002</b:Year>
    <b:Author>
      <b:Author>
        <b:NameList>
          <b:Person>
            <b:Last>Zilhão</b:Last>
            <b:First>J</b:First>
          </b:Person>
          <b:Person>
            <b:Last>Trinkaus</b:Last>
            <b:First>E</b:First>
          </b:Person>
        </b:NameList>
      </b:Author>
    </b:Author>
    <b:RefOrder>436</b:RefOrder>
  </b:Source>
  <b:Source>
    <b:Tag>Sim14</b:Tag>
    <b:SourceType>JournalArticle</b:SourceType>
    <b:Guid>{986AB1E4-65F5-DA48-8CBA-7EAC2126E923}</b:Guid>
    <b:Title>The archaeological record of the Gravettian open air site Krems-Wachtberg</b:Title>
    <b:Year>2014</b:Year>
    <b:JournalName>Quaternary International</b:JournalName>
    <b:Volume>351</b:Volume>
    <b:Pages>5-13</b:Pages>
    <b:Author>
      <b:Author>
        <b:NameList>
          <b:Person>
            <b:Last>Simon</b:Last>
            <b:First>U</b:First>
          </b:Person>
          <b:Person>
            <b:Last>Händel</b:Last>
            <b:First>M</b:First>
          </b:Person>
          <b:Person>
            <b:Last>Einwögerer</b:Last>
            <b:First>T</b:First>
          </b:Person>
          <b:Person>
            <b:Last>Neugebauer-Maresch</b:Last>
            <b:First>C</b:First>
          </b:Person>
        </b:NameList>
      </b:Author>
    </b:Author>
    <b:RefOrder>437</b:RefOrder>
  </b:Source>
  <b:Source>
    <b:Tag>Pet15</b:Tag>
    <b:SourceType>JournalArticle</b:SourceType>
    <b:Guid>{0A1BC6DB-5E18-F349-A1B5-86583F8C0CDF}</b:Guid>
    <b:Title>Diversity of Mesolithic Vedbæk</b:Title>
    <b:JournalName>Acta Archaeologica</b:JournalName>
    <b:Year>2015</b:Year>
    <b:Volume>86</b:Volume>
    <b:Issue>1</b:Issue>
    <b:Pages>7-13</b:Pages>
    <b:Author>
      <b:Author>
        <b:NameList>
          <b:Person>
            <b:Last>Petersen</b:Last>
            <b:Middle>B</b:Middle>
            <b:First>E</b:First>
          </b:Person>
          <b:Person>
            <b:Last>Jønsson</b:Last>
            <b:Middle>H</b:Middle>
            <b:First>J</b:First>
          </b:Person>
          <b:Person>
            <b:Last>Juel</b:Last>
            <b:First>C</b:First>
          </b:Person>
          <b:Person>
            <b:Last>Kjær</b:Last>
            <b:First>A</b:First>
          </b:Person>
        </b:NameList>
      </b:Author>
    </b:Author>
    <b:RefOrder>438</b:RefOrder>
  </b:Source>
  <b:Source>
    <b:Tag>Mus01</b:Tag>
    <b:SourceType>Book</b:SourceType>
    <b:Guid>{B56D8184-174B-2444-B060-807EFC05151D}</b:Guid>
    <b:Title>Earliest Italy: An overview of the Italian Palaeolithic and Mesolithic</b:Title>
    <b:Year>2001</b:Year>
    <b:City>New York</b:City>
    <b:Publisher>Kluwer Academic/Plenum Publishers</b:Publisher>
    <b:Author>
      <b:Author>
        <b:NameList>
          <b:Person>
            <b:Last>Mussi</b:Last>
            <b:First>M</b:First>
          </b:Person>
        </b:NameList>
      </b:Author>
    </b:Author>
    <b:RefOrder>439</b:RefOrder>
  </b:Source>
  <b:Source>
    <b:Tag>Gam14</b:Tag>
    <b:SourceType>Book</b:SourceType>
    <b:Guid>{DFDFAE15-CCD9-0E45-9839-CF963786374A}</b:Guid>
    <b:Title>Thinking Big: How the Evolution of Social Life Shaped the Human Mind</b:Title>
    <b:City>London</b:City>
    <b:Publisher>Thames and Hudson</b:Publisher>
    <b:Year>2014</b:Year>
    <b:Author>
      <b:Author>
        <b:NameList>
          <b:Person>
            <b:Last>Gamble</b:Last>
            <b:First>C</b:First>
          </b:Person>
          <b:Person>
            <b:Last>Gowlett</b:Last>
            <b:First>J</b:First>
          </b:Person>
          <b:Person>
            <b:Last>Dunbar</b:Last>
            <b:First>R</b:First>
          </b:Person>
        </b:NameList>
      </b:Author>
    </b:Author>
    <b:RefOrder>440</b:RefOrder>
  </b:Source>
  <b:Source>
    <b:Tag>Vla16</b:Tag>
    <b:SourceType>JournalArticle</b:SourceType>
    <b:Guid>{33EECB6D-2286-ED4D-BCFC-35A72FD0327E}</b:Guid>
    <b:Title>How we categorize objects is related to how we remember them: The shape bias as a memory bias</b:Title>
    <b:Year>2016</b:Year>
    <b:JournalName>Journal of Experimental Child Psychology</b:JournalName>
    <b:Volume>152</b:Volume>
    <b:Pages>12-30</b:Pages>
    <b:Author>
      <b:Author>
        <b:NameList>
          <b:Person>
            <b:Last>Vlach</b:Last>
            <b:Middle>A</b:Middle>
            <b:First>H</b:First>
          </b:Person>
        </b:NameList>
      </b:Author>
    </b:Author>
    <b:RefOrder>441</b:RefOrder>
  </b:Source>
  <b:Source>
    <b:Tag>Par10</b:Tag>
    <b:SourceType>Book</b:SourceType>
    <b:Guid>{6BEB5325-D2A3-D647-997F-FF76DD681145}</b:Guid>
    <b:Title>The Archaeology of Death and Burial</b:Title>
    <b:Year>1999</b:Year>
    <b:City>Stroud</b:City>
    <b:Publisher>Historic Press</b:Publisher>
    <b:Author>
      <b:Author>
        <b:NameList>
          <b:Person>
            <b:Last>Parker Pearson</b:Last>
            <b:First>M</b:First>
          </b:Person>
        </b:NameList>
      </b:Author>
    </b:Author>
    <b:RefOrder>442</b:RefOrder>
  </b:Source>
  <b:Source>
    <b:Tag>Pow091</b:Tag>
    <b:SourceType>BookSection</b:SourceType>
    <b:Guid>{4D1A4849-FC12-9E47-8903-BD3CBD452896}</b:Guid>
    <b:Title>Sexual selection models for the emergence of symbolic communication: why they should be reversed</b:Title>
    <b:Year>2009</b:Year>
    <b:Pages>257-280</b:Pages>
    <b:Author>
      <b:Author>
        <b:NameList>
          <b:Person>
            <b:Last>Power</b:Last>
            <b:First>C</b:First>
          </b:Person>
        </b:NameList>
      </b:Author>
      <b:Editor>
        <b:NameList>
          <b:Person>
            <b:Last>Botha</b:Last>
            <b:First>R</b:First>
          </b:Person>
          <b:Person>
            <b:Last>Knight</b:Last>
            <b:First>C</b:First>
          </b:Person>
        </b:NameList>
      </b:Editor>
    </b:Author>
    <b:BookTitle>The Cradle of Language</b:BookTitle>
    <b:City>Oxford</b:City>
    <b:Publisher>Oxford University Press</b:Publisher>
    <b:RefOrder>443</b:RefOrder>
  </b:Source>
  <b:Source>
    <b:Tag>Cal05</b:Tag>
    <b:SourceType>JournalArticle</b:SourceType>
    <b:Guid>{CAA07DC5-973A-E141-BA5B-3D63BE981DD4}</b:Guid>
    <b:Title>Understanding the recognition of facial identity and facial expression</b:Title>
    <b:Year>2005</b:Year>
    <b:Pages>641-651.  https://doi-org.ezp.lib.cam.ac.uk/10.1038/nrn1724  </b:Pages>
    <b:JournalName>Nature Reviews Neuroscience</b:JournalName>
    <b:Volume>6</b:Volume>
    <b:Author>
      <b:Author>
        <b:NameList>
          <b:Person>
            <b:Last>Calder</b:Last>
            <b:First>A</b:First>
          </b:Person>
          <b:Person>
            <b:Last>Young</b:Last>
            <b:First>A</b:First>
          </b:Person>
        </b:NameList>
      </b:Author>
    </b:Author>
    <b:RefOrder>444</b:RefOrder>
  </b:Source>
  <b:Source>
    <b:Tag>Lom05</b:Tag>
    <b:SourceType>Book</b:SourceType>
    <b:Guid>{74A09912-877E-8047-AD1A-518A20ECC45E}</b:Guid>
    <b:Title>Death and the idea of Mexico</b:Title>
    <b:Year>2005</b:Year>
    <b:City>Brooklyn, N.Y</b:City>
    <b:Publisher>Zone Books</b:Publisher>
    <b:Author>
      <b:Author>
        <b:NameList>
          <b:Person>
            <b:Last>Lomnitz-Adler</b:Last>
            <b:First>Claudio</b:First>
          </b:Person>
        </b:NameList>
      </b:Author>
    </b:Author>
    <b:RefOrder>445</b:RefOrder>
  </b:Source>
  <b:Source>
    <b:Tag>Lóp20</b:Tag>
    <b:SourceType>JournalArticle</b:SourceType>
    <b:Guid>{BB40BE3C-F87B-6E49-80D4-7011381A7D96}</b:Guid>
    <b:Title>The cultural appropriation of the Day of the Dead by foreign studio films</b:Title>
    <b:Year>2020</b:Year>
    <b:Pages>249-255</b:Pages>
    <b:Author>
      <b:Author>
        <b:NameList>
          <b:Person>
            <b:Last>López Oropeza</b:Last>
            <b:First>E</b:First>
          </b:Person>
        </b:NameList>
      </b:Author>
    </b:Author>
    <b:JournalName>Tensões Mundiais, Fortaleza</b:JournalName>
    <b:Volume>16</b:Volume>
    <b:Issue>31</b:Issue>
    <b:RefOrder>446</b:RefOrder>
  </b:Source>
  <b:Source>
    <b:Tag>Vog16</b:Tag>
    <b:SourceType>InternetSite</b:SourceType>
    <b:Guid>{DA23BCAA-11E4-084A-A8B4-6F78FE650A45}</b:Guid>
    <b:Title>Dolce and Gabbana’s embellished hijabs Fall</b:Title>
    <b:Year>2016</b:Year>
    <b:Author>
      <b:Author>
        <b:Corporate>Vogue</b:Corporate>
      </b:Author>
    </b:Author>
    <b:URL>https://www.vogue.com/article/dolce-gabbana-hijab-abaya-collection</b:URL>
    <b:YearAccessed>2021</b:YearAccessed>
    <b:MonthAccessed>07</b:MonthAccessed>
    <b:DayAccessed>09</b:DayAccessed>
    <b:RefOrder>447</b:RefOrder>
  </b:Source>
  <b:Source>
    <b:Tag>Fow04</b:Tag>
    <b:SourceType>Book</b:SourceType>
    <b:Guid>{966DC523-5291-D140-B445-3F8AEE105C0E}</b:Guid>
    <b:Title>The Archaeology of Personhood: An anthropological approach</b:Title>
    <b:Year>2004</b:Year>
    <b:City>Abingdon</b:City>
    <b:Publisher>Routledge</b:Publisher>
    <b:Author>
      <b:Author>
        <b:NameList>
          <b:Person>
            <b:Last>Fowler</b:Last>
            <b:First>C</b:First>
          </b:Person>
        </b:NameList>
      </b:Author>
    </b:Author>
    <b:RefOrder>448</b:RefOrder>
  </b:Source>
  <b:Source>
    <b:Tag>Lit16</b:Tag>
    <b:SourceType>JournalArticle</b:SourceType>
    <b:Guid>{8B5BC94E-3C28-7944-A34C-4712F25AC824}</b:Guid>
    <b:Title>Technological Analysis of the World’s Earliest Shamanic Costume: A Multi-Scalar, Experimental Study of a Red Deer Headdress from the Early Holocene Site of Star Carr, North Yorkshire, UK</b:Title>
    <b:Year>2016</b:Year>
    <b:JournalName>PLoS ONE</b:JournalName>
    <b:Volume>11</b:Volume>
    <b:Issue>4</b:Issue>
    <b:Pages>e0152136. https://doi.org/10.1371/journal.pone.0152136</b:Pages>
    <b:Author>
      <b:Author>
        <b:NameList>
          <b:Person>
            <b:Last>Little</b:Last>
            <b:First>A</b:First>
          </b:Person>
          <b:Person>
            <b:Last>Elliott</b:Last>
            <b:First>B</b:First>
          </b:Person>
          <b:Person>
            <b:Last>Conneller</b:Last>
            <b:First>C</b:First>
          </b:Person>
          <b:Person>
            <b:Last>Pomstra</b:Last>
            <b:First>D</b:First>
          </b:Person>
          <b:Person>
            <b:Last>Evans</b:Last>
            <b:Middle>A</b:Middle>
            <b:First>A</b:First>
          </b:Person>
          <b:Person>
            <b:Last>Fitton</b:Last>
            <b:Middle>C</b:Middle>
            <b:First>L</b:First>
          </b:Person>
          <b:Person>
            <b:Last>et al.,</b:Last>
          </b:Person>
        </b:NameList>
      </b:Author>
    </b:Author>
    <b:RefOrder>449</b:RefOrder>
  </b:Source>
  <b:Source>
    <b:Tag>Sof98</b:Tag>
    <b:SourceType>BookSection</b:SourceType>
    <b:Guid>{D9D10280-697B-D24B-B131-0E3B0529218D}</b:Guid>
    <b:Title>Engendering children, engendering archaeology.</b:Title>
    <b:Year>1998</b:Year>
    <b:Pages>192-202</b:Pages>
    <b:BookTitle>Invisible People and Processes</b:BookTitle>
    <b:City>Leicester</b:City>
    <b:Publisher>Leicester University Press</b:Publisher>
    <b:Author>
      <b:Author>
        <b:NameList>
          <b:Person>
            <b:Last>Sofaer </b:Last>
            <b:First>J</b:First>
          </b:Person>
        </b:NameList>
      </b:Author>
      <b:Editor>
        <b:NameList>
          <b:Person>
            <b:Last>Moore</b:Last>
            <b:First>J</b:First>
          </b:Person>
          <b:Person>
            <b:Last>Scott</b:Last>
            <b:First>E</b:First>
          </b:Person>
        </b:NameList>
      </b:Editor>
    </b:Author>
    <b:RefOrder>450</b:RefOrder>
  </b:Source>
  <b:Source>
    <b:Tag>Kon05</b:Tag>
    <b:SourceType>BookSection</b:SourceType>
    <b:Guid>{8A40872A-2793-CA4E-A63E-EDDB98CD85C7}</b:Guid>
    <b:Title>Hunter-gatherer infancy and childhood: The !Kung and others</b:Title>
    <b:BookTitle>Hunter-gatherer childhoods: Evolutionary, developmental and cultural perspectives</b:BookTitle>
    <b:City>London</b:City>
    <b:Publisher>Aldine Transaction</b:Publisher>
    <b:Year>2005</b:Year>
    <b:Pages>19-64</b:Pages>
    <b:Author>
      <b:Author>
        <b:NameList>
          <b:Person>
            <b:Last>Konner</b:Last>
            <b:First>M</b:First>
          </b:Person>
        </b:NameList>
      </b:Author>
      <b:Editor>
        <b:NameList>
          <b:Person>
            <b:Last>Hewlett</b:Last>
            <b:Middle>S</b:Middle>
            <b:First>B</b:First>
          </b:Person>
          <b:Person>
            <b:Last>Lamb</b:Last>
            <b:Middle>E</b:Middle>
            <b:First>M</b:First>
          </b:Person>
        </b:NameList>
      </b:Editor>
    </b:Author>
    <b:RefOrder>451</b:RefOrder>
  </b:Source>
  <b:Source>
    <b:Tag>Rob071</b:Tag>
    <b:SourceType>Book</b:SourceType>
    <b:Guid>{2882FD95-31A6-9F47-AE80-5D10AE282DC0}</b:Guid>
    <b:Title>Child Development from Birth to Eight: A Journey Through the Early Years</b:Title>
    <b:City>Maidenhead</b:City>
    <b:Publisher>McGraw-Hill Education</b:Publisher>
    <b:Year>2008</b:Year>
    <b:Author>
      <b:Author>
        <b:NameList>
          <b:Person>
            <b:Last>Robinson</b:Last>
            <b:First>M</b:First>
          </b:Person>
        </b:NameList>
      </b:Author>
    </b:Author>
    <b:RefOrder>452</b:RefOrder>
  </b:Source>
  <b:Source>
    <b:Tag>Mil12</b:Tag>
    <b:SourceType>Book</b:SourceType>
    <b:Guid>{5E4EC0B1-2760-E046-AA47-D4376BDA6D5B}</b:Guid>
    <b:Title>Theory of Mind: Beyond the Preschool Years</b:Title>
    <b:City>New York</b:City>
    <b:Publisher>Taylor Fancis Group</b:Publisher>
    <b:Year>2012</b:Year>
    <b:Author>
      <b:Author>
        <b:NameList>
          <b:Person>
            <b:Last>Miller</b:Last>
            <b:Middle>A</b:Middle>
            <b:First>S</b:First>
          </b:Person>
        </b:NameList>
      </b:Author>
    </b:Author>
    <b:RefOrder>453</b:RefOrder>
  </b:Source>
  <b:Source>
    <b:Tag>Pet071</b:Tag>
    <b:SourceType>JournalArticle</b:SourceType>
    <b:Guid>{53CC628E-4EA4-C64F-A3FC-5E10FA4BE9BA}</b:Guid>
    <b:Title>Look who's talking: developmental trends in the size of conversational cliques</b:Title>
    <b:Year>2007</b:Year>
    <b:JournalName>Evolution and Human Behaviour</b:JournalName>
    <b:Volume>28</b:Volume>
    <b:Pages>66-74</b:Pages>
    <b:Author>
      <b:Author>
        <b:NameList>
          <b:Person>
            <b:Last>Peter Henzi</b:Last>
            <b:First>S</b:First>
          </b:Person>
          <b:Person>
            <b:Last>de Souda Pereira</b:Last>
            <b:Middle>F</b:Middle>
            <b:First>L</b:First>
          </b:Person>
          <b:Person>
            <b:Last>Hawker-Bond</b:Last>
            <b:First>D</b:First>
          </b:Person>
          <b:Person>
            <b:Last>Stiller</b:Last>
            <b:First>J</b:First>
          </b:Person>
          <b:Person>
            <b:Last>Dunbar</b:Last>
            <b:Middle>I M</b:Middle>
            <b:First>R</b:First>
          </b:Person>
          <b:Person>
            <b:Last>Barrett</b:Last>
            <b:First>L</b:First>
          </b:Person>
        </b:NameList>
      </b:Author>
    </b:Author>
    <b:RefOrder>454</b:RefOrder>
  </b:Source>
  <b:Source>
    <b:Tag>Ron09</b:Tag>
    <b:SourceType>InternetSite</b:SourceType>
    <b:Guid>{C993475C-D28B-1C4B-9A19-365CA886D023}</b:Guid>
    <b:Title>How Land Diving Works  </b:Title>
    <b:Year>2009</b:Year>
    <b:URL>https://adventure.howstuffworks.com/land-diving.htm</b:URL>
    <b:YearAccessed>2012</b:YearAccessed>
    <b:MonthAccessed>07</b:MonthAccessed>
    <b:DayAccessed>12</b:DayAccessed>
    <b:Author>
      <b:Author>
        <b:NameList>
          <b:Person>
            <b:Last>Ronca</b:Last>
            <b:First>D</b:First>
          </b:Person>
        </b:NameList>
      </b:Author>
    </b:Author>
    <b:RefOrder>455</b:RefOrder>
  </b:Source>
  <b:Source>
    <b:Tag>McG07</b:Tag>
    <b:SourceType>Book</b:SourceType>
    <b:Guid>{951DD958-4D68-0941-9D88-510C7F45EA7F}</b:Guid>
    <b:Title>First Communion: Ritual, Church and Popular Relgious Identity</b:Title>
    <b:Year>2007</b:Year>
    <b:City>London</b:City>
    <b:Publisher>Routledge</b:Publisher>
    <b:Author>
      <b:Author>
        <b:NameList>
          <b:Person>
            <b:Last>McGrail</b:Last>
            <b:First>P</b:First>
          </b:Person>
        </b:NameList>
      </b:Author>
    </b:Author>
    <b:RefOrder>456</b:RefOrder>
  </b:Source>
  <b:Source>
    <b:Tag>Luc05</b:Tag>
    <b:SourceType>BookSection</b:SourceType>
    <b:Guid>{6A804276-6535-994C-AAD1-9CEA40F608A7}</b:Guid>
    <b:Title>The Archaeology of Age</b:Title>
    <b:City>Abingdon</b:City>
    <b:Publisher>Routledge</b:Publisher>
    <b:Year>2005</b:Year>
    <b:BookTitle>The Archaeology of Identity: Approaches to gender, age, status, ethnicity, and religion</b:BookTitle>
    <b:Pages>43-66</b:Pages>
    <b:Author>
      <b:Author>
        <b:NameList>
          <b:Person>
            <b:Last>Lucy</b:Last>
            <b:First>S</b:First>
          </b:Person>
        </b:NameList>
      </b:Author>
      <b:Editor>
        <b:NameList>
          <b:Person>
            <b:Last>Diaz-Andreu</b:Last>
            <b:First>M</b:First>
          </b:Person>
          <b:Person>
            <b:Last>Lucy</b:Last>
            <b:First>S</b:First>
          </b:Person>
          <b:Person>
            <b:Last>Babić</b:Last>
            <b:First>S</b:First>
          </b:Person>
          <b:Person>
            <b:Last>Edwards</b:Last>
            <b:Middle>N</b:Middle>
            <b:First>D</b:First>
          </b:Person>
        </b:NameList>
      </b:Editor>
    </b:Author>
    <b:RefOrder>457</b:RefOrder>
  </b:Source>
  <b:Source>
    <b:Tag>Hig891</b:Tag>
    <b:SourceType>Book</b:SourceType>
    <b:Guid>{81DF0FAE-E85F-F64E-B97C-7A1438884997}</b:Guid>
    <b:Title>The archaeology of mainland Southeast Asia: From 10,000 B.C. to the fall of Angkor</b:Title>
    <b:City>Cambridge</b:City>
    <b:Publisher>Cambridge University Press</b:Publisher>
    <b:Year>1989</b:Year>
    <b:Author>
      <b:Author>
        <b:NameList>
          <b:Person>
            <b:Last>Higham</b:Last>
            <b:Middle>F W</b:Middle>
            <b:First>C</b:First>
          </b:Person>
        </b:NameList>
      </b:Author>
    </b:Author>
    <b:RefOrder>458</b:RefOrder>
  </b:Source>
  <b:Source>
    <b:Tag>ORe03</b:Tag>
    <b:SourceType>JournalArticle</b:SourceType>
    <b:Guid>{9C2A076C-3913-B24F-873E-05FCABA74469}</b:Guid>
    <b:Title>Further Evidence of Heterarchy in Bronze Age Thailand</b:Title>
    <b:Year>2003</b:Year>
    <b:JournalName>Current Anthropology</b:JournalName>
    <b:Volume>44</b:Volume>
    <b:Issue>2</b:Issue>
    <b:Pages>https://doi.org/10.1086/367973</b:Pages>
    <b:Author>
      <b:Author>
        <b:NameList>
          <b:Person>
            <b:Last>O'Reilly</b:Last>
            <b:Middle>W O</b:Middle>
            <b:First>D</b:First>
          </b:Person>
        </b:NameList>
      </b:Author>
    </b:Author>
    <b:RefOrder>459</b:RefOrder>
  </b:Source>
  <b:Source>
    <b:Tag>Eke13</b:Tag>
    <b:SourceType>BookSection</b:SourceType>
    <b:Guid>{3949DFA3-30D6-424F-9ACA-BEF1AD5EB6B8}</b:Guid>
    <b:Title>Contextualizing Grave Goods</b:Title>
    <b:Year>2013</b:Year>
    <b:Pages>DOI: 10.1093/oxfordhb/9780199569069.001.0001</b:Pages>
    <b:BookTitle>The Oxford Handbook of the Archaeology of Death and Burial</b:BookTitle>
    <b:City>Oxford</b:City>
    <b:Publisher>Oxford University Press</b:Publisher>
    <b:Author>
      <b:Author>
        <b:NameList>
          <b:Person>
            <b:Last>Ekengren</b:Last>
            <b:First>F</b:First>
          </b:Person>
        </b:NameList>
      </b:Author>
      <b:Editor>
        <b:NameList>
          <b:Person>
            <b:Last>Nilsson Stutz</b:Last>
            <b:First>L</b:First>
          </b:Person>
          <b:Person>
            <b:Last>Tarlow</b:Last>
            <b:First>S</b:First>
          </b:Person>
        </b:NameList>
      </b:Editor>
    </b:Author>
    <b:RefOrder>460</b:RefOrder>
  </b:Source>
  <b:Source>
    <b:Tag>Cra91</b:Tag>
    <b:SourceType>JournalArticle</b:SourceType>
    <b:Guid>{26B85BD7-CC02-C14B-AA29-DD961289E696}</b:Guid>
    <b:Title>When do Anglo-Saxon children count?</b:Title>
    <b:Year>1991</b:Year>
    <b:Pages>17-24</b:Pages>
    <b:Author>
      <b:Author>
        <b:NameList>
          <b:Person>
            <b:Last>Crawford</b:Last>
            <b:First>S</b:First>
          </b:Person>
        </b:NameList>
      </b:Author>
    </b:Author>
    <b:JournalName>Journal of Theoretical Archaeology</b:JournalName>
    <b:Volume>2</b:Volume>
    <b:RefOrder>461</b:RefOrder>
  </b:Source>
  <b:Source>
    <b:Tag>Luc051</b:Tag>
    <b:SourceType>BookSection</b:SourceType>
    <b:Guid>{309405BB-D7F0-574A-8A16-59EA11A0A261}</b:Guid>
    <b:Title>Ethnic and cultural identities</b:Title>
    <b:Year>2005</b:Year>
    <b:Pages>86-109</b:Pages>
    <b:BookTitle>The Archaeology of Identity: Approaches to genrder, status, ethnicity and religion</b:BookTitle>
    <b:City>Abingdon</b:City>
    <b:Publisher>Routledge</b:Publisher>
    <b:Author>
      <b:Author>
        <b:NameList>
          <b:Person>
            <b:Last>Lucy</b:Last>
            <b:First>S</b:First>
          </b:Person>
        </b:NameList>
      </b:Author>
      <b:Editor>
        <b:NameList>
          <b:Person>
            <b:Last>Diaz-Andreu</b:Last>
            <b:First>M</b:First>
          </b:Person>
          <b:Person>
            <b:Last>Lucy</b:Last>
            <b:First>S</b:First>
          </b:Person>
          <b:Person>
            <b:Last>Babić</b:Last>
            <b:First>S</b:First>
          </b:Person>
          <b:Person>
            <b:Last>Edwards</b:Last>
            <b:Middle>N</b:Middle>
            <b:First>D</b:First>
          </b:Person>
        </b:NameList>
      </b:Editor>
    </b:Author>
    <b:RefOrder>462</b:RefOrder>
  </b:Source>
  <b:Source>
    <b:Tag>Ken18</b:Tag>
    <b:SourceType>JournalArticle</b:SourceType>
    <b:Guid>{F844A8E5-FD47-8E42-8CF1-F8D5FCBE3D44}</b:Guid>
    <b:Title>Diagenesis of archaeological bone and tooth</b:Title>
    <b:JournalName>Palaeogeography palaeoclimatology palaeoecology</b:JournalName>
    <b:Year>2018</b:Year>
    <b:Volume>491</b:Volume>
    <b:Pages>21-37. https://doi.org/10.1016/j.palaeo.2017.11.041</b:Pages>
    <b:Author>
      <b:Author>
        <b:NameList>
          <b:Person>
            <b:Last>Kendall</b:Last>
            <b:First>C</b:First>
          </b:Person>
          <b:Person>
            <b:Last>Eriksen</b:Last>
            <b:Middle>M</b:Middle>
            <b:First>A</b:First>
          </b:Person>
          <b:Person>
            <b:Last>Kontopoulos</b:Last>
            <b:First>I</b:First>
          </b:Person>
          <b:Person>
            <b:Last>Collins</b:Last>
            <b:Middle>J</b:Middle>
            <b:First>M</b:First>
          </b:Person>
          <b:Person>
            <b:Last>Turner-Walker</b:Last>
            <b:First>G</b:First>
          </b:Person>
        </b:NameList>
      </b:Author>
    </b:Author>
    <b:RefOrder>463</b:RefOrder>
  </b:Source>
  <b:Source>
    <b:Tag>Mar21</b:Tag>
    <b:SourceType>JournalArticle</b:SourceType>
    <b:Guid>{368890AA-553E-6E48-A2EA-7BFE90D17D5F}</b:Guid>
    <b:Title>The symbolic role of the underground world among Middle Paleolithic Neanderthals</b:Title>
    <b:JournalName>PNAS</b:JournalName>
    <b:Year>2021</b:Year>
    <b:Volume>118</b:Volume>
    <b:Issue>33</b:Issue>
    <b:Pages>e2021495118; https://doi.org/10.1073/pnas.2021495118</b:Pages>
    <b:Author>
      <b:Author>
        <b:NameList>
          <b:Person>
            <b:Last>Marti</b:Last>
            <b:Middle>P</b:Middle>
            <b:First>A</b:First>
          </b:Person>
          <b:Person>
            <b:Last>Zilhão</b:Last>
            <b:First>J</b:First>
          </b:Person>
          <b:Person>
            <b:Last>d'Errico</b:Last>
            <b:First>F</b:First>
          </b:Person>
          <b:Person>
            <b:Last>Cantalej-Duarte</b:Last>
            <b:First>P</b:First>
          </b:Person>
          <b:Person>
            <b:Last>Comínguez-Bella</b:Last>
            <b:First>S</b:First>
          </b:Person>
          <b:Person>
            <b:Last>Fullola</b:Last>
            <b:Middle>M</b:Middle>
            <b:First>J</b:First>
          </b:Person>
          <b:Person>
            <b:Last>Weniger</b:Last>
            <b:Middle>C</b:Middle>
            <b:First>G</b:First>
          </b:Person>
          <b:Person>
            <b:Last>Ramos-Muñoz</b:Last>
            <b:First>J</b:First>
          </b:Person>
        </b:NameList>
      </b:Author>
    </b:Author>
    <b:RefOrder>464</b:RefOrder>
  </b:Source>
  <b:Source>
    <b:Tag>Mar211</b:Tag>
    <b:SourceType>JournalArticle</b:SourceType>
    <b:Guid>{B2E54A53-979B-4E4D-BEFE-97D8351B7B92}</b:Guid>
    <b:Title>Relative analogies in the ritual use of red mineral pigments (ochre, hematite) in Neolithic and Ethnolithic burials from Xinjiang and Bulgaria</b:Title>
    <b:Year>2021</b:Year>
    <b:Pages>DOI:10.13140/RG.2.2.34287.36003</b:Pages>
    <b:Author>
      <b:Author>
        <b:NameList>
          <b:Person>
            <b:Last>Marinova</b:Last>
            <b:First>M</b:First>
          </b:Person>
        </b:NameList>
      </b:Author>
    </b:Author>
    <b:RefOrder>465</b:RefOrder>
  </b:Source>
  <b:Source>
    <b:Tag>田露梅18</b:Tag>
    <b:SourceType>JournalArticle</b:SourceType>
    <b:Guid>{34EC815D-FBC5-274F-90DF-AF3E865B4EA5}</b:Guid>
    <b:Author>
      <b:Author>
        <b:NameList>
          <b:Person>
            <b:Last>田露梅</b:Last>
          </b:Person>
        </b:NameList>
      </b:Author>
    </b:Author>
    <b:Title>Zhongguo gudai hongse yanliao kao (shuoshi xuewei lunwen) 中国古代红色颜料考(硕士学位论文)</b:Title>
    <b:JournalName>Research on Red Pigments in Ancient China (Master’s Thesis)</b:JournalName>
    <b:Year>2018</b:Year>
    <b:RefOrder>466</b:RefOrder>
  </b:Source>
  <b:Source>
    <b:Tag>Nor08</b:Tag>
    <b:SourceType>JournalArticle</b:SourceType>
    <b:Guid>{D5AF2BC1-933C-A949-9B5A-0A38D5D28F84}</b:Guid>
    <b:Title>Zhoukoudian Upper Cave Revisited</b:Title>
    <b:JournalName>Current Anthropology</b:JournalName>
    <b:Year>2008</b:Year>
    <b:Volume>49</b:Volume>
    <b:Issue>4</b:Issue>
    <b:Pages>732-745</b:Pages>
    <b:Author>
      <b:Author>
        <b:NameList>
          <b:Person>
            <b:Last>Norton</b:Last>
            <b:Middle>J</b:Middle>
            <b:First>C</b:First>
          </b:Person>
          <b:Person>
            <b:Last>Gao</b:Last>
            <b:First>X</b:First>
          </b:Person>
        </b:NameList>
      </b:Author>
    </b:Author>
    <b:RefOrder>467</b:RefOrder>
  </b:Source>
  <b:Source>
    <b:Tag>How21</b:Tag>
    <b:SourceType>InternetSite</b:SourceType>
    <b:Guid>{74604944-686A-704D-910D-A6A39DF13597}</b:Guid>
    <b:Title>GLM with count, binary, and proportional data</b:Title>
    <b:Year>2021</b:Year>
    <b:Author>
      <b:Author>
        <b:NameList>
          <b:Person>
            <b:Last>Howard</b:Last>
            <b:First>T</b:First>
          </b:Person>
          <b:Person>
            <b:Last>Howard</b:Last>
            <b:First>M</b:First>
          </b:Person>
        </b:NameList>
      </b:Author>
    </b:Author>
    <b:URL>https://fukamilab.github.io/BIO202/04-B-binary-data.html</b:URL>
    <b:YearAccessed>2021</b:YearAccessed>
    <b:MonthAccessed>07</b:MonthAccessed>
    <b:DayAccessed>20</b:DayAccessed>
    <b:RefOrder>468</b:RefOrder>
  </b:Source>
  <b:Source>
    <b:Tag>Zuu09</b:Tag>
    <b:SourceType>Book</b:SourceType>
    <b:Guid>{5BAF9F16-0796-144A-91CC-30302EA64C41}</b:Guid>
    <b:Title>Mixed Effects Models and Extensions in Ecology with R</b:Title>
    <b:Year>2009</b:Year>
    <b:City>New York</b:City>
    <b:Publisher>Springer</b:Publisher>
    <b:Author>
      <b:Author>
        <b:NameList>
          <b:Person>
            <b:Last>Zuur</b:Last>
            <b:Middle>F</b:Middle>
            <b:First>A</b:First>
          </b:Person>
          <b:Person>
            <b:Last>Ieno</b:Last>
            <b:Middle>N</b:Middle>
            <b:First>E</b:First>
          </b:Person>
          <b:Person>
            <b:Last>Walker</b:Last>
            <b:Middle>J</b:Middle>
            <b:First>N</b:First>
          </b:Person>
          <b:Person>
            <b:Last>Saveliev</b:Last>
            <b:Middle>A</b:Middle>
            <b:First>A</b:First>
          </b:Person>
          <b:Person>
            <b:Last>Smith</b:Last>
            <b:Middle>M</b:Middle>
            <b:First>G</b:First>
          </b:Person>
        </b:NameList>
      </b:Author>
    </b:Author>
    <b:RefOrder>469</b:RefOrder>
  </b:Source>
  <b:Source>
    <b:Tag>Rev21</b:Tag>
    <b:SourceType>InternetSite</b:SourceType>
    <b:Guid>{EBE64818-CC3B-BB45-89E0-866FDC3EDC41}</b:Guid>
    <b:Title>The Personality Project</b:Title>
    <b:Year>2021</b:Year>
    <b:URL>https://www.personality-project.org/r/</b:URL>
    <b:YearAccessed>2021</b:YearAccessed>
    <b:MonthAccessed>08</b:MonthAccessed>
    <b:DayAccessed>03</b:DayAccessed>
    <b:Author>
      <b:Author>
        <b:NameList>
          <b:Person>
            <b:Last>Revelle</b:Last>
            <b:First>W</b:First>
          </b:Person>
        </b:NameList>
      </b:Author>
    </b:Author>
    <b:RefOrder>470</b:RefOrder>
  </b:Source>
  <b:Source>
    <b:Tag>Mad12</b:Tag>
    <b:SourceType>Book</b:SourceType>
    <b:Guid>{0F5B7820-E767-B649-B08C-813D57DAB880}</b:Guid>
    <b:Title>Statistics for Anthropology</b:Title>
    <b:Year>2012</b:Year>
    <b:City>Cambridge</b:City>
    <b:Publisher>Cambridge University Press</b:Publisher>
    <b:Edition>2nd Edition</b:Edition>
    <b:Author>
      <b:Author>
        <b:NameList>
          <b:Person>
            <b:Last>Madrigal</b:Last>
            <b:First>L</b:First>
          </b:Person>
        </b:NameList>
      </b:Author>
    </b:Author>
    <b:RefOrder>471</b:RefOrder>
  </b:Source>
  <b:Source>
    <b:Tag>Car17</b:Tag>
    <b:SourceType>Book</b:SourceType>
    <b:Guid>{55B915F8-6189-FC4E-B12C-B4037E6D082B}</b:Guid>
    <b:Title>Quantitative Methods in Archaeology Using R</b:Title>
    <b:City>Cambridge</b:City>
    <b:Publisher>Cambridge University Press</b:Publisher>
    <b:Year>2017</b:Year>
    <b:Author>
      <b:Author>
        <b:NameList>
          <b:Person>
            <b:Last>Carlson</b:Last>
            <b:Middle>L</b:Middle>
            <b:First>D</b:First>
          </b:Person>
        </b:NameList>
      </b:Author>
    </b:Author>
    <b:RefOrder>472</b:RefOrder>
  </b:Source>
  <b:Source>
    <b:Tag>Sar18</b:Tag>
    <b:SourceType>InternetSite</b:SourceType>
    <b:Guid>{326A31A1-5D90-9F4D-9FC2-BEC19DB7708A}</b:Guid>
    <b:Title>Categorical Data: Strategies for working with discrete categorical data</b:Title>
    <b:Year>2018</b:Year>
    <b:URL>https://towardsdatascience.com/understanding-feature-engineering-part-2-categorical-data-f54324193e63</b:URL>
    <b:YearAccessed>2021</b:YearAccessed>
    <b:MonthAccessed>07</b:MonthAccessed>
    <b:DayAccessed>28</b:DayAccessed>
    <b:Author>
      <b:Author>
        <b:NameList>
          <b:Person>
            <b:Last>Sarkar</b:Last>
            <b:First>D</b:First>
          </b:Person>
        </b:NameList>
      </b:Author>
    </b:Author>
    <b:RefOrder>473</b:RefOrder>
  </b:Source>
  <b:Source>
    <b:Tag>Car07</b:Tag>
    <b:SourceType>JournalArticle</b:SourceType>
    <b:Guid>{C7081950-056A-0F4B-B7BF-E05A44146D20}</b:Guid>
    <b:Title>Ten Common Misunderstandings, Misconceptions, Persistent Myths and Urban Legends about Likert Scales and Likert Response Formats and their Antidotes. </b:Title>
    <b:Year>2007</b:Year>
    <b:JournalName>Journal of Social Sciences</b:JournalName>
    <b:Volume>2</b:Volume>
    <b:Pages>106-116</b:Pages>
    <b:Author>
      <b:Author>
        <b:NameList>
          <b:Person>
            <b:Last>Carifio</b:Last>
            <b:First>J</b:First>
          </b:Person>
          <b:Person>
            <b:Last>Perla</b:Last>
            <b:First>R</b:First>
          </b:Person>
        </b:NameList>
      </b:Author>
    </b:Author>
    <b:RefOrder>474</b:RefOrder>
  </b:Source>
  <b:Source>
    <b:Tag>Gla</b:Tag>
    <b:SourceType>JournalArticle</b:SourceType>
    <b:Guid>{2A9298F9-C3C3-8247-8B38-EF5FF20044EF}</b:Guid>
    <b:Title>Consequences of failure to meet assumptions underlying the fixed effects analyses of variance and covariance</b:Title>
    <b:Author>
      <b:Author>
        <b:NameList>
          <b:Person>
            <b:Last>Glass</b:Last>
            <b:Middle>V</b:Middle>
            <b:First>G</b:First>
          </b:Person>
          <b:Person>
            <b:Last>Peckham</b:Last>
            <b:Middle>D</b:Middle>
            <b:First>P</b:First>
          </b:Person>
          <b:Person>
            <b:Last>Sanders</b:Last>
            <b:Middle>R</b:Middle>
            <b:First>J</b:First>
          </b:Person>
        </b:NameList>
      </b:Author>
    </b:Author>
    <b:JournalName>Review of Educational Research</b:JournalName>
    <b:Year>1972</b:Year>
    <b:Volume>42</b:Volume>
    <b:Pages>237-288</b:Pages>
    <b:RefOrder>475</b:RefOrder>
  </b:Source>
  <b:Source>
    <b:Tag>Jam04</b:Tag>
    <b:SourceType>JournalArticle</b:SourceType>
    <b:Guid>{E4B25650-E878-3646-947C-D3C0D180EDBB}</b:Guid>
    <b:Title>Likertscales: how to (ab)use them</b:Title>
    <b:JournalName>Medical Education</b:JournalName>
    <b:Year>2004</b:Year>
    <b:Volume>38</b:Volume>
    <b:Pages>1212-1218</b:Pages>
    <b:Author>
      <b:Author>
        <b:NameList>
          <b:Person>
            <b:Last>Jamieson</b:Last>
            <b:First>S</b:First>
          </b:Person>
        </b:NameList>
      </b:Author>
    </b:Author>
    <b:RefOrder>476</b:RefOrder>
  </b:Source>
  <b:Source>
    <b:Tag>Lub04</b:Tag>
    <b:SourceType>JournalArticle</b:SourceType>
    <b:Guid>{66A42134-7DA6-004D-A686-9E97284234D8}</b:Guid>
    <b:Title>Applying Multigroup Confirmatory Factor Models for Continuous Outcomes to Likert Scale Data Complicates Meaningful Group Comparisons.</b:Title>
    <b:JournalName> Structural Equation Modeling</b:JournalName>
    <b:Year>2004</b:Year>
    <b:Volume>11</b:Volume>
    <b:Pages>514-534</b:Pages>
    <b:Author>
      <b:Author>
        <b:NameList>
          <b:Person>
            <b:Last>Lubke</b:Last>
            <b:Middle>H</b:Middle>
            <b:First>G</b:First>
          </b:Person>
          <b:Person>
            <b:Last>Muthen</b:Last>
            <b:Middle>O</b:Middle>
            <b:First>B</b:First>
          </b:Person>
        </b:NameList>
      </b:Author>
    </b:Author>
    <b:RefOrder>477</b:RefOrder>
  </b:Source>
  <b:Source>
    <b:Tag>Smi18</b:Tag>
    <b:SourceType>JournalArticle</b:SourceType>
    <b:Guid>{1CA85B13-D3CB-A244-915D-DB515000D1E8}</b:Guid>
    <b:Title>The continuing misuse of null hypothesis significance testing in biological anthropology</b:Title>
    <b:Year>2018</b:Year>
    <b:JournalName>American Journal of Physical Anthopology</b:JournalName>
    <b:Volume>166</b:Volume>
    <b:Issue>1</b:Issue>
    <b:Pages>236-245</b:Pages>
    <b:Author>
      <b:Author>
        <b:NameList>
          <b:Person>
            <b:Last>Smith</b:Last>
            <b:Middle>J</b:Middle>
            <b:First>R</b:First>
          </b:Person>
        </b:NameList>
      </b:Author>
    </b:Author>
    <b:RefOrder>478</b:RefOrder>
  </b:Source>
  <b:Source>
    <b:Tag>Cum13</b:Tag>
    <b:SourceType>JournalArticle</b:SourceType>
    <b:Guid>{8BB2CC95-5815-3F45-983F-41FB03FD708E}</b:Guid>
    <b:Title>The New Statistics: Why and How</b:Title>
    <b:JournalName>Psychological Science</b:JournalName>
    <b:Year>2013</b:Year>
    <b:Volume>25</b:Volume>
    <b:Issue>1</b:Issue>
    <b:Pages>7-29. DOI: 10.1177/0956797613504966</b:Pages>
    <b:Author>
      <b:Author>
        <b:NameList>
          <b:Person>
            <b:Last>Cumming</b:Last>
            <b:First>G</b:First>
          </b:Person>
        </b:NameList>
      </b:Author>
    </b:Author>
    <b:RefOrder>479</b:RefOrder>
  </b:Source>
  <b:Source>
    <b:Tag>Tra15</b:Tag>
    <b:SourceType>JournalArticle</b:SourceType>
    <b:Guid>{12CC435A-65B4-1A44-9B35-2ED6363E9696}</b:Guid>
    <b:Title>Editorial</b:Title>
    <b:JournalName>Basic and Applied Social Psychology</b:JournalName>
    <b:Year>2015</b:Year>
    <b:Volume>37</b:Volume>
    <b:Pages>1-2. doi:10.1080/01973533.2015.1012991 </b:Pages>
    <b:Author>
      <b:Author>
        <b:NameList>
          <b:Person>
            <b:Last>Trafimow</b:Last>
            <b:First>D</b:First>
          </b:Person>
          <b:Person>
            <b:Last>Marks</b:Last>
            <b:First>M</b:First>
          </b:Person>
        </b:NameList>
      </b:Author>
    </b:Author>
    <b:RefOrder>480</b:RefOrder>
  </b:Source>
  <b:Source>
    <b:Tag>Amr17</b:Tag>
    <b:SourceType>JournalArticle</b:SourceType>
    <b:Guid>{32DA8273-C0C5-C641-8252-39F75EA82AB9}</b:Guid>
    <b:Title>The earth is flat (p &gt; 0.05): significance thresholds and the crisis of unreplicable research</b:Title>
    <b:JournalName>PeerJ</b:JournalName>
    <b:Year>2017</b:Year>
    <b:Volume>5</b:Volume>
    <b:Pages>e3544. doi: 10.7717/peerj.3544</b:Pages>
    <b:Author>
      <b:Author>
        <b:NameList>
          <b:Person>
            <b:Last>Amrhein</b:Last>
            <b:First>V</b:First>
          </b:Person>
          <b:Person>
            <b:Last>Korner-Nievergelt</b:Last>
            <b:First>F</b:First>
          </b:Person>
          <b:Person>
            <b:Last>Roth</b:Last>
            <b:First>T</b:First>
          </b:Person>
        </b:NameList>
      </b:Author>
    </b:Author>
    <b:RefOrder>481</b:RefOrder>
  </b:Source>
  <b:Source>
    <b:Tag>GuZ21</b:Tag>
    <b:SourceType>InternetSite</b:SourceType>
    <b:Guid>{E18B4A5F-44E0-BD45-9FE9-1750A19C4F85}</b:Guid>
    <b:Title>ComplexHeatmap Complete Reference</b:Title>
    <b:URL>https://jokergoo.github.io/ComplexHeatmap-reference/book/</b:URL>
    <b:Year>2021</b:Year>
    <b:YearAccessed>2021</b:YearAccessed>
    <b:MonthAccessed>07</b:MonthAccessed>
    <b:DayAccessed>21</b:DayAccessed>
    <b:Author>
      <b:Author>
        <b:NameList>
          <b:Person>
            <b:Last>Gu</b:Last>
            <b:First>Z</b:First>
          </b:Person>
        </b:NameList>
      </b:Author>
    </b:Author>
    <b:RefOrder>482</b:RefOrder>
  </b:Source>
  <b:Source>
    <b:Tag>Bar18</b:Tag>
    <b:SourceType>JournalArticle</b:SourceType>
    <b:Guid>{677B9927-C883-3746-8411-A170CE800DA7}</b:Guid>
    <b:Title>Superheat: An R package for creating beautiful and extendable heatmaps for visualizing complex data</b:Title>
    <b:Year>2018</b:Year>
    <b:JournalName>Journal Computer Graphics Statistics</b:JournalName>
    <b:Volume>27</b:Volume>
    <b:Issue>4</b:Issue>
    <b:Pages>910-822</b:Pages>
    <b:Author>
      <b:Author>
        <b:NameList>
          <b:Person>
            <b:Last>Barter</b:Last>
            <b:Middle>L</b:Middle>
            <b:First>R</b:First>
          </b:Person>
          <b:Person>
            <b:Last>Yu</b:Last>
            <b:First>B</b:First>
          </b:Person>
        </b:NameList>
      </b:Author>
    </b:Author>
    <b:RefOrder>483</b:RefOrder>
  </b:Source>
  <b:Source>
    <b:Tag>Gra18</b:Tag>
    <b:SourceType>InternetSite</b:SourceType>
    <b:Guid>{EEC014B8-28FF-BC45-9DAB-739AF3B1862A}</b:Guid>
    <b:Title>Pros and Cons of Treating Ordinal Variables as Nominal or Continuous</b:Title>
    <b:Year>2018</b:Year>
    <b:URL>https://www.theanalysisfactor.com/pros-and-cons-of-treating-ordinal-variables-as-nominal-or-continuous/</b:URL>
    <b:YearAccessed>2021</b:YearAccessed>
    <b:MonthAccessed>07</b:MonthAccessed>
    <b:DayAccessed>28</b:DayAccessed>
    <b:Author>
      <b:Author>
        <b:NameList>
          <b:Person>
            <b:Last>Grace-Martin</b:Last>
            <b:First>K</b:First>
          </b:Person>
        </b:NameList>
      </b:Author>
    </b:Author>
    <b:RefOrder>484</b:RefOrder>
  </b:Source>
  <b:Source>
    <b:Tag>Rob20</b:Tag>
    <b:SourceType>JournalArticle</b:SourceType>
    <b:Guid>{5D248CD8-2ADF-2849-9F19-11486BA7FEA3}</b:Guid>
    <b:Title>Why Ordinal Variables Can (Almost) Always Be Treated as Continuous Variables: Clarifying Assumptions of Robust Continuous and Ordinal Factor Analysis Estimation Methods </b:Title>
    <b:Year>2020</b:Year>
    <b:JournalName>Front.Educ</b:JournalName>
    <b:Pages>https://doi.org/10.3389/feduc.2020.589965</b:Pages>
    <b:Author>
      <b:Author>
        <b:NameList>
          <b:Person>
            <b:Last>Robitzsch</b:Last>
            <b:First>A</b:First>
          </b:Person>
        </b:NameList>
      </b:Author>
    </b:Author>
    <b:RefOrder>485</b:RefOrder>
  </b:Source>
  <b:Source>
    <b:Tag>Dun00</b:Tag>
    <b:SourceType>Book</b:SourceType>
    <b:Guid>{E09A6276-ED83-A145-8D14-2EFE14E48D6B}</b:Guid>
    <b:Title>Statistics in Psychiatry</b:Title>
    <b:Year>2000</b:Year>
    <b:Author>
      <b:Author>
        <b:NameList>
          <b:Person>
            <b:Last>Dunn</b:Last>
            <b:First>G</b:First>
          </b:Person>
        </b:NameList>
      </b:Author>
    </b:Author>
    <b:Publisher>Hodder Arnold</b:Publisher>
    <b:RefOrder>486</b:RefOrder>
  </b:Source>
  <b:Source>
    <b:Tag>Str14</b:Tag>
    <b:SourceType>Book</b:SourceType>
    <b:Guid>{2E4E2077-B2DC-2148-8165-772537FFAD5B}</b:Guid>
    <b:Title>Health Measurement Scales. A practical guide to their development and use </b:Title>
    <b:City>Oxford</b:City>
    <b:Publisher>Oxford University Press</b:Publisher>
    <b:Year>2014</b:Year>
    <b:Edition>5th </b:Edition>
    <b:Author>
      <b:Author>
        <b:NameList>
          <b:Person>
            <b:Last>Streiner</b:Last>
            <b:Middle>L</b:Middle>
            <b:First>D</b:First>
          </b:Person>
          <b:Person>
            <b:Last>Norman</b:Last>
            <b:Middle>R</b:Middle>
            <b:First>G</b:First>
          </b:Person>
        </b:NameList>
      </b:Author>
    </b:Author>
    <b:RefOrder>487</b:RefOrder>
  </b:Source>
  <b:Source>
    <b:Tag>Ren15</b:Tag>
    <b:SourceType>BookSection</b:SourceType>
    <b:Guid>{C1DCDC50-8FA6-D34C-BF51-DE1E1B19D42C}</b:Guid>
    <b:Title>The Unanswered Question: Investigating Early Conceptualisations of Death</b:Title>
    <b:BookTitle>Deaths Rituals, Social Order and the Archaeology of Immortal in the Ancient World: 'Death Shall Have No Dominion'</b:BookTitle>
    <b:City>Camvridge</b:City>
    <b:Publisher>Cambridge Unviersity Press</b:Publisher>
    <b:Year>2015</b:Year>
    <b:Pages>1-14</b:Pages>
    <b:Author>
      <b:Author>
        <b:NameList>
          <b:Person>
            <b:Last>Renfrew</b:Last>
            <b:First>C</b:First>
          </b:Person>
        </b:NameList>
      </b:Author>
      <b:Editor>
        <b:NameList>
          <b:Person>
            <b:Last>C</b:Last>
            <b:First>Renfrew</b:First>
          </b:Person>
          <b:Person>
            <b:Last>Boyd</b:Last>
            <b:Middle>J</b:Middle>
            <b:First>M</b:First>
          </b:Person>
        </b:NameList>
      </b:Editor>
    </b:Author>
    <b:RefOrder>488</b:RefOrder>
  </b:Source>
  <b:Source>
    <b:Tag>Sax70</b:Tag>
    <b:SourceType>Book</b:SourceType>
    <b:Guid>{3CD0BC83-F460-654A-8BE8-35B748DDBC06}</b:Guid>
    <b:Title>Social Dimensions of Mortuary Practices</b:Title>
    <b:City>Ann Arbor, MA</b:City>
    <b:Publisher>University Microfilms</b:Publisher>
    <b:Year>1970</b:Year>
    <b:Author>
      <b:Author>
        <b:NameList>
          <b:Person>
            <b:Last>Saxe</b:Last>
            <b:First>A</b:First>
          </b:Person>
        </b:NameList>
      </b:Author>
    </b:Author>
    <b:RefOrder>489</b:RefOrder>
  </b:Source>
  <b:Source>
    <b:Tag>Boo20</b:Tag>
    <b:SourceType>BookSection</b:SourceType>
    <b:Guid>{DBB22064-E5C6-174B-A656-1B333CE79D99}</b:Guid>
    <b:Title>Using bone histology to identify stillborn infants in the archaeological record</b:Title>
    <b:City>New York</b:City>
    <b:Publisher>Springer</b:Publisher>
    <b:Year>2020</b:Year>
    <b:BookTitle>The Mother-Infant Nexus in Anthropology: small beginnings, significant outcomes</b:BookTitle>
    <b:Pages>193-209</b:Pages>
    <b:Author>
      <b:Author>
        <b:NameList>
          <b:Person>
            <b:Last>Booth</b:Last>
            <b:Middle>J</b:Middle>
            <b:First>T</b:First>
          </b:Person>
        </b:NameList>
      </b:Author>
      <b:Editor>
        <b:NameList>
          <b:Person>
            <b:Last>Gowland</b:Last>
            <b:First>R</b:First>
          </b:Person>
          <b:Person>
            <b:Last>Halcrow</b:Last>
            <b:First>S</b:First>
          </b:Person>
        </b:NameList>
      </b:Editor>
    </b:Author>
    <b:RefOrder>490</b:RefOrder>
  </b:Source>
  <b:Source>
    <b:Tag>Día05</b:Tag>
    <b:SourceType>Book</b:SourceType>
    <b:Guid>{DACA7AD5-4241-EC4F-A264-78C0665CF125}</b:Guid>
    <b:Title>The Archaeology of Identity: Approaches to gender, age, status, ethnicity, and religion</b:Title>
    <b:City>London</b:City>
    <b:Publisher>Routledge</b:Publisher>
    <b:Year>2005</b:Year>
    <b:Author>
      <b:Author>
        <b:NameList>
          <b:Person>
            <b:Last>Díaz-Andreu</b:Last>
            <b:First>M</b:First>
          </b:Person>
          <b:Person>
            <b:Last>Lucy</b:Last>
            <b:First>S</b:First>
          </b:Person>
          <b:Person>
            <b:Last>Babić</b:Last>
            <b:First>S</b:First>
          </b:Person>
          <b:Person>
            <b:Last>Edwards</b:Last>
            <b:Middle>N</b:Middle>
            <b:First>D</b:First>
          </b:Person>
        </b:NameList>
      </b:Author>
    </b:Author>
    <b:RefOrder>491</b:RefOrder>
  </b:Source>
  <b:Source>
    <b:Tag>Zag08</b:Tag>
    <b:SourceType>BookSection</b:SourceType>
    <b:Guid>{9CA3360A-A7C4-2647-8699-28560E4DAD56}</b:Guid>
    <b:Title>The Use of Ochre in Stone Age Burials of the East Baltic</b:Title>
    <b:Year>2008</b:Year>
    <b:Pages>115-126</b:Pages>
    <b:BookTitle>The Materiality of Death: Bodies, burials, beliefs</b:BookTitle>
    <b:City>Oxford</b:City>
    <b:Publisher>BAR International Series 1768. Archaeopress</b:Publisher>
    <b:Author>
      <b:Author>
        <b:NameList>
          <b:Person>
            <b:Last>Zagorska</b:Last>
            <b:First>I</b:First>
          </b:Person>
        </b:NameList>
      </b:Author>
      <b:Editor>
        <b:NameList>
          <b:Person>
            <b:Last>Fahlander</b:Last>
            <b:First>F</b:First>
          </b:Person>
          <b:Person>
            <b:Last>Oestigaard</b:Last>
            <b:First>T</b:First>
          </b:Person>
        </b:NameList>
      </b:Editor>
    </b:Author>
    <b:RefOrder>492</b:RefOrder>
  </b:Source>
  <b:Source>
    <b:Tag>Ren07</b:Tag>
    <b:SourceType>Book</b:SourceType>
    <b:Guid>{89A7CAD3-B592-7743-ADE4-F01A7A652723}</b:Guid>
    <b:Title>Prehistory: The making of the human mind</b:Title>
    <b:City>London </b:City>
    <b:Publisher>Phoenix</b:Publisher>
    <b:Year>2007</b:Year>
    <b:Author>
      <b:Author>
        <b:NameList>
          <b:Person>
            <b:Last>Renfrew</b:Last>
            <b:First>C</b:First>
          </b:Person>
        </b:NameList>
      </b:Author>
    </b:Author>
    <b:RefOrder>493</b:RefOrder>
  </b:Source>
  <b:Source>
    <b:Tag>Placeholder3</b:Tag>
    <b:SourceType>Book</b:SourceType>
    <b:Guid>{763E38F0-DAAA-4941-B7DD-BC4EC1352428}</b:Guid>
    <b:Title>The Archaeology of Death and Burial</b:Title>
    <b:Year>2010</b:Year>
    <b:City>Stroud</b:City>
    <b:Publisher>Historic Press</b:Publisher>
    <b:Author>
      <b:Author>
        <b:NameList>
          <b:Person>
            <b:Last>Parker Pearson</b:Last>
            <b:First>M</b:First>
          </b:Person>
        </b:NameList>
      </b:Author>
    </b:Author>
    <b:RefOrder>494</b:RefOrder>
  </b:Source>
  <b:Source>
    <b:Tag>Veled</b:Tag>
    <b:SourceType>BookSection</b:SourceType>
    <b:Guid>{11E7A9EB-F05A-F244-B641-18695BCDE328}</b:Guid>
    <b:Title>For some, not all: A comparison of past research trajectories of archaeological Ochre in Africa and Europe</b:Title>
    <b:Year>submitted</b:Year>
    <b:Author>
      <b:Author>
        <b:NameList>
          <b:Person>
            <b:Last>Velliky</b:Last>
            <b:Middle>C</b:Middle>
            <b:First>E</b:First>
          </b:Person>
          <b:Person>
            <b:Last>Paris</b:Last>
            <b:Middle>E</b:Middle>
            <b:First>S</b:First>
          </b:Person>
        </b:NameList>
      </b:Author>
      <b:Editor>
        <b:NameList>
          <b:Person>
            <b:Last>Dutkiewicz</b:Last>
            <b:First>E</b:First>
          </b:Person>
          <b:Person>
            <b:Last>Conard</b:Last>
            <b:First>N</b:First>
            <b:Middle>J</b:Middle>
          </b:Person>
        </b:NameList>
      </b:Editor>
    </b:Author>
    <b:City>Tüebingen</b:City>
    <b:Publisher>Kerns-Verl</b:Publisher>
    <b:BookTitle>Proceedings of the 57th Hugo Obermeier Society Meeting, Heidenheim, April 7-11 2015.</b:BookTitle>
    <b:RefOrder>495</b:RefOrder>
  </b:Source>
  <b:Source>
    <b:Tag>She00</b:Tag>
    <b:SourceType>JournalArticle</b:SourceType>
    <b:Guid>{B51E8F39-78D9-5F42-883E-3B497C17ADCE}</b:Guid>
    <b:Title>Feta; age: &lt;ethods of estimation and effects of pathology</b:Title>
    <b:Year>2000</b:Year>
    <b:Pages>305-315</b:Pages>
    <b:JournalName>American Journal of Physical Anthropology</b:JournalName>
    <b:Volume>113</b:Volume>
    <b:Author>
      <b:Author>
        <b:NameList>
          <b:Person>
            <b:Last>Sherwood</b:Last>
            <b:Middle>J</b:Middle>
            <b:First>R</b:First>
          </b:Person>
          <b:Person>
            <b:Last>Meindi</b:Last>
            <b:Middle>S</b:Middle>
            <b:First>R</b:First>
          </b:Person>
          <b:Person>
            <b:Last>Robinson</b:Last>
            <b:Middle>B</b:Middle>
            <b:First>H</b:First>
          </b:Person>
          <b:Person>
            <b:Last>May</b:Last>
            <b:Middle>L</b:Middle>
            <b:First>R</b:First>
          </b:Person>
        </b:NameList>
      </b:Author>
    </b:Author>
    <b:RefOrder>496</b:RefOrder>
  </b:Source>
  <b:Source>
    <b:Tag>Placeholder4</b:Tag>
    <b:SourceType>JournalArticle</b:SourceType>
    <b:Guid>{28A083C2-E2FF-BD4C-9889-3C405BD6ABC9}</b:Guid>
    <b:Title>Rcial differences in temporal changes in newborn vitality and survival by gestation age</b:Title>
    <b:Year>2000</b:Year>
    <b:JournalName>Paediatric and Perinatal Epidemiology</b:JournalName>
    <b:Volume>14</b:Volume>
    <b:Pages>152-158</b:Pages>
    <b:Author>
      <b:Author>
        <b:NameList>
          <b:Person>
            <b:Last>Allen</b:Last>
            <b:Middle>C</b:Middle>
            <b:First>M</b:First>
          </b:Person>
          <b:Person>
            <b:Last>Alexander</b:Last>
            <b:Middle>R</b:Middle>
            <b:First>G</b:First>
          </b:Person>
          <b:Person>
            <b:Last>Thompkins</b:Last>
            <b:Middle>E</b:Middle>
            <b:First>M</b:First>
          </b:Person>
          <b:Person>
            <b:Last>Hulsey</b:Last>
            <b:Middle>C</b:Middle>
            <b:First>T</b:First>
          </b:Person>
        </b:NameList>
      </b:Author>
    </b:Author>
    <b:RefOrder>497</b:RefOrder>
  </b:Source>
  <b:Source>
    <b:Tag>Cas91</b:Tag>
    <b:SourceType>BookSection</b:SourceType>
    <b:Guid>{B7630F5C-4A39-8E48-936A-C700D25DDB1D}</b:Guid>
    <b:Title>The size frequency distribution of Scylla serrata crabs</b:Title>
    <b:Publisher>Society of Antiquaries Research Report 48</b:Publisher>
    <b:Year>1991</b:Year>
    <b:Author>
      <b:Author>
        <b:NameList>
          <b:Person>
            <b:Last>Cassaidy</b:Last>
            <b:First>D</b:First>
          </b:Person>
        </b:NameList>
      </b:Author>
      <b:Editor>
        <b:NameList>
          <b:Person>
            <b:Last>Higham</b:Last>
            <b:Middle>F. W</b:Middle>
            <b:First>C</b:First>
          </b:Person>
          <b:Person>
            <b:Last>Bannanurag</b:Last>
            <b:First>R</b:First>
          </b:Person>
        </b:NameList>
      </b:Editor>
    </b:Author>
    <b:BookTitle>The excavation of Khok Phanom Di, a prehistoric site in Central Thailand, vol. 2, The biological remains (Part 1),</b:BookTitle>
    <b:Pages>231–36</b:Pages>
    <b:RefOrder>498</b:RefOrder>
  </b:Source>
  <b:Source>
    <b:Tag>Kij91</b:Tag>
    <b:SourceType>BookSection</b:SourceType>
    <b:Guid>{71C6BF30-4071-E041-BADD-0BDE0E5741B4}</b:Guid>
    <b:Author>
      <b:Author>
        <b:NameList>
          <b:Person>
            <b:Last>Kijngam</b:Last>
            <b:First>A</b:First>
          </b:Person>
        </b:NameList>
      </b:Author>
      <b:Editor>
        <b:NameList>
          <b:Person>
            <b:Last>Higham </b:Last>
            <b:Middle>F. W</b:Middle>
            <b:First>C</b:First>
          </b:Person>
          <b:Person>
            <b:Last>Bannanurag</b:Last>
            <b:First>R</b:First>
          </b:Person>
        </b:NameList>
      </b:Editor>
    </b:Author>
    <b:Title>The remains of fish, crabs, and turtles  Society of Antiquaries Research</b:Title>
    <b:BookTitle>The excavation of Khok Phanom Di, a prehistoric site in central Thailand, vol. 2, The biological remains (Part 1)</b:BookTitle>
    <b:Publisher>Society of Antiquaries Research Report 48</b:Publisher>
    <b:Year>1991</b:Year>
    <b:Pages>223–30</b:Pages>
    <b:RefOrder>1</b:RefOrder>
  </b:Source>
</b:Sources>
</file>

<file path=customXml/itemProps1.xml><?xml version="1.0" encoding="utf-8"?>
<ds:datastoreItem xmlns:ds="http://schemas.openxmlformats.org/officeDocument/2006/customXml" ds:itemID="{16E7912E-5249-B74D-8FD8-790F3B40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1826</Words>
  <Characters>10410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Paris</cp:lastModifiedBy>
  <cp:revision>2</cp:revision>
  <cp:lastPrinted>2025-04-25T07:41:00Z</cp:lastPrinted>
  <dcterms:created xsi:type="dcterms:W3CDTF">2025-05-01T10:33:00Z</dcterms:created>
  <dcterms:modified xsi:type="dcterms:W3CDTF">2025-05-01T10:33:00Z</dcterms:modified>
</cp:coreProperties>
</file>