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A0A2F9" w14:textId="77777777" w:rsidR="00E51893" w:rsidRPr="004D483D" w:rsidRDefault="00E51893" w:rsidP="00E51893">
      <w:pPr>
        <w:rPr>
          <w:rFonts w:ascii="Times New Roman" w:hAnsi="Times New Roman"/>
          <w:b/>
        </w:rPr>
      </w:pPr>
      <w:r w:rsidRPr="004D483D">
        <w:rPr>
          <w:rFonts w:ascii="Times New Roman" w:hAnsi="Times New Roman"/>
          <w:b/>
        </w:rPr>
        <w:t>Appendix I</w:t>
      </w:r>
    </w:p>
    <w:p w14:paraId="61990113" w14:textId="77777777" w:rsidR="00E51893" w:rsidRPr="004D483D" w:rsidRDefault="00E51893" w:rsidP="00E51893">
      <w:pPr>
        <w:rPr>
          <w:rFonts w:ascii="Times New Roman" w:hAnsi="Times New Roman"/>
        </w:rPr>
      </w:pPr>
    </w:p>
    <w:p w14:paraId="45CB0ED8" w14:textId="77777777" w:rsidR="00E51893" w:rsidRPr="004D483D" w:rsidRDefault="00E51893" w:rsidP="00E51893">
      <w:pPr>
        <w:rPr>
          <w:rFonts w:ascii="Times New Roman" w:hAnsi="Times New Roman"/>
        </w:rPr>
      </w:pPr>
      <w:r w:rsidRPr="004D483D">
        <w:rPr>
          <w:rFonts w:ascii="Times New Roman" w:hAnsi="Times New Roman"/>
        </w:rPr>
        <w:t xml:space="preserve">Ancient DNA analysis was performed </w:t>
      </w:r>
      <w:proofErr w:type="gramStart"/>
      <w:r w:rsidRPr="004D483D">
        <w:rPr>
          <w:rFonts w:ascii="Times New Roman" w:hAnsi="Times New Roman"/>
        </w:rPr>
        <w:t>in an attempt to</w:t>
      </w:r>
      <w:proofErr w:type="gramEnd"/>
      <w:r w:rsidRPr="004D483D">
        <w:rPr>
          <w:rFonts w:ascii="Times New Roman" w:hAnsi="Times New Roman"/>
        </w:rPr>
        <w:t xml:space="preserve"> clarify the genetic ancestry of, and relatedness between, individuals deposited at the Başur Höyük (Turkey) site. </w:t>
      </w:r>
      <w:proofErr w:type="gramStart"/>
      <w:r w:rsidRPr="004D483D">
        <w:rPr>
          <w:rFonts w:ascii="Times New Roman" w:hAnsi="Times New Roman"/>
        </w:rPr>
        <w:t>All of</w:t>
      </w:r>
      <w:proofErr w:type="gramEnd"/>
      <w:r w:rsidRPr="004D483D">
        <w:rPr>
          <w:rFonts w:ascii="Times New Roman" w:hAnsi="Times New Roman"/>
        </w:rPr>
        <w:t xml:space="preserve"> the pre-PCR laboratory work, including sampling was carried out in the dedicated ancient DNA laboratory at the Natural History Museum (NHM), London, UK. Twenty-five femora, petrous and teeth were sampled, with laboratory techniques following standard ancient DNA specific protocols </w:t>
      </w:r>
      <w:sdt>
        <w:sdtPr>
          <w:rPr>
            <w:rFonts w:ascii="Times New Roman" w:hAnsi="Times New Roman"/>
            <w:color w:val="000000"/>
          </w:rPr>
          <w:tag w:val="MENDELEY_CITATION_v3_eyJjaXRhdGlvbklEIjoiTUVOREVMRVlfQ0lUQVRJT05fODg1NGZhM2MtMzhjMy00NjJjLWE5NmYtYWY3NDNmZDJhNzRmIiwiY2l0YXRpb25JdGVtcyI6W3siaWQiOiIxMGJhMjJhZi05MDRlLTM3MTctYjE1Yy1jOWUyYWZmYzQyNmMiLCJpc1RlbXBvcmFyeSI6ZmFsc2UsIml0ZW1EYXRhIjp7InR5cGUiOiJhcnRpY2xlLWpvdXJuYWwiLCJpZCI6IjEwYmEyMmFmLTkwNGUtMzcxNy1iMTVjLWM5ZTJhZmZjNDI2YyIsInRpdGxlIjoiQSBoaWdoLWNvdmVyYWdlIGdlbm9tZSBzZXF1ZW5jZSBmcm9tIGFuIGFyY2hhaWMgRGVuaXNvdmFuIGluZGl2aWR1YWwiLCJhdXRob3IiOlt7ImZhbWlseSI6Ik1leWVyIiwiZ2l2ZW4iOiJNYXR0aGlhcyIsInBhcnNlLW5hbWVzIjpmYWxzZSwiZHJvcHBpbmctcGFydGljbGUiOiIiLCJub24tZHJvcHBpbmctcGFydGljbGUiOiIifSx7ImZhbWlseSI6IktpcmNoZXIiLCJnaXZlbiI6Ik1hcnRpbiIsInBhcnNlLW5hbWVzIjpmYWxzZSwiZHJvcHBpbmctcGFydGljbGUiOiIiLCJub24tZHJvcHBpbmctcGFydGljbGUiOiIifSx7ImZhbWlseSI6IkdhbnNhdWdlIiwiZ2l2ZW4iOiJNYXJpZSBUaGVyZXMiLCJwYXJzZS1uYW1lcyI6ZmFsc2UsImRyb3BwaW5nLXBhcnRpY2xlIjoiIiwibm9uLWRyb3BwaW5nLXBhcnRpY2xlIjoiIn0seyJmYW1pbHkiOiJMaSIsImdpdmVuIjoiSGVuZyIsInBhcnNlLW5hbWVzIjpmYWxzZSwiZHJvcHBpbmctcGFydGljbGUiOiIiLCJub24tZHJvcHBpbmctcGFydGljbGUiOiIifSx7ImZhbWlseSI6IlJhY2ltbyIsImdpdmVuIjoiRmVybmFuZG8iLCJwYXJzZS1uYW1lcyI6ZmFsc2UsImRyb3BwaW5nLXBhcnRpY2xlIjoiIiwibm9uLWRyb3BwaW5nLXBhcnRpY2xlIjoiIn0seyJmYW1pbHkiOiJNYWxsaWNrIiwiZ2l2ZW4iOiJTd2FwYW4iLCJwYXJzZS1uYW1lcyI6ZmFsc2UsImRyb3BwaW5nLXBhcnRpY2xlIjoiIiwibm9uLWRyb3BwaW5nLXBhcnRpY2xlIjoiIn0seyJmYW1pbHkiOiJTY2hyYWliZXIiLCJnaXZlbiI6Ikpvc2h1YSBHLiIsInBhcnNlLW5hbWVzIjpmYWxzZSwiZHJvcHBpbmctcGFydGljbGUiOiIiLCJub24tZHJvcHBpbmctcGFydGljbGUiOiIifSx7ImZhbWlseSI6IkpheSIsImdpdmVuIjoiRmxvcmEiLCJwYXJzZS1uYW1lcyI6ZmFsc2UsImRyb3BwaW5nLXBhcnRpY2xlIjoiIiwibm9uLWRyb3BwaW5nLXBhcnRpY2xlIjoiIn0seyJmYW1pbHkiOiJQcsO8ZmVyIiwiZ2l2ZW4iOiJLYXkiLCJwYXJzZS1uYW1lcyI6ZmFsc2UsImRyb3BwaW5nLXBhcnRpY2xlIjoiIiwibm9uLWRyb3BwaW5nLXBhcnRpY2xlIjoiIn0seyJmYW1pbHkiOiJGaWxpcHBvIiwiZ2l2ZW4iOiJDZXNhcmUiLCJwYXJzZS1uYW1lcyI6ZmFsc2UsImRyb3BwaW5nLXBhcnRpY2xlIjoiIiwibm9uLWRyb3BwaW5nLXBhcnRpY2xlIjoiRGUifSx7ImZhbWlseSI6IlN1ZG1hbnQiLCJnaXZlbiI6IlBldGVyIEguIiwicGFyc2UtbmFtZXMiOmZhbHNlLCJkcm9wcGluZy1wYXJ0aWNsZSI6IiIsIm5vbi1kcm9wcGluZy1wYXJ0aWNsZSI6IiJ9LHsiZmFtaWx5IjoiQWxrYW4iLCJnaXZlbiI6IkNhbiIsInBhcnNlLW5hbWVzIjpmYWxzZSwiZHJvcHBpbmctcGFydGljbGUiOiIiLCJub24tZHJvcHBpbmctcGFydGljbGUiOiIifSx7ImZhbWlseSI6IkZ1IiwiZ2l2ZW4iOiJRaWFvbWVpIiwicGFyc2UtbmFtZXMiOmZhbHNlLCJkcm9wcGluZy1wYXJ0aWNsZSI6IiIsIm5vbi1kcm9wcGluZy1wYXJ0aWNsZSI6IiJ9LHsiZmFtaWx5IjoiRG8iLCJnaXZlbiI6IlJvbiIsInBhcnNlLW5hbWVzIjpmYWxzZSwiZHJvcHBpbmctcGFydGljbGUiOiIiLCJub24tZHJvcHBpbmctcGFydGljbGUiOiIifSx7ImZhbWlseSI6IlJvaGxhbmQiLCJnaXZlbiI6Ik5hZGluIiwicGFyc2UtbmFtZXMiOmZhbHNlLCJkcm9wcGluZy1wYXJ0aWNsZSI6IiIsIm5vbi1kcm9wcGluZy1wYXJ0aWNsZSI6IiJ9LHsiZmFtaWx5IjoiVGFuZG9uIiwiZ2l2ZW4iOiJBcnRpIiwicGFyc2UtbmFtZXMiOmZhbHNlLCJkcm9wcGluZy1wYXJ0aWNsZSI6IiIsIm5vbi1kcm9wcGluZy1wYXJ0aWNsZSI6IiJ9LHsiZmFtaWx5IjoiU2llYmF1ZXIiLCJnaXZlbiI6Ik1pY2hhZWwiLCJwYXJzZS1uYW1lcyI6ZmFsc2UsImRyb3BwaW5nLXBhcnRpY2xlIjoiIiwibm9uLWRyb3BwaW5nLXBhcnRpY2xlIjoiIn0seyJmYW1pbHkiOiJHcmVlbiIsImdpdmVuIjoiUmljaGFyZCBFLiIsInBhcnNlLW5hbWVzIjpmYWxzZSwiZHJvcHBpbmctcGFydGljbGUiOiIiLCJub24tZHJvcHBpbmctcGFydGljbGUiOiIifSx7ImZhbWlseSI6IkJyeWMiLCJnaXZlbiI6IkthdGFyenluYSIsInBhcnNlLW5hbWVzIjpmYWxzZSwiZHJvcHBpbmctcGFydGljbGUiOiIiLCJub24tZHJvcHBpbmctcGFydGljbGUiOiIifSx7ImZhbWlseSI6IkJyaWdncyIsImdpdmVuIjoiQWRyaWFuIFcuIiwicGFyc2UtbmFtZXMiOmZhbHNlLCJkcm9wcGluZy1wYXJ0aWNsZSI6IiIsIm5vbi1kcm9wcGluZy1wYXJ0aWNsZSI6IiJ9LHsiZmFtaWx5IjoiU3RlbnplbCIsImdpdmVuIjoiVWRvIiwicGFyc2UtbmFtZXMiOmZhbHNlLCJkcm9wcGluZy1wYXJ0aWNsZSI6IiIsIm5vbi1kcm9wcGluZy1wYXJ0aWNsZSI6IiJ9LHsiZmFtaWx5IjoiRGFibmV5IiwiZ2l2ZW4iOiJKZXNzZSIsInBhcnNlLW5hbWVzIjpmYWxzZSwiZHJvcHBpbmctcGFydGljbGUiOiIiLCJub24tZHJvcHBpbmctcGFydGljbGUiOiIifSx7ImZhbWlseSI6IlNoZW5kdXJlIiwiZ2l2ZW4iOiJKYXkiLCJwYXJzZS1uYW1lcyI6ZmFsc2UsImRyb3BwaW5nLXBhcnRpY2xlIjoiIiwibm9uLWRyb3BwaW5nLXBhcnRpY2xlIjoiIn0seyJmYW1pbHkiOiJLaXR6bWFuIiwiZ2l2ZW4iOiJKYWNvYiIsInBhcnNlLW5hbWVzIjpmYWxzZSwiZHJvcHBpbmctcGFydGljbGUiOiIiLCJub24tZHJvcHBpbmctcGFydGljbGUiOiIifSx7ImZhbWlseSI6IkhhbW1lciIsImdpdmVuIjoiTWljaGFlbCBGLiIsInBhcnNlLW5hbWVzIjpmYWxzZSwiZHJvcHBpbmctcGFydGljbGUiOiIiLCJub24tZHJvcHBpbmctcGFydGljbGUiOiIifSx7ImZhbWlseSI6IlNodW5rb3YiLCJnaXZlbiI6Ik1pY2hhZWwiLCJwYXJzZS1uYW1lcyI6ZmFsc2UsImRyb3BwaW5nLXBhcnRpY2xlIjoiVi4iLCJub24tZHJvcHBpbmctcGFydGljbGUiOiIifSx7ImZhbWlseSI6IkRlcmV2aWFua28iLCJnaXZlbiI6IkFuYXRvbGkgUC4iLCJwYXJzZS1uYW1lcyI6ZmFsc2UsImRyb3BwaW5nLXBhcnRpY2xlIjoiIiwibm9uLWRyb3BwaW5nLXBhcnRpY2xlIjoiIn0seyJmYW1pbHkiOiJQYXR0ZXJzb24iLCJnaXZlbiI6Ik5pY2siLCJwYXJzZS1uYW1lcyI6ZmFsc2UsImRyb3BwaW5nLXBhcnRpY2xlIjoiIiwibm9uLWRyb3BwaW5nLXBhcnRpY2xlIjoiIn0seyJmYW1pbHkiOiJBbmRyw6lzIiwiZ2l2ZW4iOiJBaWRhIE0uIiwicGFyc2UtbmFtZXMiOmZhbHNlLCJkcm9wcGluZy1wYXJ0aWNsZSI6IiIsIm5vbi1kcm9wcGluZy1wYXJ0aWNsZSI6IiJ9LHsiZmFtaWx5IjoiRWljaGxlciIsImdpdmVuIjoiRXZhbiBFLiIsInBhcnNlLW5hbWVzIjpmYWxzZSwiZHJvcHBpbmctcGFydGljbGUiOiIiLCJub24tZHJvcHBpbmctcGFydGljbGUiOiIifSx7ImZhbWlseSI6IlNsYXRraW4iLCJnaXZlbiI6Ik1vbnRnb21lcnkiLCJwYXJzZS1uYW1lcyI6ZmFsc2UsImRyb3BwaW5nLXBhcnRpY2xlIjoiIiwibm9uLWRyb3BwaW5nLXBhcnRpY2xlIjoiIn0seyJmYW1pbHkiOiJSZWljaCIsImdpdmVuIjoiRGF2aWQiLCJwYXJzZS1uYW1lcyI6ZmFsc2UsImRyb3BwaW5nLXBhcnRpY2xlIjoiIiwibm9uLWRyb3BwaW5nLXBhcnRpY2xlIjoiIn0seyJmYW1pbHkiOiJLZWxzbyIsImdpdmVuIjoiSmFuZXQiLCJwYXJzZS1uYW1lcyI6ZmFsc2UsImRyb3BwaW5nLXBhcnRpY2xlIjoiIiwibm9uLWRyb3BwaW5nLXBhcnRpY2xlIjoiIn0seyJmYW1pbHkiOiJQw6TDpGJvIiwiZ2l2ZW4iOiJTdmFudGUiLCJwYXJzZS1uYW1lcyI6ZmFsc2UsImRyb3BwaW5nLXBhcnRpY2xlIjoiIiwibm9uLWRyb3BwaW5nLXBhcnRpY2xlIjoiIn1dLCJjb250YWluZXItdGl0bGUiOiJTY2llbmNlIiwiY29udGFpbmVyLXRpdGxlLXNob3J0IjoiU2NpZW5jZSAoMTk3OSkiLCJET0kiOiIxMC4xMTI2L3NjaWVuY2UuMTIyNDM0NCIsIklTU04iOiIxMDk1OTIwMyIsIlBNSUQiOiIyMjkzNjU2OCIsImlzc3VlZCI6eyJkYXRlLXBhcnRzIjpbWzIwMTJdXX0sInBhZ2UiOiIyMjItMjI2IiwiYWJzdHJhY3QiOiJXZSBwcmVzZW50IGEgRE5BIGxpYnJhcnkgcHJlcGFyYXRpb24gbWV0aG9kIHRoYXQgaGFzIGFsbG93ZWQgdXMgdG8gcmVjb25zdHJ1Y3QgYSBoaWdoLWNvdmVyYWdlICgzMHgpIGdlbm9tZSBzZXF1ZW5jZSBvZiBhIERlbmlzb3ZhbiwgYW4gZXh0aW5jdCByZWxhdGl2ZSBvZiBOZWFuZGVydGFscy4gVGhlIHF1YWxpdHkgb2YgdGhpcyBnZW5vbWUgYWxsb3dzIGEgZGlyZWN0IGVzdGltYXRpb24gb2YgRGVuaXNvdmFuIGhldGVyb3p5Z29zaXR5IGluZGljYXRpbmcgdGhhdCBnZW5ldGljIGRpdmVyc2l0eSBpbiB0aGVzZSBhcmNoYWljIGhvbWluaW5zIHdhcyBleHRyZW1lbHkgbG93LiBJdCBhbHNvIGFsbG93cyB0ZW50YXRpdmUgZGF0aW5nIG9mIHRoZSBzcGVjaW1lbiBvbiB0aGUgYmFzaXMgb2YgXCJtaXNzaW5nIGV2b2x1dGlvblwiIGluIGl0cyBnZW5vbWUsIGRldGFpbGVkIG1lYXN1cmVtZW50cyBvZiBEZW5pc292YW4gYW5kIE5lYW5kZXJ0YWwgYWRtaXh0dXJlIGludG8gcHJlc2VudC1kYXkgaHVtYW4gcG9wdWxhdGlvbnMsIGFuZCB0aGUgZ2VuZXJhdGlvbiBvZiBhIG5lYXItY29tcGxldGUgY2F0YWxvZyBvZiBnZW5ldGljIGNoYW5nZXMgdGhhdCBzd2VwdCB0byBoaWdoIGZyZXF1ZW5jeSBpbiBtb2Rlcm4gaHVtYW5zIHNpbmNlIHRoZWlyIGRpdmVyZ2VuY2UgZnJvbSBEZW5pc292YW5zLiIsImlzc3VlIjoiNjEwNCIsInZvbHVtZSI6IjMzOCJ9fSx7ImlkIjoiMDgzMTcwMzgtZjc0Yi0zODYwLTk2NmYtZDA2MjI5ZmY4OGNmIiwiaXNUZW1wb3JhcnkiOmZhbHNlLCJpdGVtRGF0YSI6eyJ0eXBlIjoiYXJ0aWNsZS1qb3VybmFsIiwiaWQiOiIwODMxNzAzOC1mNzRiLTM4NjAtOTY2Zi1kMDYyMjlmZjg4Y2YiLCJ0aXRsZSI6IkFuY2llbnQgRE5BIGRhbWFnZSIsImF1dGhvciI6W3siZmFtaWx5IjoiRGFibmV5IiwiZ2l2ZW4iOiJKZXNzZSIsInBhcnNlLW5hbWVzIjpmYWxzZSwiZHJvcHBpbmctcGFydGljbGUiOiIiLCJub24tZHJvcHBpbmctcGFydGljbGUiOiIifSx7ImZhbWlseSI6Ik1leWVyIiwiZ2l2ZW4iOiJNYXR0aGlhcyIsInBhcnNlLW5hbWVzIjpmYWxzZSwiZHJvcHBpbmctcGFydGljbGUiOiIiLCJub24tZHJvcHBpbmctcGFydGljbGUiOiIifSx7ImZhbWlseSI6IlDDpMOkYm8iLCJnaXZlbiI6IlN2YW50ZSIsInBhcnNlLW5hbWVzIjpmYWxzZSwiZHJvcHBpbmctcGFydGljbGUiOiIiLCJub24tZHJvcHBpbmctcGFydGljbGUiOiIifV0sImNvbnRhaW5lci10aXRsZSI6IkNvbGQgU3ByaW5nIEhhcmJvciBQZXJzcGVjdGl2ZXMgaW4gQmlvbG9neSIsImNvbnRhaW5lci10aXRsZS1zaG9ydCI6IkNvbGQgU3ByaW5nIEhhcmIgUGVyc3BlY3QgQmlvbCIsIkRPSSI6IjEwLjExMDEvY3NocGVyc3BlY3QuYTAxMjU2NyIsIklTU04iOiIxOTQzMDI2NCIsImlzc3VlZCI6eyJkYXRlLXBhcnRzIjpbWzIwMTNdXX0sInBhZ2UiOiIxLTgiLCJhYnN0cmFjdCI6IlVuZGVyIGZhdm9yYWJsZSBjb25kaXRpb25zIEROQSBjYW4gc3Vydml2ZSBmb3IgdGhvdXNhbmRzIG9mIHllYXJzIGluIHRoZSByZW1haW5zIG9mIGRlYWQgb3JnYW5pc21zLiBUaGUgRE5BIGV4dHJhY3RlZCBmcm9tIHN1Y2ggcmVtYWlucyBpcyBpbnZhcmlhYmx5IGRlZ3JhZGVkIHRvIGEgc21hbGwgYXZlcmFnZSBzaXplIGJ5IHByb2Nlc3NlcyB0aGF0IGF0IGxlYXN0IHBhcnRseSBpbnZvbHZlIGRlcHVyaW5hdGlvbi4gSXQgYWxzbyBjb250YWlucyBsYXJnZSBhbW91bnRzIG9mIGRlYW1pbmF0ZWQgY3l0b3NpbmUgcmVzaWR1ZXMgdGhhdCBhcmUgYWNjdW11bGF0ZWQgdG93YXJkIHRoZSBlbmRzIG9mIHRoZSBtb2xlY3VsZXMsIGFzd2VsbCBhcyBzZXZlcmFsIG90aGVyIGxlc2lvbnMgdGhhdCBhcmUgbGVzcyB3ZWxsIGNoYXJhY3Rlcml6ZWQuIMKpIDIwMTMgQ29sZCBTcHJpbmcgSGFyYm9yIExhYm9yYXRvcnkgUHJlc3M7IGFsbCByaWdodHMgcmVzZXJ2ZWQuIiwiaXNzdWUiOiI3Iiwidm9sdW1lIjoiNSJ9fSx7ImlkIjoiM2FkNzcxYmEtMDMyMS0zYTU0LWE4YjQtMjQ4ZWVkNjYxNmJiIiwiaXNUZW1wb3JhcnkiOmZhbHNlLCJpdGVtRGF0YSI6eyJ0eXBlIjoiYXJ0aWNsZS1qb3VybmFsIiwiaWQiOiIzYWQ3NzFiYS0wMzIxLTNhNTQtYThiNC0yNDhlZWQ2NjE2YmIiLCJ0aXRsZSI6IkFuY2llbnQgRE5BIGFuYWx5c2lzIiwiYXV0aG9yIjpbeyJmYW1pbHkiOiJPcmxhbmRvIiwiZ2l2ZW4iOiJMdWRvdmljIiwicGFyc2UtbmFtZXMiOmZhbHNlLCJkcm9wcGluZy1wYXJ0aWNsZSI6IiIsIm5vbi1kcm9wcGluZy1wYXJ0aWNsZSI6IiJ9LHsiZmFtaWx5IjoiQWxsYWJ5IiwiZ2l2ZW4iOiJSb2JpbiIsInBhcnNlLW5hbWVzIjpmYWxzZSwiZHJvcHBpbmctcGFydGljbGUiOiIiLCJub24tZHJvcHBpbmctcGFydGljbGUiOiIifSx7ImZhbWlseSI6IlNrb2dsdW5kIiwiZ2l2ZW4iOiJQb250dXMiLCJwYXJzZS1uYW1lcyI6ZmFsc2UsImRyb3BwaW5nLXBhcnRpY2xlIjoiIiwibm9uLWRyb3BwaW5nLXBhcnRpY2xlIjoiIn0seyJmYW1pbHkiOiJTYXJraXNzaWFuIiwiZ2l2ZW4iOiJDbGlvIiwicGFyc2UtbmFtZXMiOmZhbHNlLCJkcm9wcGluZy1wYXJ0aWNsZSI6IiIsIm5vbi1kcm9wcGluZy1wYXJ0aWNsZSI6IkRlciJ9LHsiZmFtaWx5IjoiU3RvY2toYW1tZXIiLCJnaXZlbiI6IlBoaWxpcHAgVyIsInBhcnNlLW5hbWVzIjpmYWxzZSwiZHJvcHBpbmctcGFydGljbGUiOiIiLCJub24tZHJvcHBpbmctcGFydGljbGUiOiIifSx7ImZhbWlseSI6IsOBdmlsYS1BcmNvcyIsImdpdmVuIjoiTWFyw61hIEMiLCJwYXJzZS1uYW1lcyI6ZmFsc2UsImRyb3BwaW5nLXBhcnRpY2xlIjoiIiwibm9uLWRyb3BwaW5nLXBhcnRpY2xlIjoiIn0seyJmYW1pbHkiOiJGdSIsImdpdmVuIjoiUWlhb21laSIsInBhcnNlLW5hbWVzIjpmYWxzZSwiZHJvcHBpbmctcGFydGljbGUiOiIiLCJub24tZHJvcHBpbmctcGFydGljbGUiOiIifSx7ImZhbWlseSI6IktyYXVzZSIsImdpdmVuIjoiSm9oYW5uZXMiLCJwYXJzZS1uYW1lcyI6ZmFsc2UsImRyb3BwaW5nLXBhcnRpY2xlIjoiIiwibm9uLWRyb3BwaW5nLXBhcnRpY2xlIjoiIn0seyJmYW1pbHkiOiJXaWxsZXJzbGV2IiwiZ2l2ZW4iOiJFc2tlIiwicGFyc2UtbmFtZXMiOmZhbHNlLCJkcm9wcGluZy1wYXJ0aWNsZSI6IiIsIm5vbi1kcm9wcGluZy1wYXJ0aWNsZSI6IiJ9LHsiZmFtaWx5IjoiU3RvbmUiLCJnaXZlbiI6IkFubmUgQyIsInBhcnNlLW5hbWVzIjpmYWxzZSwiZHJvcHBpbmctcGFydGljbGUiOiIiLCJub24tZHJvcHBpbmctcGFydGljbGUiOiIifV0sImNvbnRhaW5lci10aXRsZSI6Ik5hdHVyZSBSZXZpZXdzIE1ldGhvZHMgUHJpbWVycyIsIklTU04iOiIyNjYyLTg0NDkiLCJpc3N1ZWQiOnsiZGF0ZS1wYXJ0cyI6W1syMDIxXV19LCJwYWdlIjoiMTQiLCJwdWJsaXNoZXIiOiJOYXR1cmUgUHVibGlzaGluZyBHcm91cCBVSyBMb25kb24iLCJpc3N1ZSI6IjEiLCJ2b2x1bWUiOiIxIiwiY29udGFpbmVyLXRpdGxlLXNob3J0IjoiIn19XSwiaXNFZGl0ZWQiOmZhbHNlLCJwcm9wZXJ0aWVzIjp7Im5vdGVJbmRleCI6MH0sIm1hbnVhbE92ZXJyaWRlIjp7ImlzTWFudWFsbHlPdmVycmlkZGVuIjpmYWxzZSwibWFudWFsT3ZlcnJpZGVUZXh0IjoiIiwiY2l0ZXByb2NUZXh0IjoiKERhYm5leSBldCBhbC4sIDIwMTM7IE1leWVyIGV0IGFsLiwgMjAxMjsgT3JsYW5kbyBldCBhbC4sIDIwMjEpIn19"/>
          <w:id w:val="730507456"/>
          <w:placeholder>
            <w:docPart w:val="FEACEF255C250A409172B26AA1A770D6"/>
          </w:placeholder>
        </w:sdtPr>
        <w:sdtContent>
          <w:r w:rsidRPr="004D483D">
            <w:rPr>
              <w:rFonts w:ascii="Times New Roman" w:hAnsi="Times New Roman"/>
              <w:color w:val="000000"/>
            </w:rPr>
            <w:t>(Dabney et al., 2013; Meyer et al., 2012; Orlando et al., 2021)</w:t>
          </w:r>
        </w:sdtContent>
      </w:sdt>
      <w:r w:rsidRPr="004D483D">
        <w:rPr>
          <w:rFonts w:ascii="Times New Roman" w:hAnsi="Times New Roman"/>
        </w:rPr>
        <w:t xml:space="preserve">. DNA preservation was poor across samples (2.16% to &lt;0.01% endogenous content), but this was to be expected given the age and geographical location of the sampled material. Nine samples showed sufficient DNA preservation to attempt a further laboratory method, hybridisation capture (TWIST Biosciences), that can be applied to target and enrich specific regions of the genome </w:t>
      </w:r>
      <w:sdt>
        <w:sdtPr>
          <w:rPr>
            <w:rFonts w:ascii="Times New Roman" w:hAnsi="Times New Roman"/>
            <w:color w:val="000000"/>
          </w:rPr>
          <w:tag w:val="MENDELEY_CITATION_v3_eyJjaXRhdGlvbklEIjoiTUVOREVMRVlfQ0lUQVRJT05fNGM3ZWNkYzktMzc3Yy00MjJjLTg0YTItMGI3YzA0OTJjOWY4IiwiaXNFZGl0ZWQiOmZhbHNlLCJjaXRhdGlvbkl0ZW1zIjpbeyJpZCI6ImViYmZkOTU2LTM2ZjYtMzdjZS05ZDBkLWU5MTVjYTEzNzBlZSIsImlzVGVtcG9yYXJ5IjpmYWxzZSwiaXRlbURhdGEiOnsidHlwZSI6ImFydGljbGUtam91cm5hbCIsImlkIjoiZWJiZmQ5NTYtMzZmNi0zN2NlLTlkMGQtZTkxNWNhMTM3MGVlIiwidGl0bGUiOiJJbuKAkHNvbHV0aW9uIGh5YnJpZGl6YXRpb24gZm9yIG1hbW1hbGlhbiBtaXRvZ2Vub21lIGVucmljaG1lbnQ6IHByb3MsIGNvbnMgYW5kIGNoYWxsZW5nZXMgYXNzb2NpYXRlZCB3aXRoIG11bHRpcGxleGluZyBkZWdyYWRlZCBETkEiLCJhdXRob3IiOlt7ImZhbWlseSI6Ikhhd2tpbnMiLCJnaXZlbiI6Ik1lbGlzc2EgVCBSIiwicGFyc2UtbmFtZXMiOmZhbHNlLCJkcm9wcGluZy1wYXJ0aWNsZSI6IiIsIm5vbi1kcm9wcGluZy1wYXJ0aWNsZSI6IiJ9LHsiZmFtaWx5IjoiSG9mbWFuIiwiZ2l2ZW4iOiJDb3VydG5leSBBIiwicGFyc2UtbmFtZXMiOmZhbHNlLCJkcm9wcGluZy1wYXJ0aWNsZSI6IiIsIm5vbi1kcm9wcGluZy1wYXJ0aWNsZSI6IiJ9LHsiZmFtaWx5IjoiQ2FsbGljcmF0ZSIsImdpdmVuIjoiVGF5bG9yIiwicGFyc2UtbmFtZXMiOmZhbHNlLCJkcm9wcGluZy1wYXJ0aWNsZSI6IiIsIm5vbi1kcm9wcGluZy1wYXJ0aWNsZSI6IiJ9LHsiZmFtaWx5IjoiTWNEb25vdWdoIiwiZ2l2ZW4iOiJNb2xseSBNIiwicGFyc2UtbmFtZXMiOmZhbHNlLCJkcm9wcGluZy1wYXJ0aWNsZSI6IiIsIm5vbi1kcm9wcGluZy1wYXJ0aWNsZSI6IiJ9LHsiZmFtaWx5IjoiVHN1Y2hpeWEiLCJnaXZlbiI6Ik1pcmlhbiBUIE4iLCJwYXJzZS1uYW1lcyI6ZmFsc2UsImRyb3BwaW5nLXBhcnRpY2xlIjoiIiwibm9uLWRyb3BwaW5nLXBhcnRpY2xlIjoiIn0seyJmYW1pbHkiOiJHdXRpw6lycmV6IiwiZ2l2ZW4iOiJFbGnDqWNlciBFIiwicGFyc2UtbmFtZXMiOmZhbHNlLCJkcm9wcGluZy1wYXJ0aWNsZSI6IiIsIm5vbi1kcm9wcGluZy1wYXJ0aWNsZSI6IiJ9LHsiZmFtaWx5IjoiSGVsZ2VuIiwiZ2l2ZW4iOiJLcmlzdG9mZXIgTSIsInBhcnNlLW5hbWVzIjpmYWxzZSwiZHJvcHBpbmctcGFydGljbGUiOiIiLCJub24tZHJvcHBpbmctcGFydGljbGUiOiIifSx7ImZhbWlseSI6Ik1hbGRvbmFkbyIsImdpdmVuIjoiSmVzdXMgRSIsInBhcnNlLW5hbWVzIjpmYWxzZSwiZHJvcHBpbmctcGFydGljbGUiOiIiLCJub24tZHJvcHBpbmctcGFydGljbGUiOiIifV0sImNvbnRhaW5lci10aXRsZSI6Ik1vbGVjdWxhciBFY29sb2d5IFJlc291cmNlcyIsImNvbnRhaW5lci10aXRsZS1zaG9ydCI6Ik1vbCBFY29sIFJlc291ciIsIklTU04iOiIxNzU1LTA5OFgiLCJpc3N1ZWQiOnsiZGF0ZS1wYXJ0cyI6W1syMDE2XV19LCJwYWdlIjoiMTE3My0xMTg4IiwicHVibGlzaGVyIjoiV2lsZXkgT25saW5lIExpYnJhcnkiLCJpc3N1ZSI6IjUiLCJ2b2x1bWUiOiIxNiJ9fV0sInByb3BlcnRpZXMiOnsibm90ZUluZGV4IjowfSwibWFudWFsT3ZlcnJpZGUiOnsiaXNNYW51YWxseU92ZXJyaWRkZW4iOmZhbHNlLCJjaXRlcHJvY1RleHQiOiIoSGF3a2lucyBldCBhbC4sIDIwMTYpIiwibWFudWFsT3ZlcnJpZGVUZXh0IjoiIn19"/>
          <w:id w:val="26765320"/>
          <w:placeholder>
            <w:docPart w:val="FEACEF255C250A409172B26AA1A770D6"/>
          </w:placeholder>
        </w:sdtPr>
        <w:sdtContent>
          <w:r w:rsidRPr="004D483D">
            <w:rPr>
              <w:rFonts w:ascii="Times New Roman" w:hAnsi="Times New Roman"/>
              <w:color w:val="000000"/>
            </w:rPr>
            <w:t>(Hawkins et al., 2016)</w:t>
          </w:r>
        </w:sdtContent>
      </w:sdt>
      <w:r w:rsidRPr="004D483D">
        <w:rPr>
          <w:rFonts w:ascii="Times New Roman" w:hAnsi="Times New Roman"/>
        </w:rPr>
        <w:t xml:space="preserve">. DNA damage profiles for several specimens showed modern DNA was present within the sample </w:t>
      </w:r>
      <w:sdt>
        <w:sdtPr>
          <w:rPr>
            <w:rFonts w:ascii="Times New Roman" w:hAnsi="Times New Roman"/>
            <w:color w:val="000000"/>
          </w:rPr>
          <w:tag w:val="MENDELEY_CITATION_v3_eyJjaXRhdGlvbklEIjoiTUVOREVMRVlfQ0lUQVRJT05fNDVjYzA5ODItNjJiMi00ZDQ3LWE4YTAtNGYzYWVlZjAzOWJiIiwiaXNFZGl0ZWQiOmZhbHNlLCJjaXRhdGlvbkl0ZW1zIjpbeyJpZCI6IjMwNjViM2JhLTg4YWQtM2IzNy1hOTUyLTM4ZTlmNjU5ZThhYiIsImlzVGVtcG9yYXJ5IjpmYWxzZSwiaXRlbURhdGEiOnsidHlwZSI6ImFydGljbGUtam91cm5hbCIsImlkIjoiMzA2NWIzYmEtODhhZC0zYjM3LWE5NTItMzhlOWY2NTllOGFiIiwidGl0bGUiOiJtYXBEYW1hZ2UyLiAwOiBmYXN0IGFwcHJveGltYXRlIEJheWVzaWFuIGVzdGltYXRlcyBvZiBhbmNpZW50IEROQSBkYW1hZ2UgcGFyYW1ldGVycyIsImF1dGhvciI6W3siZmFtaWx5IjoiSsOzbnNzb24iLCJnaXZlbiI6IkjDoWtvbiIsInBhcnNlLW5hbWVzIjpmYWxzZSwiZHJvcHBpbmctcGFydGljbGUiOiIiLCJub24tZHJvcHBpbmctcGFydGljbGUiOiIifSx7ImZhbWlseSI6Ikdpbm9saGFjIiwiZ2l2ZW4iOiJBdXLDqWxpZW4iLCJwYXJzZS1uYW1lcyI6ZmFsc2UsImRyb3BwaW5nLXBhcnRpY2xlIjoiIiwibm9uLWRyb3BwaW5nLXBhcnRpY2xlIjoiIn0seyJmYW1pbHkiOiJTY2h1YmVydCIsImdpdmVuIjoiTWlra2VsIiwicGFyc2UtbmFtZXMiOmZhbHNlLCJkcm9wcGluZy1wYXJ0aWNsZSI6IiIsIm5vbi1kcm9wcGluZy1wYXJ0aWNsZSI6IiJ9LHsiZmFtaWx5IjoiSm9obnNvbiIsImdpdmVuIjoiUGhpbGlwIEwgRiIsInBhcnNlLW5hbWVzIjpmYWxzZSwiZHJvcHBpbmctcGFydGljbGUiOiIiLCJub24tZHJvcHBpbmctcGFydGljbGUiOiIifSx7ImZhbWlseSI6Ik9ybGFuZG8iLCJnaXZlbiI6Ikx1ZG92aWMiLCJwYXJzZS1uYW1lcyI6ZmFsc2UsImRyb3BwaW5nLXBhcnRpY2xlIjoiIiwibm9uLWRyb3BwaW5nLXBhcnRpY2xlIjoiIn1dLCJjb250YWluZXItdGl0bGUiOiJCaW9pbmZvcm1hdGljcyIsIklTU04iOiIxMzY3LTQ4MDMiLCJpc3N1ZWQiOnsiZGF0ZS1wYXJ0cyI6W1syMDEzXV19LCJwYWdlIjoiMTY4Mi0xNjg0IiwicHVibGlzaGVyIjoiT3hmb3JkIFVuaXZlcnNpdHkgUHJlc3MiLCJpc3N1ZSI6IjEzIiwidm9sdW1lIjoiMjkiLCJjb250YWluZXItdGl0bGUtc2hvcnQiOiIifX1dLCJwcm9wZXJ0aWVzIjp7Im5vdGVJbmRleCI6MH0sIm1hbnVhbE92ZXJyaWRlIjp7ImlzTWFudWFsbHlPdmVycmlkZGVuIjpmYWxzZSwiY2l0ZXByb2NUZXh0IjoiKErDs25zc29uIGV0IGFsLiwgMjAxMykiLCJtYW51YWxPdmVycmlkZVRleHQiOiIifX0="/>
          <w:id w:val="414141282"/>
          <w:placeholder>
            <w:docPart w:val="FEACEF255C250A409172B26AA1A770D6"/>
          </w:placeholder>
        </w:sdtPr>
        <w:sdtContent>
          <w:r w:rsidRPr="004D483D">
            <w:rPr>
              <w:rFonts w:ascii="Times New Roman" w:hAnsi="Times New Roman"/>
              <w:color w:val="000000"/>
            </w:rPr>
            <w:t>(Jónsson et al., 2013)</w:t>
          </w:r>
        </w:sdtContent>
      </w:sdt>
      <w:r w:rsidRPr="004D483D">
        <w:rPr>
          <w:rFonts w:ascii="Times New Roman" w:hAnsi="Times New Roman"/>
        </w:rPr>
        <w:t xml:space="preserve">, and thus only damaged reads for these specimens were filtered and retained (using PMDTools) for final analysis </w:t>
      </w:r>
      <w:sdt>
        <w:sdtPr>
          <w:rPr>
            <w:rFonts w:ascii="Times New Roman" w:hAnsi="Times New Roman"/>
            <w:color w:val="000000"/>
          </w:rPr>
          <w:tag w:val="MENDELEY_CITATION_v3_eyJjaXRhdGlvbklEIjoiTUVOREVMRVlfQ0lUQVRJT05fNTFhYjEyMDktNTU4Yy00ZDU1LWIzYWItMGJhYmI3YmUwZmU5IiwiaXNFZGl0ZWQiOmZhbHNlLCJjaXRhdGlvbkl0ZW1zIjpbeyJpZCI6IjVkNzA1NWRkLTQxMzgtMzc0OS1iOGZlLWNmZTk5OTVjMDNlZSIsImlzVGVtcG9yYXJ5IjpmYWxzZSwiaXRlbURhdGEiOnsidHlwZSI6ImFydGljbGUtam91cm5hbCIsImlkIjoiNWQ3MDU1ZGQtNDEzOC0zNzQ5LWI4ZmUtY2ZlOTk5NWMwM2VlIiwidGl0bGUiOiJTZXBhcmF0aW5nIGVuZG9nZW5vdXMgYW5jaWVudCBETkEgZnJvbSBtb2Rlcm4gZGF5IGNvbnRhbWluYXRpb24gaW4gYSBTaWJlcmlhbiBOZWFuZGVydGFsIiwiYXV0aG9yIjpbeyJmYW1pbHkiOiJTa29nbHVuZCIsImdpdmVuIjoiUG9udHVzIiwicGFyc2UtbmFtZXMiOmZhbHNlLCJkcm9wcGluZy1wYXJ0aWNsZSI6IiIsIm5vbi1kcm9wcGluZy1wYXJ0aWNsZSI6IiJ9LHsiZmFtaWx5IjoiTm9ydGhvZmYiLCJnaXZlbiI6IkJlcm5kIEgiLCJwYXJzZS1uYW1lcyI6ZmFsc2UsImRyb3BwaW5nLXBhcnRpY2xlIjoiIiwibm9uLWRyb3BwaW5nLXBhcnRpY2xlIjoiIn0seyJmYW1pbHkiOiJTaHVua292IiwiZ2l2ZW4iOiJNaWNoYWVsIiwicGFyc2UtbmFtZXMiOmZhbHNlLCJkcm9wcGluZy1wYXJ0aWNsZSI6IlYiLCJub24tZHJvcHBpbmctcGFydGljbGUiOiIifSx7ImZhbWlseSI6IkRlcmV2aWFua28iLCJnaXZlbiI6IkFuYXRvbGkgUCIsInBhcnNlLW5hbWVzIjpmYWxzZSwiZHJvcHBpbmctcGFydGljbGUiOiIiLCJub24tZHJvcHBpbmctcGFydGljbGUiOiIifSx7ImZhbWlseSI6IlDDpMOkYm8iLCJnaXZlbiI6IlN2YW50ZSIsInBhcnNlLW5hbWVzIjpmYWxzZSwiZHJvcHBpbmctcGFydGljbGUiOiIiLCJub24tZHJvcHBpbmctcGFydGljbGUiOiIifSx7ImZhbWlseSI6IktyYXVzZSIsImdpdmVuIjoiSm9oYW5uZXMiLCJwYXJzZS1uYW1lcyI6ZmFsc2UsImRyb3BwaW5nLXBhcnRpY2xlIjoiIiwibm9uLWRyb3BwaW5nLXBhcnRpY2xlIjoiIn0seyJmYW1pbHkiOiJKYWtvYnNzb24iLCJnaXZlbiI6Ik1hdHRpYXMiLCJwYXJzZS1uYW1lcyI6ZmFsc2UsImRyb3BwaW5nLXBhcnRpY2xlIjoiIiwibm9uLWRyb3BwaW5nLXBhcnRpY2xlIjoiIn1dLCJjb250YWluZXItdGl0bGUiOiJQcm9jZWVkaW5ncyBvZiB0aGUgTmF0aW9uYWwgQWNhZGVteSBvZiBTY2llbmNlcyIsIklTU04iOiIwMDI3LTg0MjQiLCJpc3N1ZWQiOnsiZGF0ZS1wYXJ0cyI6W1syMDE0XV19LCJwYWdlIjoiMjIyOS0yMjM0IiwicHVibGlzaGVyIjoiTmF0aW9uYWwgQWNhZCBTY2llbmNlcyIsImlzc3VlIjoiNiIsInZvbHVtZSI6IjExMSIsImNvbnRhaW5lci10aXRsZS1zaG9ydCI6IiJ9fV0sInByb3BlcnRpZXMiOnsibm90ZUluZGV4IjowfSwibWFudWFsT3ZlcnJpZGUiOnsiaXNNYW51YWxseU92ZXJyaWRkZW4iOmZhbHNlLCJjaXRlcHJvY1RleHQiOiIoU2tvZ2x1bmQgZXQgYWwuLCAyMDE0KSIsIm1hbnVhbE92ZXJyaWRlVGV4dCI6IiJ9fQ=="/>
          <w:id w:val="1083953763"/>
          <w:placeholder>
            <w:docPart w:val="FEACEF255C250A409172B26AA1A770D6"/>
          </w:placeholder>
        </w:sdtPr>
        <w:sdtContent>
          <w:r w:rsidRPr="004D483D">
            <w:rPr>
              <w:rFonts w:ascii="Times New Roman" w:hAnsi="Times New Roman"/>
              <w:color w:val="000000"/>
            </w:rPr>
            <w:t>(Skoglund et al., 2014)</w:t>
          </w:r>
        </w:sdtContent>
      </w:sdt>
      <w:r w:rsidRPr="004D483D">
        <w:rPr>
          <w:rFonts w:ascii="Times New Roman" w:hAnsi="Times New Roman"/>
        </w:rPr>
        <w:t xml:space="preserve">. This resulted in six samples having sufficient data to carry out downstream analysis, of which only the sex determination and kinship are reported here. </w:t>
      </w:r>
    </w:p>
    <w:p w14:paraId="1A053F40" w14:textId="77777777" w:rsidR="00E51893" w:rsidRPr="004D483D" w:rsidRDefault="00E51893" w:rsidP="00E51893">
      <w:pPr>
        <w:rPr>
          <w:rFonts w:ascii="Times New Roman" w:hAnsi="Times New Roman"/>
        </w:rPr>
      </w:pPr>
    </w:p>
    <w:p w14:paraId="5658385D" w14:textId="77777777" w:rsidR="00E51893" w:rsidRPr="004D483D" w:rsidRDefault="00E51893" w:rsidP="00E51893">
      <w:pPr>
        <w:rPr>
          <w:rFonts w:ascii="Times New Roman" w:hAnsi="Times New Roman"/>
          <w:u w:val="single"/>
        </w:rPr>
      </w:pPr>
      <w:r w:rsidRPr="004D483D">
        <w:rPr>
          <w:rFonts w:ascii="Times New Roman" w:hAnsi="Times New Roman"/>
          <w:u w:val="single"/>
        </w:rPr>
        <w:t>Sex determination</w:t>
      </w:r>
    </w:p>
    <w:p w14:paraId="117737E2" w14:textId="77777777" w:rsidR="00E51893" w:rsidRPr="004D483D" w:rsidRDefault="00E51893" w:rsidP="00E51893">
      <w:pPr>
        <w:rPr>
          <w:rFonts w:ascii="Times New Roman" w:hAnsi="Times New Roman"/>
        </w:rPr>
      </w:pPr>
    </w:p>
    <w:p w14:paraId="25A78264" w14:textId="77777777" w:rsidR="00E51893" w:rsidRPr="004D483D" w:rsidRDefault="00E51893" w:rsidP="00E51893">
      <w:pPr>
        <w:rPr>
          <w:rFonts w:ascii="Times New Roman" w:hAnsi="Times New Roman"/>
        </w:rPr>
      </w:pPr>
      <w:r w:rsidRPr="004D483D">
        <w:rPr>
          <w:rFonts w:ascii="Times New Roman" w:hAnsi="Times New Roman"/>
        </w:rPr>
        <w:t xml:space="preserve">A method described in </w:t>
      </w:r>
      <w:sdt>
        <w:sdtPr>
          <w:rPr>
            <w:rFonts w:ascii="Times New Roman" w:hAnsi="Times New Roman"/>
            <w:color w:val="000000"/>
          </w:rPr>
          <w:tag w:val="MENDELEY_CITATION_v3_eyJjaXRhdGlvbklEIjoiTUVOREVMRVlfQ0lUQVRJT05fZGQ2YmZiZDUtYTQ5OC00ZGYyLWI1NzUtNDhiNTk2Y2U3MzcxIiwiaXNFZGl0ZWQiOmZhbHNlLCJjaXRhdGlvbkl0ZW1zIjpbeyJpZCI6ImY0MTg3Mzk3LTJkNzUtMzVlMy04YjQwLTE0N2FjYzdiMGY5ZiIsImlzVGVtcG9yYXJ5IjpmYWxzZSwiaXRlbURhdGEiOnsidHlwZSI6ImFydGljbGUtam91cm5hbCIsImlkIjoiZjQxODczOTctMmQ3NS0zNWUzLThiNDAtMTQ3YWNjN2IwZjlmIiwidGl0bGUiOiJBbmNpZW50IEROQSBhbmQgZGVlcCBwb3B1bGF0aW9uIHN0cnVjdHVyZSBpbiBzdWItU2FoYXJhbiBBZnJpY2FuIGZvcmFnZXJzIiwiYXV0aG9yIjpbeyJmYW1pbHkiOiJMaXBzb24iLCJnaXZlbiI6Ik1hcmsiLCJwYXJzZS1uYW1lcyI6ZmFsc2UsImRyb3BwaW5nLXBhcnRpY2xlIjoiIiwibm9uLWRyb3BwaW5nLXBhcnRpY2xlIjoiIn0seyJmYW1pbHkiOiJTYXdjaHVrIiwiZ2l2ZW4iOiJFbGl6YWJldGggQSIsInBhcnNlLW5hbWVzIjpmYWxzZSwiZHJvcHBpbmctcGFydGljbGUiOiIiLCJub24tZHJvcHBpbmctcGFydGljbGUiOiIifSx7ImZhbWlseSI6IlRob21wc29uIiwiZ2l2ZW4iOiJKZXNzaWNhIEMiLCJwYXJzZS1uYW1lcyI6ZmFsc2UsImRyb3BwaW5nLXBhcnRpY2xlIjoiIiwibm9uLWRyb3BwaW5nLXBhcnRpY2xlIjoiIn0seyJmYW1pbHkiOiJPcHBlbmhlaW1lciIsImdpdmVuIjoiSm9uYXMiLCJwYXJzZS1uYW1lcyI6ZmFsc2UsImRyb3BwaW5nLXBhcnRpY2xlIjoiIiwibm9uLWRyb3BwaW5nLXBhcnRpY2xlIjoiIn0seyJmYW1pbHkiOiJUcnlvbiIsImdpdmVuIjoiQ2hyaXN0aWFuIEEiLCJwYXJzZS1uYW1lcyI6ZmFsc2UsImRyb3BwaW5nLXBhcnRpY2xlIjoiIiwibm9uLWRyb3BwaW5nLXBhcnRpY2xlIjoiIn0seyJmYW1pbHkiOiJSYW5ob3JuIiwiZ2l2ZW4iOiJLYXRocnluIEwiLCJwYXJzZS1uYW1lcyI6ZmFsc2UsImRyb3BwaW5nLXBhcnRpY2xlIjoiIiwibm9uLWRyb3BwaW5nLXBhcnRpY2xlIjoiIn0seyJmYW1pbHkiOiJMdW5hIiwiZ2l2ZW4iOiJLYXRocnluIE0iLCJwYXJzZS1uYW1lcyI6ZmFsc2UsImRyb3BwaW5nLXBhcnRpY2xlIjoiIiwibm9uLWRyb3BwaW5nLXBhcnRpY2xlIjoiRGUifSx7ImZhbWlseSI6IlNpcmFrIiwiZ2l2ZW4iOiJLZW5kcmEgQSIsInBhcnNlLW5hbWVzIjpmYWxzZSwiZHJvcHBpbmctcGFydGljbGUiOiIiLCJub24tZHJvcHBpbmctcGFydGljbGUiOiIifSx7ImZhbWlseSI6Ik9sYWxkZSIsImdpdmVuIjoiScOxaWdvIiwicGFyc2UtbmFtZXMiOmZhbHNlLCJkcm9wcGluZy1wYXJ0aWNsZSI6IiIsIm5vbi1kcm9wcGluZy1wYXJ0aWNsZSI6IiJ9LHsiZmFtaWx5IjoiQW1icm9zZSIsImdpdmVuIjoiU3RhbmxleSBIIiwicGFyc2UtbmFtZXMiOmZhbHNlLCJkcm9wcGluZy1wYXJ0aWNsZSI6IiIsIm5vbi1kcm9wcGluZy1wYXJ0aWNsZSI6IiJ9XSwiY29udGFpbmVyLXRpdGxlIjoiTmF0dXJlIiwiY29udGFpbmVyLXRpdGxlLXNob3J0IjoiTmF0dXJlIiwiSVNTTiI6IjAwMjgtMDgzNiIsImlzc3VlZCI6eyJkYXRlLXBhcnRzIjpbWzIwMjJdXX0sInBhZ2UiOiIyOTAtMjk2IiwicHVibGlzaGVyIjoiTmF0dXJlIFB1Ymxpc2hpbmcgR3JvdXAgVUsgTG9uZG9uIiwiaXNzdWUiOiI3OTAwIiwidm9sdW1lIjoiNjAzIn19XSwicHJvcGVydGllcyI6eyJub3RlSW5kZXgiOjB9LCJtYW51YWxPdmVycmlkZSI6eyJpc01hbnVhbGx5T3ZlcnJpZGRlbiI6dHJ1ZSwibWFudWFsT3ZlcnJpZGVUZXh0IjoiTGlwc29uIGV0IGFsLiwgMjAyMiIsImNpdGVwcm9jVGV4dCI6IihMaXBzb24gZXQgYWwuLCAyMDIyKSJ9fQ=="/>
          <w:id w:val="-1505972925"/>
          <w:placeholder>
            <w:docPart w:val="FEACEF255C250A409172B26AA1A770D6"/>
          </w:placeholder>
        </w:sdtPr>
        <w:sdtContent>
          <w:r w:rsidRPr="004D483D">
            <w:rPr>
              <w:rFonts w:ascii="Times New Roman" w:hAnsi="Times New Roman"/>
              <w:color w:val="000000"/>
            </w:rPr>
            <w:t>Lipson et al., 2022</w:t>
          </w:r>
        </w:sdtContent>
      </w:sdt>
      <w:r w:rsidRPr="004D483D">
        <w:rPr>
          <w:rFonts w:ascii="Times New Roman" w:hAnsi="Times New Roman"/>
          <w:color w:val="000000"/>
        </w:rPr>
        <w:t xml:space="preserve"> </w:t>
      </w:r>
      <w:r w:rsidRPr="004D483D">
        <w:rPr>
          <w:rFonts w:ascii="Times New Roman" w:hAnsi="Times New Roman"/>
        </w:rPr>
        <w:t xml:space="preserve">was used to determine genetic sex. Five specimens are confidently confirmed as female. Sample lab ID SB713 shows an intermediate </w:t>
      </w:r>
      <w:proofErr w:type="gramStart"/>
      <w:r w:rsidRPr="004D483D">
        <w:rPr>
          <w:rFonts w:ascii="Times New Roman" w:hAnsi="Times New Roman"/>
        </w:rPr>
        <w:t>state, but</w:t>
      </w:r>
      <w:proofErr w:type="gramEnd"/>
      <w:r w:rsidRPr="004D483D">
        <w:rPr>
          <w:rFonts w:ascii="Times New Roman" w:hAnsi="Times New Roman"/>
        </w:rPr>
        <w:t xml:space="preserve"> given the increase proportion of mapped and called Y chromosomes reads/sites to other samples from the site, this individual is tentatively determined to be male. To further corroborate this, sex determination was performed using only damaged reads for this sample. Results are consistent with the presence of a Y chromosome for this specimen. </w:t>
      </w:r>
    </w:p>
    <w:p w14:paraId="2641ED07" w14:textId="77777777" w:rsidR="00E51893" w:rsidRPr="004D483D" w:rsidRDefault="00E51893" w:rsidP="00E51893">
      <w:pPr>
        <w:rPr>
          <w:rFonts w:ascii="Times New Roman" w:hAnsi="Times New Roman"/>
        </w:rPr>
      </w:pPr>
    </w:p>
    <w:p w14:paraId="4A2EEFF2" w14:textId="77777777" w:rsidR="00E51893" w:rsidRPr="004D483D" w:rsidRDefault="00E51893" w:rsidP="00E51893">
      <w:pPr>
        <w:rPr>
          <w:rFonts w:ascii="Times New Roman" w:hAnsi="Times New Roman"/>
        </w:rPr>
      </w:pPr>
      <w:r w:rsidRPr="004D483D">
        <w:rPr>
          <w:rFonts w:ascii="Times New Roman" w:hAnsi="Times New Roman"/>
          <w:noProof/>
          <w:lang w:eastAsia="en-GB"/>
        </w:rPr>
        <w:drawing>
          <wp:inline distT="0" distB="0" distL="0" distR="0" wp14:anchorId="21B8D822" wp14:editId="4B48628C">
            <wp:extent cx="5718175" cy="2183130"/>
            <wp:effectExtent l="0" t="0" r="0" b="1270"/>
            <wp:docPr id="1" name="Picture 1" descr="../../Screen%20Shot%202024-03-14%20at%2015.22.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reen%20Shot%202024-03-14%20at%2015.22.09.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18175" cy="2183130"/>
                    </a:xfrm>
                    <a:prstGeom prst="rect">
                      <a:avLst/>
                    </a:prstGeom>
                    <a:noFill/>
                    <a:ln>
                      <a:noFill/>
                    </a:ln>
                  </pic:spPr>
                </pic:pic>
              </a:graphicData>
            </a:graphic>
          </wp:inline>
        </w:drawing>
      </w:r>
    </w:p>
    <w:p w14:paraId="05B7FEEB" w14:textId="77777777" w:rsidR="00E51893" w:rsidRPr="004D483D" w:rsidRDefault="00E51893" w:rsidP="00E51893">
      <w:pPr>
        <w:rPr>
          <w:rFonts w:ascii="Times New Roman" w:hAnsi="Times New Roman"/>
        </w:rPr>
      </w:pPr>
      <w:r w:rsidRPr="004D483D">
        <w:rPr>
          <w:rFonts w:ascii="Times New Roman" w:hAnsi="Times New Roman"/>
        </w:rPr>
        <w:t>Table 1. Details of samples showing sufficient DNA preservation (from screening results) for hybridisation capture using the hybridisation capture reagents and protocol offered by TWIST Biosciences.</w:t>
      </w:r>
    </w:p>
    <w:p w14:paraId="7EBB3557" w14:textId="77777777" w:rsidR="00E51893" w:rsidRPr="004D483D" w:rsidRDefault="00E51893" w:rsidP="00E51893">
      <w:pPr>
        <w:rPr>
          <w:rFonts w:ascii="Times New Roman" w:hAnsi="Times New Roman"/>
        </w:rPr>
      </w:pPr>
    </w:p>
    <w:p w14:paraId="6EFA3EBE" w14:textId="77777777" w:rsidR="00E51893" w:rsidRPr="004D483D" w:rsidRDefault="00E51893" w:rsidP="00E51893">
      <w:pPr>
        <w:rPr>
          <w:rFonts w:ascii="Times New Roman" w:hAnsi="Times New Roman"/>
          <w:u w:val="single"/>
        </w:rPr>
      </w:pPr>
      <w:r w:rsidRPr="004D483D">
        <w:rPr>
          <w:rFonts w:ascii="Times New Roman" w:hAnsi="Times New Roman"/>
          <w:u w:val="single"/>
        </w:rPr>
        <w:t>Kinship</w:t>
      </w:r>
    </w:p>
    <w:p w14:paraId="1145EDB2" w14:textId="77777777" w:rsidR="00E51893" w:rsidRPr="004D483D" w:rsidRDefault="00E51893" w:rsidP="00E51893">
      <w:pPr>
        <w:rPr>
          <w:rFonts w:ascii="Times New Roman" w:hAnsi="Times New Roman"/>
        </w:rPr>
      </w:pPr>
    </w:p>
    <w:p w14:paraId="42BC8414" w14:textId="77777777" w:rsidR="00E51893" w:rsidRPr="004D483D" w:rsidRDefault="00E51893" w:rsidP="00E51893">
      <w:pPr>
        <w:rPr>
          <w:rFonts w:ascii="Times New Roman" w:hAnsi="Times New Roman"/>
        </w:rPr>
      </w:pPr>
      <w:r w:rsidRPr="004D483D">
        <w:rPr>
          <w:rFonts w:ascii="Times New Roman" w:hAnsi="Times New Roman"/>
        </w:rPr>
        <w:t xml:space="preserve">Kinship was calculated using autosomal pseudo haploid data for </w:t>
      </w:r>
      <w:proofErr w:type="gramStart"/>
      <w:r w:rsidRPr="004D483D">
        <w:rPr>
          <w:rFonts w:ascii="Times New Roman" w:hAnsi="Times New Roman"/>
        </w:rPr>
        <w:t>each individual</w:t>
      </w:r>
      <w:proofErr w:type="gramEnd"/>
      <w:r w:rsidRPr="004D483D">
        <w:rPr>
          <w:rFonts w:ascii="Times New Roman" w:hAnsi="Times New Roman"/>
        </w:rPr>
        <w:t xml:space="preserve">. Given the low number of shared SNPs, multiple software programs were used to best validate any relationships identified as suggested previously </w:t>
      </w:r>
      <w:sdt>
        <w:sdtPr>
          <w:rPr>
            <w:rFonts w:ascii="Times New Roman" w:hAnsi="Times New Roman"/>
            <w:color w:val="000000"/>
          </w:rPr>
          <w:tag w:val="MENDELEY_CITATION_v3_eyJjaXRhdGlvbklEIjoiTUVOREVMRVlfQ0lUQVRJT05fNTNmODE4OGUtYmMxYy00MWViLWFlYTQtZjlmYzVlYTkyYTMxIiwiaXNFZGl0ZWQiOmZhbHNlLCJjaXRhdGlvbkl0ZW1zIjpbeyJpZCI6ImQ0MGZmNTI5LTJmYTYtMzc3MS04MjU3LWFjNWE4YTMzZWJhMyIsImlzVGVtcG9yYXJ5IjpmYWxzZSwiaXRlbURhdGEiOnsidHlwZSI6ImFydGljbGUtam91cm5hbCIsImlkIjoiZDQwZmY1MjktMmZhNi0zNzcxLTgyNTctYWM1YThhMzNlYmEzIiwidGl0bGUiOiJJbmZlcnJpbmcgYmlvbG9naWNhbCBraW5zaGlwIGluIGFuY2llbnQgZGF0YXNldHM6IGNvbXBhcmluZyB0aGUgcmVzcG9uc2Ugb2YgYW5jaWVudCBETkEtc3BlY2lmaWMgc29mdHdhcmUgcGFja2FnZXMgdG8gbG93IGNvdmVyYWdlIGRhdGEiLCJhdXRob3IiOlt7ImZhbWlseSI6Ik1hcnNoIiwiZ2l2ZW4iOiJXaWxsaWFtIEEiLCJwYXJzZS1uYW1lcyI6ZmFsc2UsImRyb3BwaW5nLXBhcnRpY2xlIjoiIiwibm9uLWRyb3BwaW5nLXBhcnRpY2xlIjoiIn0seyJmYW1pbHkiOiJCcmFjZSIsImdpdmVuIjoiU2VsaW5hIiwicGFyc2UtbmFtZXMiOmZhbHNlLCJkcm9wcGluZy1wYXJ0aWNsZSI6IiIsIm5vbi1kcm9wcGluZy1wYXJ0aWNsZSI6IiJ9LHsiZmFtaWx5IjoiQmFybmVzIiwiZ2l2ZW4iOiJJYW4iLCJwYXJzZS1uYW1lcyI6ZmFsc2UsImRyb3BwaW5nLXBhcnRpY2xlIjoiIiwibm9uLWRyb3BwaW5nLXBhcnRpY2xlIjoiIn1dLCJjb250YWluZXItdGl0bGUiOiJCTUMgZ2Vub21pY3MiLCJjb250YWluZXItdGl0bGUtc2hvcnQiOiJCTUMgR2Vub21pY3MiLCJJU1NOIjoiMTQ3MS0yMTY0IiwiaXNzdWVkIjp7ImRhdGUtcGFydHMiOltbMjAyM11dfSwicGFnZSI6IjEtMTIiLCJwdWJsaXNoZXIiOiJCaW9NZWQgQ2VudHJhbCIsImlzc3VlIjoiMSIsInZvbHVtZSI6IjI0In19XSwicHJvcGVydGllcyI6eyJub3RlSW5kZXgiOjB9LCJtYW51YWxPdmVycmlkZSI6eyJpc01hbnVhbGx5T3ZlcnJpZGRlbiI6ZmFsc2UsIm1hbnVhbE92ZXJyaWRlVGV4dCI6IiIsImNpdGVwcm9jVGV4dCI6IihNYXJzaCBldCBhbC4sIDIwMjMpIn19"/>
          <w:id w:val="234297427"/>
          <w:placeholder>
            <w:docPart w:val="FEACEF255C250A409172B26AA1A770D6"/>
          </w:placeholder>
        </w:sdtPr>
        <w:sdtContent>
          <w:r w:rsidRPr="004D483D">
            <w:rPr>
              <w:rFonts w:ascii="Times New Roman" w:hAnsi="Times New Roman"/>
              <w:color w:val="000000"/>
            </w:rPr>
            <w:t>(Marsh et al., 2023)</w:t>
          </w:r>
        </w:sdtContent>
      </w:sdt>
      <w:r w:rsidRPr="004D483D">
        <w:rPr>
          <w:rFonts w:ascii="Times New Roman" w:hAnsi="Times New Roman"/>
        </w:rPr>
        <w:t xml:space="preserve">. READ </w:t>
      </w:r>
      <w:sdt>
        <w:sdtPr>
          <w:rPr>
            <w:rFonts w:ascii="Times New Roman" w:hAnsi="Times New Roman"/>
            <w:color w:val="000000"/>
          </w:rPr>
          <w:tag w:val="MENDELEY_CITATION_v3_eyJjaXRhdGlvbklEIjoiTUVOREVMRVlfQ0lUQVRJT05fNTgzZDljMWYtZDFhMS00ZWExLWJiZjYtZGUwNTY3MjI5NDRjIiwiaXNFZGl0ZWQiOmZhbHNlLCJjaXRhdGlvbkl0ZW1zIjpbeyJpZCI6IjJlMTJlMzlmLTllYjAtMzAyMC04YWVhLTNlZTM0NzZjYmFmOSIsImlzVGVtcG9yYXJ5IjpmYWxzZSwiaXRlbURhdGEiOnsidHlwZSI6ImFydGljbGUtam91cm5hbCIsImlkIjoiMmUxMmUzOWYtOWViMC0zMDIwLThhZWEtM2VlMzQ3NmNiYWY5IiwidGl0bGUiOiJFc3RpbWF0aW5nIGdlbmV0aWMga2luIHJlbGF0aW9uc2hpcHMgaW4gcHJlaGlzdG9yaWMgcG9wdWxhdGlvbnMiLCJhdXRob3IiOlt7ImZhbWlseSI6Ik1vbnJveSBLdWhuIiwiZ2l2ZW4iOiJKb3PDqSBNYW51ZWwiLCJwYXJzZS1uYW1lcyI6ZmFsc2UsImRyb3BwaW5nLXBhcnRpY2xlIjoiIiwibm9uLWRyb3BwaW5nLXBhcnRpY2xlIjoiIn0seyJmYW1pbHkiOiJKYWtvYnNzb24iLCJnaXZlbiI6Ik1hdHRpYXMiLCJwYXJzZS1uYW1lcyI6ZmFsc2UsImRyb3BwaW5nLXBhcnRpY2xlIjoiIiwibm9uLWRyb3BwaW5nLXBhcnRpY2xlIjoiIn0seyJmYW1pbHkiOiJHw7xudGhlciIsImdpdmVuIjoiVG9yc3RlbiIsInBhcnNlLW5hbWVzIjpmYWxzZSwiZHJvcHBpbmctcGFydGljbGUiOiIiLCJub24tZHJvcHBpbmctcGFydGljbGUiOiIifV0sImNvbnRhaW5lci10aXRsZSI6IlBsb1Mgb25lIiwiY29udGFpbmVyLXRpdGxlLXNob3J0IjoiUExvUyBPbmUiLCJJU1NOIjoiMTkzMi02MjAzIiwiaXNzdWVkIjp7ImRhdGUtcGFydHMiOltbMjAxOF1dfSwicGFnZSI6ImUwMTk1NDkxIiwicHVibGlzaGVyIjoiUHVibGljIExpYnJhcnkgb2YgU2NpZW5jZSBTYW4gRnJhbmNpc2NvLCBDQSBVU0EiLCJpc3N1ZSI6IjQiLCJ2b2x1bWUiOiIxMyJ9fV0sInByb3BlcnRpZXMiOnsibm90ZUluZGV4IjowfSwibWFudWFsT3ZlcnJpZGUiOnsiaXNNYW51YWxseU92ZXJyaWRkZW4iOmZhbHNlLCJtYW51YWxPdmVycmlkZVRleHQiOiIiLCJjaXRlcHJvY1RleHQiOiIoTW9ucm95IEt1aG4gZXQgYWwuLCAyMDE4KSJ9fQ=="/>
          <w:id w:val="1831868697"/>
          <w:placeholder>
            <w:docPart w:val="FEACEF255C250A409172B26AA1A770D6"/>
          </w:placeholder>
        </w:sdtPr>
        <w:sdtContent>
          <w:r w:rsidRPr="004D483D">
            <w:rPr>
              <w:rFonts w:ascii="Times New Roman" w:hAnsi="Times New Roman"/>
              <w:color w:val="000000"/>
            </w:rPr>
            <w:t>(Monroy Kuhn et al., 2018)</w:t>
          </w:r>
        </w:sdtContent>
      </w:sdt>
      <w:r w:rsidRPr="004D483D">
        <w:rPr>
          <w:rFonts w:ascii="Times New Roman" w:hAnsi="Times New Roman"/>
        </w:rPr>
        <w:t xml:space="preserve">and KIN </w:t>
      </w:r>
      <w:sdt>
        <w:sdtPr>
          <w:rPr>
            <w:rFonts w:ascii="Times New Roman" w:hAnsi="Times New Roman"/>
            <w:color w:val="000000"/>
          </w:rPr>
          <w:tag w:val="MENDELEY_CITATION_v3_eyJjaXRhdGlvbklEIjoiTUVOREVMRVlfQ0lUQVRJT05fOTZiYWRkOTMtZDJhMC00YjQ0LTljY2YtZjNhZmIwZmIxMDZhIiwiaXNFZGl0ZWQiOmZhbHNlLCJjaXRhdGlvbkl0ZW1zIjpbeyJpZCI6IjUxYTUzMzViLTc2NDQtMzE0ZC1iZDE0LTg2N2IzNGY1ZTdlOSIsImlzVGVtcG9yYXJ5IjpmYWxzZSwiaXRlbURhdGEiOnsidHlwZSI6ImFydGljbGUtam91cm5hbCIsImlkIjoiNTFhNTMzNWItNzY0NC0zMTRkLWJkMTQtODY3YjM0ZjVlN2U5IiwidGl0bGUiOiJLSU46IGEgbWV0aG9kIHRvIGluZmVyIHJlbGF0ZWRuZXNzIGZyb20gbG93LWNvdmVyYWdlIGFuY2llbnQgRE5BIiwiYXV0aG9yIjpbeyJmYW1pbHkiOiJQb3BsaSIsImdpdmVuIjoiRGl2eWFyYXRhbiIsInBhcnNlLW5hbWVzIjpmYWxzZSwiZHJvcHBpbmctcGFydGljbGUiOiIiLCJub24tZHJvcHBpbmctcGFydGljbGUiOiIifSx7ImZhbWlseSI6IlBleXLDqWduZSIsImdpdmVuIjoiU3TDqXBoYW5lIiwicGFyc2UtbmFtZXMiOmZhbHNlLCJkcm9wcGluZy1wYXJ0aWNsZSI6IiIsIm5vbi1kcm9wcGluZy1wYXJ0aWNsZSI6IiJ9LHsiZmFtaWx5IjoiUGV0ZXIiLCJnaXZlbiI6IkJlbmphbWluIE0iLCJwYXJzZS1uYW1lcyI6ZmFsc2UsImRyb3BwaW5nLXBhcnRpY2xlIjoiIiwibm9uLWRyb3BwaW5nLXBhcnRpY2xlIjoiIn1dLCJjb250YWluZXItdGl0bGUiOiJHZW5vbWUgQmlvbG9neSIsImNvbnRhaW5lci10aXRsZS1zaG9ydCI6Ikdlbm9tZSBCaW9sIiwiSVNTTiI6IjE0NzQtNzYwWCIsImlzc3VlZCI6eyJkYXRlLXBhcnRzIjpbWzIwMjNdXX0sInBhZ2UiOiIxLTIyIiwicHVibGlzaGVyIjoiQmlvTWVkIENlbnRyYWwiLCJpc3N1ZSI6IjEiLCJ2b2x1bWUiOiIyNCJ9fV0sInByb3BlcnRpZXMiOnsibm90ZUluZGV4IjowfSwibWFudWFsT3ZlcnJpZGUiOnsiaXNNYW51YWxseU92ZXJyaWRkZW4iOmZhbHNlLCJtYW51YWxPdmVycmlkZVRleHQiOiIiLCJjaXRlcHJvY1RleHQiOiIoUG9wbGkgZXQgYWwuLCAyMDIzKSJ9fQ=="/>
          <w:id w:val="-2085905208"/>
          <w:placeholder>
            <w:docPart w:val="FEACEF255C250A409172B26AA1A770D6"/>
          </w:placeholder>
        </w:sdtPr>
        <w:sdtContent>
          <w:r w:rsidRPr="004D483D">
            <w:rPr>
              <w:rFonts w:ascii="Times New Roman" w:hAnsi="Times New Roman"/>
              <w:color w:val="000000"/>
            </w:rPr>
            <w:t>(Popli et al., 2023)</w:t>
          </w:r>
        </w:sdtContent>
      </w:sdt>
      <w:r w:rsidRPr="004D483D">
        <w:rPr>
          <w:rFonts w:ascii="Times New Roman" w:hAnsi="Times New Roman"/>
        </w:rPr>
        <w:t xml:space="preserve"> were used to infer pairwise relationships between individuals. Each package was run using default settings, with READ and KIN using </w:t>
      </w:r>
      <w:r w:rsidRPr="004D483D">
        <w:rPr>
          <w:rFonts w:ascii="Times New Roman" w:hAnsi="Times New Roman"/>
        </w:rPr>
        <w:lastRenderedPageBreak/>
        <w:t>autosomal pseudohaploid variant call files as input. Analysis in READ was performed twice using the ‘mean’ and ‘max’ normalisation step on each occasion. Samples used for each analysis, and the output of each software package can be found in SI T1.5.</w:t>
      </w:r>
    </w:p>
    <w:p w14:paraId="5523D8DE" w14:textId="77777777" w:rsidR="00E51893" w:rsidRPr="004D483D" w:rsidRDefault="00E51893" w:rsidP="00E51893">
      <w:pPr>
        <w:rPr>
          <w:rFonts w:ascii="Times New Roman" w:hAnsi="Times New Roman"/>
        </w:rPr>
      </w:pPr>
    </w:p>
    <w:p w14:paraId="5B43A22D" w14:textId="77777777" w:rsidR="00E51893" w:rsidRPr="004D483D" w:rsidRDefault="00E51893" w:rsidP="00E51893">
      <w:pPr>
        <w:rPr>
          <w:rFonts w:ascii="Times New Roman" w:hAnsi="Times New Roman"/>
        </w:rPr>
      </w:pPr>
      <w:r w:rsidRPr="004D483D">
        <w:rPr>
          <w:rFonts w:ascii="Times New Roman" w:hAnsi="Times New Roman"/>
        </w:rPr>
        <w:t xml:space="preserve">READ inferred no relationships when using the ‘mean’ normalisation method. A single second-degree relationship was inferred when using the ‘max’ normalisation method in READ, but this was disregarded due to a low Z score (0.185). On examination of pairwise distances (shown in SI figure 3), all samples show similar P0 values indicating that each have a similar biological relationship to one another, and compatible with an interpretation that there are no pairs of individuals that have a closer than third degree relationship with each other. Whilst KIN inferred three third degree relationships amongst several tested individuals, each pairwise prediction had a calculated log likelihood ratio of less than 1, and was calculated using less than 1000 shared SNPs, </w:t>
      </w:r>
      <w:proofErr w:type="gramStart"/>
      <w:r w:rsidRPr="004D483D">
        <w:rPr>
          <w:rFonts w:ascii="Times New Roman" w:hAnsi="Times New Roman"/>
        </w:rPr>
        <w:t>As</w:t>
      </w:r>
      <w:proofErr w:type="gramEnd"/>
      <w:r w:rsidRPr="004D483D">
        <w:rPr>
          <w:rFonts w:ascii="Times New Roman" w:hAnsi="Times New Roman"/>
        </w:rPr>
        <w:t xml:space="preserve"> such, these result lack the statistical support for the relationships to be deemed valid. In short, no individuals incorporated into these analyses were </w:t>
      </w:r>
      <w:proofErr w:type="gramStart"/>
      <w:r w:rsidRPr="004D483D">
        <w:rPr>
          <w:rFonts w:ascii="Times New Roman" w:hAnsi="Times New Roman"/>
        </w:rPr>
        <w:t>closely related to one another</w:t>
      </w:r>
      <w:proofErr w:type="gramEnd"/>
      <w:r w:rsidRPr="004D483D">
        <w:rPr>
          <w:rFonts w:ascii="Times New Roman" w:hAnsi="Times New Roman"/>
        </w:rPr>
        <w:t>, although the accuracy of such an inference is limited given a lack of data.</w:t>
      </w:r>
    </w:p>
    <w:p w14:paraId="4CB176E8" w14:textId="77777777" w:rsidR="00E51893" w:rsidRPr="004D483D" w:rsidRDefault="00E51893" w:rsidP="00E51893">
      <w:pPr>
        <w:rPr>
          <w:rFonts w:ascii="Times New Roman" w:hAnsi="Times New Roman"/>
        </w:rPr>
      </w:pPr>
      <w:r w:rsidRPr="004D483D">
        <w:rPr>
          <w:rFonts w:ascii="Times New Roman" w:hAnsi="Times New Roman"/>
        </w:rPr>
        <w:t xml:space="preserve"> </w:t>
      </w:r>
      <w:r w:rsidRPr="004D483D">
        <w:rPr>
          <w:rFonts w:ascii="Times New Roman" w:hAnsi="Times New Roman"/>
          <w:noProof/>
          <w:color w:val="000000"/>
          <w:lang w:eastAsia="en-GB"/>
        </w:rPr>
        <w:drawing>
          <wp:inline distT="0" distB="0" distL="0" distR="0" wp14:anchorId="32F978AA" wp14:editId="2796E980">
            <wp:extent cx="5727700" cy="31083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rotWithShape="1">
                    <a:blip r:embed="rId8">
                      <a:extLst>
                        <a:ext uri="{28A0092B-C50C-407E-A947-70E740481C1C}">
                          <a14:useLocalDpi xmlns:a14="http://schemas.microsoft.com/office/drawing/2010/main" val="0"/>
                        </a:ext>
                      </a:extLst>
                    </a:blip>
                    <a:srcRect b="14072"/>
                    <a:stretch/>
                  </pic:blipFill>
                  <pic:spPr bwMode="auto">
                    <a:xfrm>
                      <a:off x="0" y="0"/>
                      <a:ext cx="5727700" cy="3108325"/>
                    </a:xfrm>
                    <a:prstGeom prst="rect">
                      <a:avLst/>
                    </a:prstGeom>
                    <a:ln>
                      <a:noFill/>
                    </a:ln>
                    <a:extLst>
                      <a:ext uri="{53640926-AAD7-44D8-BBD7-CCE9431645EC}">
                        <a14:shadowObscured xmlns:a14="http://schemas.microsoft.com/office/drawing/2010/main"/>
                      </a:ext>
                    </a:extLst>
                  </pic:spPr>
                </pic:pic>
              </a:graphicData>
            </a:graphic>
          </wp:inline>
        </w:drawing>
      </w:r>
    </w:p>
    <w:p w14:paraId="4F2B84F6" w14:textId="77777777" w:rsidR="00E51893" w:rsidRDefault="00E51893" w:rsidP="00E51893">
      <w:pPr>
        <w:rPr>
          <w:rFonts w:ascii="Times New Roman" w:hAnsi="Times New Roman"/>
        </w:rPr>
      </w:pPr>
      <w:r w:rsidRPr="004D483D">
        <w:rPr>
          <w:rFonts w:ascii="Times New Roman" w:hAnsi="Times New Roman"/>
        </w:rPr>
        <w:t>Table 2. Biological kinship inference as calculated using READ (‘mean’ normalisation)</w:t>
      </w:r>
    </w:p>
    <w:p w14:paraId="061672BE" w14:textId="77777777" w:rsidR="00986316" w:rsidRDefault="00986316" w:rsidP="00E51893">
      <w:pPr>
        <w:rPr>
          <w:rFonts w:ascii="Times New Roman" w:hAnsi="Times New Roman"/>
        </w:rPr>
      </w:pPr>
    </w:p>
    <w:p w14:paraId="263C9A9F" w14:textId="77777777" w:rsidR="00986316" w:rsidRDefault="00986316" w:rsidP="00E51893">
      <w:pPr>
        <w:rPr>
          <w:rFonts w:ascii="Times New Roman" w:hAnsi="Times New Roman"/>
        </w:rPr>
      </w:pPr>
    </w:p>
    <w:p w14:paraId="17D59BD9" w14:textId="77777777" w:rsidR="00AC6737" w:rsidRPr="004D483D" w:rsidRDefault="00AC6737" w:rsidP="00AC6737">
      <w:pPr>
        <w:rPr>
          <w:rFonts w:ascii="Times New Roman" w:hAnsi="Times New Roman"/>
        </w:rPr>
      </w:pPr>
      <w:r w:rsidRPr="004D483D">
        <w:rPr>
          <w:rFonts w:ascii="Times New Roman" w:hAnsi="Times New Roman"/>
        </w:rPr>
        <w:t>References</w:t>
      </w:r>
      <w:r>
        <w:rPr>
          <w:rFonts w:ascii="Times New Roman" w:hAnsi="Times New Roman"/>
        </w:rPr>
        <w:t xml:space="preserve"> (supplementary material)</w:t>
      </w:r>
      <w:r w:rsidRPr="004D483D">
        <w:rPr>
          <w:rFonts w:ascii="Times New Roman" w:hAnsi="Times New Roman"/>
        </w:rPr>
        <w:t>:</w:t>
      </w:r>
    </w:p>
    <w:p w14:paraId="78C8A31B" w14:textId="77777777" w:rsidR="00AC6737" w:rsidRPr="004D483D" w:rsidRDefault="00AC6737" w:rsidP="00AC6737">
      <w:pPr>
        <w:rPr>
          <w:rFonts w:ascii="Times New Roman" w:hAnsi="Times New Roman"/>
        </w:rPr>
      </w:pPr>
    </w:p>
    <w:sdt>
      <w:sdtPr>
        <w:rPr>
          <w:rFonts w:ascii="Times New Roman" w:hAnsi="Times New Roman"/>
        </w:rPr>
        <w:tag w:val="MENDELEY_BIBLIOGRAPHY"/>
        <w:id w:val="-1390037824"/>
        <w:placeholder>
          <w:docPart w:val="03DFB4A69BFD6C46B0C08170188D4AB0"/>
        </w:placeholder>
      </w:sdtPr>
      <w:sdtContent>
        <w:p w14:paraId="442631C2"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t xml:space="preserve">Dabney, J., Meyer, M., Pääbo, S., 2013. Ancient DNA damage. </w:t>
          </w:r>
          <w:r w:rsidRPr="005A2FCB">
            <w:rPr>
              <w:rFonts w:ascii="Times New Roman" w:eastAsia="Times New Roman" w:hAnsi="Times New Roman"/>
              <w:i/>
            </w:rPr>
            <w:t xml:space="preserve">Cold Spring Harbor Perspectives in Biology </w:t>
          </w:r>
          <w:r w:rsidRPr="004D483D">
            <w:rPr>
              <w:rFonts w:ascii="Times New Roman" w:eastAsia="Times New Roman" w:hAnsi="Times New Roman"/>
            </w:rPr>
            <w:t xml:space="preserve">5, 1–8. </w:t>
          </w:r>
        </w:p>
        <w:p w14:paraId="084FC190"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t>Hawkins, M.T.R., Hofman, C.A., Callicrate, T., McDonough, M.M., Tsuchiya, M.T.N., Gutiérrez, E.E., Helgen, K.M., Maldonado, J.E., 2016. In‐solution hybridization for mammalian mitogenome enrichment: pros, cons and challenges associated with multiplexing degraded DNA</w:t>
          </w:r>
          <w:r>
            <w:rPr>
              <w:rFonts w:ascii="Times New Roman" w:eastAsia="Times New Roman" w:hAnsi="Times New Roman"/>
            </w:rPr>
            <w:t xml:space="preserve">. </w:t>
          </w:r>
          <w:r w:rsidRPr="005A2FCB">
            <w:rPr>
              <w:rFonts w:ascii="Times New Roman" w:eastAsia="Times New Roman" w:hAnsi="Times New Roman"/>
              <w:i/>
            </w:rPr>
            <w:t>Molecular Ecology Resources</w:t>
          </w:r>
          <w:r w:rsidRPr="004D483D">
            <w:rPr>
              <w:rFonts w:ascii="Times New Roman" w:eastAsia="Times New Roman" w:hAnsi="Times New Roman"/>
            </w:rPr>
            <w:t xml:space="preserve"> 16, 1173–1188.</w:t>
          </w:r>
        </w:p>
        <w:p w14:paraId="76C15BDE"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t xml:space="preserve">Jónsson, H., Ginolhac, A., Schubert, M., Johnson, P.L.F., Orlando, L., 2013. mapDamage2. 0: fast approximate Bayesian estimates of ancient DNA damage parameters. </w:t>
          </w:r>
          <w:r w:rsidRPr="005A2FCB">
            <w:rPr>
              <w:rFonts w:ascii="Times New Roman" w:eastAsia="Times New Roman" w:hAnsi="Times New Roman"/>
              <w:i/>
            </w:rPr>
            <w:t>Bioinformatic</w:t>
          </w:r>
          <w:r w:rsidRPr="004D483D">
            <w:rPr>
              <w:rFonts w:ascii="Times New Roman" w:eastAsia="Times New Roman" w:hAnsi="Times New Roman"/>
            </w:rPr>
            <w:t>s 29, 1682–1684.</w:t>
          </w:r>
        </w:p>
        <w:p w14:paraId="72EE5A71"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lastRenderedPageBreak/>
            <w:t xml:space="preserve">Lipson, M., Sawchuk, E.A., Thompson, J.C., Oppenheimer, J., Tryon, C.A., Ranhorn, K.L., De Luna, K.M., Sirak, K.A., Olalde, I., Ambrose, S.H., 2022. Ancient DNA and deep population structure in sub-Saharan African foragers. </w:t>
          </w:r>
          <w:r w:rsidRPr="005A2FCB">
            <w:rPr>
              <w:rFonts w:ascii="Times New Roman" w:eastAsia="Times New Roman" w:hAnsi="Times New Roman"/>
              <w:i/>
            </w:rPr>
            <w:t>Nature</w:t>
          </w:r>
          <w:r w:rsidRPr="004D483D">
            <w:rPr>
              <w:rFonts w:ascii="Times New Roman" w:eastAsia="Times New Roman" w:hAnsi="Times New Roman"/>
            </w:rPr>
            <w:t xml:space="preserve"> 603, 290–296.</w:t>
          </w:r>
        </w:p>
        <w:p w14:paraId="3D109890"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t xml:space="preserve">Marsh, W.A., Brace, S., Barnes, I., 2023. Inferring biological kinship in ancient datasets: comparing the response of ancient DNA-specific software packages to low coverage data. </w:t>
          </w:r>
          <w:r w:rsidRPr="005A2FCB">
            <w:rPr>
              <w:rFonts w:ascii="Times New Roman" w:eastAsia="Times New Roman" w:hAnsi="Times New Roman"/>
              <w:i/>
            </w:rPr>
            <w:t>BMC Genomics</w:t>
          </w:r>
          <w:r w:rsidRPr="004D483D">
            <w:rPr>
              <w:rFonts w:ascii="Times New Roman" w:eastAsia="Times New Roman" w:hAnsi="Times New Roman"/>
            </w:rPr>
            <w:t xml:space="preserve"> 24, 1–12.</w:t>
          </w:r>
        </w:p>
        <w:p w14:paraId="40B99B5D"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t xml:space="preserve">Meyer, M., Kircher, M., Gansauge, M.T., Li, H., Racimo, F., Mallick, S., Schraiber, J.G., Jay, F., Prüfer, K., De Filippo, C., Sudmant, P.H., Alkan, C., Fu, Q., Do, R., Rohland, N., Tandon, A., Siebauer, M., Green, R.E., Bryc, K., Briggs, A.W., Stenzel, U., Dabney, J., Shendure, J., Kitzman, J., Hammer, M.F., Shunkov, M. V., Derevianko, A.P., Patterson, N., Andrés, A.M., Eichler, E.E., Slatkin, M., Reich, D., Kelso, J., Pääbo, S., 2012. A high-coverage genome sequence from an archaic Denisovan individual. </w:t>
          </w:r>
          <w:r w:rsidRPr="005A2FCB">
            <w:rPr>
              <w:rFonts w:ascii="Times New Roman" w:eastAsia="Times New Roman" w:hAnsi="Times New Roman"/>
              <w:i/>
            </w:rPr>
            <w:t>Science</w:t>
          </w:r>
          <w:r w:rsidRPr="004D483D">
            <w:rPr>
              <w:rFonts w:ascii="Times New Roman" w:eastAsia="Times New Roman" w:hAnsi="Times New Roman"/>
            </w:rPr>
            <w:t xml:space="preserve"> (1979) 338, 222–226. </w:t>
          </w:r>
        </w:p>
        <w:p w14:paraId="2B8A0A77"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t xml:space="preserve">Monroy Kuhn, J.M., Jakobsson, M., Günther, T., 2018. Estimating genetic kin relationships in prehistoric populations. </w:t>
          </w:r>
          <w:r w:rsidRPr="005A2FCB">
            <w:rPr>
              <w:rFonts w:ascii="Times New Roman" w:eastAsia="Times New Roman" w:hAnsi="Times New Roman"/>
              <w:i/>
            </w:rPr>
            <w:t>PLoS One</w:t>
          </w:r>
          <w:r w:rsidRPr="004D483D">
            <w:rPr>
              <w:rFonts w:ascii="Times New Roman" w:eastAsia="Times New Roman" w:hAnsi="Times New Roman"/>
            </w:rPr>
            <w:t xml:space="preserve"> 13, e0195491.</w:t>
          </w:r>
        </w:p>
        <w:p w14:paraId="69C03C3D"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t xml:space="preserve">Orlando, L., Allaby, R., Skoglund, P., Der Sarkissian, C., Stockhammer, P.W., Ávila-Arcos, M.C., Fu, Q., Krause, J., Willerslev, E., Stone, A.C., 2021. Ancient DNA analysis. </w:t>
          </w:r>
          <w:r w:rsidRPr="005A2FCB">
            <w:rPr>
              <w:rFonts w:ascii="Times New Roman" w:eastAsia="Times New Roman" w:hAnsi="Times New Roman"/>
              <w:i/>
            </w:rPr>
            <w:t>Nature Reviews Methods Primers</w:t>
          </w:r>
          <w:r w:rsidRPr="004D483D">
            <w:rPr>
              <w:rFonts w:ascii="Times New Roman" w:eastAsia="Times New Roman" w:hAnsi="Times New Roman"/>
            </w:rPr>
            <w:t xml:space="preserve"> 1, 14.</w:t>
          </w:r>
        </w:p>
        <w:p w14:paraId="0ED3D52B"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t xml:space="preserve">Popli, D., Peyrégne, S., Peter, B.M., 2023. KIN: a method to infer relatedness from low-coverage ancient DNA. </w:t>
          </w:r>
          <w:r w:rsidRPr="005A2FCB">
            <w:rPr>
              <w:rFonts w:ascii="Times New Roman" w:eastAsia="Times New Roman" w:hAnsi="Times New Roman"/>
              <w:i/>
            </w:rPr>
            <w:t>Genome Biol</w:t>
          </w:r>
          <w:r>
            <w:rPr>
              <w:rFonts w:ascii="Times New Roman" w:eastAsia="Times New Roman" w:hAnsi="Times New Roman"/>
              <w:i/>
            </w:rPr>
            <w:t>ogy</w:t>
          </w:r>
          <w:r w:rsidRPr="004D483D">
            <w:rPr>
              <w:rFonts w:ascii="Times New Roman" w:eastAsia="Times New Roman" w:hAnsi="Times New Roman"/>
            </w:rPr>
            <w:t xml:space="preserve"> 24, 1–22.</w:t>
          </w:r>
        </w:p>
        <w:p w14:paraId="6FA58066" w14:textId="77777777" w:rsidR="00AC6737" w:rsidRPr="004D483D" w:rsidRDefault="00AC6737" w:rsidP="00AC6737">
          <w:pPr>
            <w:autoSpaceDE w:val="0"/>
            <w:autoSpaceDN w:val="0"/>
            <w:ind w:hanging="480"/>
            <w:rPr>
              <w:rFonts w:ascii="Times New Roman" w:eastAsia="Times New Roman" w:hAnsi="Times New Roman"/>
            </w:rPr>
          </w:pPr>
          <w:r w:rsidRPr="004D483D">
            <w:rPr>
              <w:rFonts w:ascii="Times New Roman" w:eastAsia="Times New Roman" w:hAnsi="Times New Roman"/>
            </w:rPr>
            <w:t xml:space="preserve">Skoglund, P., Northoff, B.H., Shunkov, M. V, Derevianko, A.P., Pääbo, S., Krause, J., Jakobsson, M., 2014. Separating endogenous ancient DNA from modern day contamination in a Siberian Neandertal. </w:t>
          </w:r>
          <w:r w:rsidRPr="005A2FCB">
            <w:rPr>
              <w:rFonts w:ascii="Times New Roman" w:eastAsia="Times New Roman" w:hAnsi="Times New Roman"/>
              <w:i/>
            </w:rPr>
            <w:t>Proceedings of the National Academy of Sciences</w:t>
          </w:r>
          <w:r w:rsidRPr="004D483D">
            <w:rPr>
              <w:rFonts w:ascii="Times New Roman" w:eastAsia="Times New Roman" w:hAnsi="Times New Roman"/>
            </w:rPr>
            <w:t xml:space="preserve"> 111, 2229–2234.</w:t>
          </w:r>
        </w:p>
        <w:p w14:paraId="3B3BC895" w14:textId="77777777" w:rsidR="00AC6737" w:rsidRPr="004D483D" w:rsidRDefault="00AC6737" w:rsidP="00AC6737">
          <w:pPr>
            <w:rPr>
              <w:rFonts w:ascii="Times New Roman" w:hAnsi="Times New Roman"/>
            </w:rPr>
          </w:pPr>
          <w:r w:rsidRPr="004D483D">
            <w:rPr>
              <w:rFonts w:ascii="Times New Roman" w:eastAsia="Times New Roman" w:hAnsi="Times New Roman"/>
            </w:rPr>
            <w:t> </w:t>
          </w:r>
        </w:p>
      </w:sdtContent>
    </w:sdt>
    <w:p w14:paraId="3CC3F527" w14:textId="77777777" w:rsidR="00E51893" w:rsidRPr="00E51893" w:rsidRDefault="00E51893" w:rsidP="00DE6894">
      <w:pPr>
        <w:keepLines/>
        <w:rPr>
          <w:rFonts w:ascii="Times New Roman" w:eastAsia="Calibri" w:hAnsi="Times New Roman"/>
          <w:i/>
          <w:iCs/>
        </w:rPr>
      </w:pPr>
    </w:p>
    <w:sectPr w:rsidR="00E51893" w:rsidRPr="00E51893" w:rsidSect="00E44A96">
      <w:footerReference w:type="even" r:id="rId9"/>
      <w:footerReference w:type="default" r:id="rId10"/>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F101C" w14:textId="77777777" w:rsidR="00EE78E9" w:rsidRDefault="00EE78E9" w:rsidP="00035ADE">
      <w:r>
        <w:separator/>
      </w:r>
    </w:p>
  </w:endnote>
  <w:endnote w:type="continuationSeparator" w:id="0">
    <w:p w14:paraId="5F92B56A" w14:textId="77777777" w:rsidR="00EE78E9" w:rsidRDefault="00EE78E9" w:rsidP="0003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21783113"/>
      <w:docPartObj>
        <w:docPartGallery w:val="Page Numbers (Bottom of Page)"/>
        <w:docPartUnique/>
      </w:docPartObj>
    </w:sdtPr>
    <w:sdtContent>
      <w:p w14:paraId="22CF833F" w14:textId="011A10D9" w:rsidR="008008BB" w:rsidRDefault="008008BB" w:rsidP="0049463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16ECD87" w14:textId="77777777" w:rsidR="008008BB" w:rsidRDefault="008008BB" w:rsidP="008008B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21524037"/>
      <w:docPartObj>
        <w:docPartGallery w:val="Page Numbers (Bottom of Page)"/>
        <w:docPartUnique/>
      </w:docPartObj>
    </w:sdtPr>
    <w:sdtContent>
      <w:p w14:paraId="29B19CC5" w14:textId="715E7FED" w:rsidR="008008BB" w:rsidRDefault="008008BB" w:rsidP="0049463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416E13">
          <w:rPr>
            <w:rStyle w:val="PageNumber"/>
            <w:noProof/>
          </w:rPr>
          <w:t>1</w:t>
        </w:r>
        <w:r>
          <w:rPr>
            <w:rStyle w:val="PageNumber"/>
          </w:rPr>
          <w:fldChar w:fldCharType="end"/>
        </w:r>
      </w:p>
    </w:sdtContent>
  </w:sdt>
  <w:p w14:paraId="2F21406F" w14:textId="77777777" w:rsidR="008008BB" w:rsidRDefault="008008BB" w:rsidP="008008B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C7B539" w14:textId="77777777" w:rsidR="00EE78E9" w:rsidRDefault="00EE78E9" w:rsidP="00035ADE">
      <w:r>
        <w:separator/>
      </w:r>
    </w:p>
  </w:footnote>
  <w:footnote w:type="continuationSeparator" w:id="0">
    <w:p w14:paraId="51521952" w14:textId="77777777" w:rsidR="00EE78E9" w:rsidRDefault="00EE78E9" w:rsidP="00035AD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5FA5"/>
    <w:rsid w:val="00003A57"/>
    <w:rsid w:val="0000404C"/>
    <w:rsid w:val="00006E12"/>
    <w:rsid w:val="000117D1"/>
    <w:rsid w:val="00012504"/>
    <w:rsid w:val="000126E2"/>
    <w:rsid w:val="000144C5"/>
    <w:rsid w:val="0001555A"/>
    <w:rsid w:val="00020001"/>
    <w:rsid w:val="000213AA"/>
    <w:rsid w:val="00021550"/>
    <w:rsid w:val="00024802"/>
    <w:rsid w:val="0003060B"/>
    <w:rsid w:val="0003112B"/>
    <w:rsid w:val="00035ADE"/>
    <w:rsid w:val="00035C38"/>
    <w:rsid w:val="00035E03"/>
    <w:rsid w:val="000367F5"/>
    <w:rsid w:val="0004241E"/>
    <w:rsid w:val="0005326C"/>
    <w:rsid w:val="0005331E"/>
    <w:rsid w:val="00053512"/>
    <w:rsid w:val="00055D2E"/>
    <w:rsid w:val="000605DD"/>
    <w:rsid w:val="000635A1"/>
    <w:rsid w:val="00063CC2"/>
    <w:rsid w:val="00064444"/>
    <w:rsid w:val="00064E14"/>
    <w:rsid w:val="0006631E"/>
    <w:rsid w:val="000748C8"/>
    <w:rsid w:val="00077326"/>
    <w:rsid w:val="00084838"/>
    <w:rsid w:val="00084AC9"/>
    <w:rsid w:val="00086D3A"/>
    <w:rsid w:val="000878A6"/>
    <w:rsid w:val="00090A4E"/>
    <w:rsid w:val="000945B1"/>
    <w:rsid w:val="000A62CC"/>
    <w:rsid w:val="000B26CA"/>
    <w:rsid w:val="000B3F78"/>
    <w:rsid w:val="000C00EE"/>
    <w:rsid w:val="000C14D8"/>
    <w:rsid w:val="000C37CA"/>
    <w:rsid w:val="000D636D"/>
    <w:rsid w:val="000E0390"/>
    <w:rsid w:val="000E4E0E"/>
    <w:rsid w:val="000E5887"/>
    <w:rsid w:val="000F0DC6"/>
    <w:rsid w:val="000F2556"/>
    <w:rsid w:val="000F3585"/>
    <w:rsid w:val="000F5AB5"/>
    <w:rsid w:val="000F686C"/>
    <w:rsid w:val="000F7040"/>
    <w:rsid w:val="00100577"/>
    <w:rsid w:val="001026F8"/>
    <w:rsid w:val="001069FA"/>
    <w:rsid w:val="00107121"/>
    <w:rsid w:val="001073A3"/>
    <w:rsid w:val="00113284"/>
    <w:rsid w:val="00113CA2"/>
    <w:rsid w:val="0011486E"/>
    <w:rsid w:val="001254A9"/>
    <w:rsid w:val="00134845"/>
    <w:rsid w:val="00136958"/>
    <w:rsid w:val="00136EC4"/>
    <w:rsid w:val="00142796"/>
    <w:rsid w:val="0014320B"/>
    <w:rsid w:val="0015112F"/>
    <w:rsid w:val="001558F4"/>
    <w:rsid w:val="00161697"/>
    <w:rsid w:val="0016451B"/>
    <w:rsid w:val="00171E67"/>
    <w:rsid w:val="00174DE1"/>
    <w:rsid w:val="001816D8"/>
    <w:rsid w:val="00184613"/>
    <w:rsid w:val="00184F96"/>
    <w:rsid w:val="00185DEB"/>
    <w:rsid w:val="00186388"/>
    <w:rsid w:val="0019053E"/>
    <w:rsid w:val="001960ED"/>
    <w:rsid w:val="00197C2C"/>
    <w:rsid w:val="001A1323"/>
    <w:rsid w:val="001A4269"/>
    <w:rsid w:val="001B1CDE"/>
    <w:rsid w:val="001B4C67"/>
    <w:rsid w:val="001B68B4"/>
    <w:rsid w:val="001C2A94"/>
    <w:rsid w:val="001C5BC0"/>
    <w:rsid w:val="001D2F10"/>
    <w:rsid w:val="001D3DC9"/>
    <w:rsid w:val="001D4BA4"/>
    <w:rsid w:val="001E5050"/>
    <w:rsid w:val="001F3BA5"/>
    <w:rsid w:val="001F7250"/>
    <w:rsid w:val="0020234B"/>
    <w:rsid w:val="002036CA"/>
    <w:rsid w:val="00204245"/>
    <w:rsid w:val="00204A75"/>
    <w:rsid w:val="0020551A"/>
    <w:rsid w:val="00205708"/>
    <w:rsid w:val="00207316"/>
    <w:rsid w:val="00211263"/>
    <w:rsid w:val="002113AC"/>
    <w:rsid w:val="00212515"/>
    <w:rsid w:val="00212A9B"/>
    <w:rsid w:val="00216A2D"/>
    <w:rsid w:val="00221024"/>
    <w:rsid w:val="0022346E"/>
    <w:rsid w:val="002246F8"/>
    <w:rsid w:val="0022724F"/>
    <w:rsid w:val="0022790A"/>
    <w:rsid w:val="002338D1"/>
    <w:rsid w:val="00233951"/>
    <w:rsid w:val="00244C57"/>
    <w:rsid w:val="00246FB3"/>
    <w:rsid w:val="00250CF4"/>
    <w:rsid w:val="002547EF"/>
    <w:rsid w:val="002606BA"/>
    <w:rsid w:val="002617F5"/>
    <w:rsid w:val="0026441D"/>
    <w:rsid w:val="002652D9"/>
    <w:rsid w:val="00267DAA"/>
    <w:rsid w:val="0028173B"/>
    <w:rsid w:val="00282036"/>
    <w:rsid w:val="00286BFC"/>
    <w:rsid w:val="00286EE4"/>
    <w:rsid w:val="0029346E"/>
    <w:rsid w:val="002943B4"/>
    <w:rsid w:val="0029619C"/>
    <w:rsid w:val="002A370D"/>
    <w:rsid w:val="002A5C7C"/>
    <w:rsid w:val="002A6FE1"/>
    <w:rsid w:val="002B3F43"/>
    <w:rsid w:val="002B462F"/>
    <w:rsid w:val="002B5FA5"/>
    <w:rsid w:val="002C6E19"/>
    <w:rsid w:val="002E007A"/>
    <w:rsid w:val="002E03C1"/>
    <w:rsid w:val="002E4A70"/>
    <w:rsid w:val="002E771E"/>
    <w:rsid w:val="002F092D"/>
    <w:rsid w:val="002F0A3A"/>
    <w:rsid w:val="002F1FC9"/>
    <w:rsid w:val="002F57DD"/>
    <w:rsid w:val="0030174A"/>
    <w:rsid w:val="0030412C"/>
    <w:rsid w:val="003053C4"/>
    <w:rsid w:val="00314530"/>
    <w:rsid w:val="0031464E"/>
    <w:rsid w:val="00321C24"/>
    <w:rsid w:val="00321D55"/>
    <w:rsid w:val="0032207A"/>
    <w:rsid w:val="003253B8"/>
    <w:rsid w:val="00327828"/>
    <w:rsid w:val="003331AD"/>
    <w:rsid w:val="00334E6E"/>
    <w:rsid w:val="003410F3"/>
    <w:rsid w:val="00341DD1"/>
    <w:rsid w:val="00342756"/>
    <w:rsid w:val="003436EE"/>
    <w:rsid w:val="00344983"/>
    <w:rsid w:val="00346D80"/>
    <w:rsid w:val="0035050A"/>
    <w:rsid w:val="00354AB3"/>
    <w:rsid w:val="003572AC"/>
    <w:rsid w:val="0036407E"/>
    <w:rsid w:val="00367D7B"/>
    <w:rsid w:val="00371E18"/>
    <w:rsid w:val="00373775"/>
    <w:rsid w:val="00373D2E"/>
    <w:rsid w:val="003777F5"/>
    <w:rsid w:val="00381027"/>
    <w:rsid w:val="00382D84"/>
    <w:rsid w:val="00390FF1"/>
    <w:rsid w:val="003914B6"/>
    <w:rsid w:val="003914C6"/>
    <w:rsid w:val="00391F27"/>
    <w:rsid w:val="00396929"/>
    <w:rsid w:val="0039707C"/>
    <w:rsid w:val="003A1971"/>
    <w:rsid w:val="003A28B8"/>
    <w:rsid w:val="003A5724"/>
    <w:rsid w:val="003B1D44"/>
    <w:rsid w:val="003B3B1E"/>
    <w:rsid w:val="003B53BD"/>
    <w:rsid w:val="003B66D5"/>
    <w:rsid w:val="003C1CE1"/>
    <w:rsid w:val="003C2A12"/>
    <w:rsid w:val="003C404E"/>
    <w:rsid w:val="003C7342"/>
    <w:rsid w:val="003D3FE2"/>
    <w:rsid w:val="003D487D"/>
    <w:rsid w:val="003D5C28"/>
    <w:rsid w:val="003D6126"/>
    <w:rsid w:val="003E0C66"/>
    <w:rsid w:val="003E5878"/>
    <w:rsid w:val="003F2F67"/>
    <w:rsid w:val="003F6401"/>
    <w:rsid w:val="003F6820"/>
    <w:rsid w:val="003F7F54"/>
    <w:rsid w:val="004005B2"/>
    <w:rsid w:val="00403F31"/>
    <w:rsid w:val="004110AB"/>
    <w:rsid w:val="00416E13"/>
    <w:rsid w:val="00417C3C"/>
    <w:rsid w:val="00421258"/>
    <w:rsid w:val="00426BD2"/>
    <w:rsid w:val="00433651"/>
    <w:rsid w:val="00442A15"/>
    <w:rsid w:val="0044687D"/>
    <w:rsid w:val="00450005"/>
    <w:rsid w:val="0045675B"/>
    <w:rsid w:val="00467712"/>
    <w:rsid w:val="00471831"/>
    <w:rsid w:val="004755CF"/>
    <w:rsid w:val="00476E7D"/>
    <w:rsid w:val="004770F2"/>
    <w:rsid w:val="004804FF"/>
    <w:rsid w:val="004805F8"/>
    <w:rsid w:val="00484E67"/>
    <w:rsid w:val="00493EE5"/>
    <w:rsid w:val="00496C37"/>
    <w:rsid w:val="004971AA"/>
    <w:rsid w:val="004A199C"/>
    <w:rsid w:val="004A5EEE"/>
    <w:rsid w:val="004A7AA1"/>
    <w:rsid w:val="004B0650"/>
    <w:rsid w:val="004B35EE"/>
    <w:rsid w:val="004B6079"/>
    <w:rsid w:val="004C5119"/>
    <w:rsid w:val="004C5F53"/>
    <w:rsid w:val="004D0A15"/>
    <w:rsid w:val="004D12B9"/>
    <w:rsid w:val="004D3516"/>
    <w:rsid w:val="004D3643"/>
    <w:rsid w:val="004D3FB9"/>
    <w:rsid w:val="004D4755"/>
    <w:rsid w:val="004D63AC"/>
    <w:rsid w:val="004E0C5B"/>
    <w:rsid w:val="004E1B12"/>
    <w:rsid w:val="004E6EA6"/>
    <w:rsid w:val="004F635F"/>
    <w:rsid w:val="00501D52"/>
    <w:rsid w:val="00501E29"/>
    <w:rsid w:val="0050230C"/>
    <w:rsid w:val="0050570E"/>
    <w:rsid w:val="0050688E"/>
    <w:rsid w:val="00512213"/>
    <w:rsid w:val="00512B43"/>
    <w:rsid w:val="00513973"/>
    <w:rsid w:val="00514064"/>
    <w:rsid w:val="00514BD3"/>
    <w:rsid w:val="00520D84"/>
    <w:rsid w:val="00521376"/>
    <w:rsid w:val="00523371"/>
    <w:rsid w:val="00525861"/>
    <w:rsid w:val="00526744"/>
    <w:rsid w:val="005277E2"/>
    <w:rsid w:val="00534628"/>
    <w:rsid w:val="0053666A"/>
    <w:rsid w:val="00536968"/>
    <w:rsid w:val="0053731F"/>
    <w:rsid w:val="005402ED"/>
    <w:rsid w:val="005426CD"/>
    <w:rsid w:val="0054441C"/>
    <w:rsid w:val="005452DF"/>
    <w:rsid w:val="00547E43"/>
    <w:rsid w:val="005529D0"/>
    <w:rsid w:val="00552D2B"/>
    <w:rsid w:val="00557BEE"/>
    <w:rsid w:val="00561DD4"/>
    <w:rsid w:val="00563CB0"/>
    <w:rsid w:val="00572002"/>
    <w:rsid w:val="0057484E"/>
    <w:rsid w:val="00577AE2"/>
    <w:rsid w:val="00580480"/>
    <w:rsid w:val="005810F1"/>
    <w:rsid w:val="00583478"/>
    <w:rsid w:val="005836EA"/>
    <w:rsid w:val="00584218"/>
    <w:rsid w:val="005845C7"/>
    <w:rsid w:val="005876AE"/>
    <w:rsid w:val="00591DF4"/>
    <w:rsid w:val="0059279D"/>
    <w:rsid w:val="00592F33"/>
    <w:rsid w:val="005931B7"/>
    <w:rsid w:val="0059579A"/>
    <w:rsid w:val="005A128E"/>
    <w:rsid w:val="005A504E"/>
    <w:rsid w:val="005A707E"/>
    <w:rsid w:val="005B69C7"/>
    <w:rsid w:val="005C13FA"/>
    <w:rsid w:val="005C148A"/>
    <w:rsid w:val="005C2060"/>
    <w:rsid w:val="005C3063"/>
    <w:rsid w:val="005C74A4"/>
    <w:rsid w:val="005D087B"/>
    <w:rsid w:val="005D1B6A"/>
    <w:rsid w:val="005D5562"/>
    <w:rsid w:val="005D5650"/>
    <w:rsid w:val="005D6439"/>
    <w:rsid w:val="005D6D80"/>
    <w:rsid w:val="005E14B2"/>
    <w:rsid w:val="005F0856"/>
    <w:rsid w:val="005F4428"/>
    <w:rsid w:val="005F6FD1"/>
    <w:rsid w:val="00600EFC"/>
    <w:rsid w:val="006012CA"/>
    <w:rsid w:val="00603D53"/>
    <w:rsid w:val="006127F5"/>
    <w:rsid w:val="00615016"/>
    <w:rsid w:val="00615085"/>
    <w:rsid w:val="00615119"/>
    <w:rsid w:val="00620A4D"/>
    <w:rsid w:val="00634DBB"/>
    <w:rsid w:val="00635F1C"/>
    <w:rsid w:val="006360EB"/>
    <w:rsid w:val="006570AC"/>
    <w:rsid w:val="00657489"/>
    <w:rsid w:val="00660675"/>
    <w:rsid w:val="0066242B"/>
    <w:rsid w:val="00666C2F"/>
    <w:rsid w:val="006671A6"/>
    <w:rsid w:val="00682F3F"/>
    <w:rsid w:val="006831D5"/>
    <w:rsid w:val="00686537"/>
    <w:rsid w:val="00690ADA"/>
    <w:rsid w:val="00692E8F"/>
    <w:rsid w:val="00694173"/>
    <w:rsid w:val="006946E6"/>
    <w:rsid w:val="006A1BD0"/>
    <w:rsid w:val="006A489A"/>
    <w:rsid w:val="006A5729"/>
    <w:rsid w:val="006B2176"/>
    <w:rsid w:val="006B2D81"/>
    <w:rsid w:val="006B4F31"/>
    <w:rsid w:val="006C1179"/>
    <w:rsid w:val="006C37D0"/>
    <w:rsid w:val="006D2A1A"/>
    <w:rsid w:val="006D5BE1"/>
    <w:rsid w:val="006D5FC0"/>
    <w:rsid w:val="006E2569"/>
    <w:rsid w:val="006F59CF"/>
    <w:rsid w:val="007010F3"/>
    <w:rsid w:val="007057ED"/>
    <w:rsid w:val="00706AE9"/>
    <w:rsid w:val="007108F5"/>
    <w:rsid w:val="007137A9"/>
    <w:rsid w:val="0071392B"/>
    <w:rsid w:val="00714780"/>
    <w:rsid w:val="00716806"/>
    <w:rsid w:val="00716BCE"/>
    <w:rsid w:val="00722AAB"/>
    <w:rsid w:val="00724DFF"/>
    <w:rsid w:val="0073398F"/>
    <w:rsid w:val="007366A7"/>
    <w:rsid w:val="00740505"/>
    <w:rsid w:val="00740FA7"/>
    <w:rsid w:val="00750D87"/>
    <w:rsid w:val="007516C9"/>
    <w:rsid w:val="007520A0"/>
    <w:rsid w:val="00761468"/>
    <w:rsid w:val="007615C2"/>
    <w:rsid w:val="00762E4D"/>
    <w:rsid w:val="007662DE"/>
    <w:rsid w:val="00771823"/>
    <w:rsid w:val="00781197"/>
    <w:rsid w:val="00782B6E"/>
    <w:rsid w:val="007839D7"/>
    <w:rsid w:val="00783E94"/>
    <w:rsid w:val="00785830"/>
    <w:rsid w:val="0078664E"/>
    <w:rsid w:val="0079298E"/>
    <w:rsid w:val="007944FA"/>
    <w:rsid w:val="00795120"/>
    <w:rsid w:val="007A1022"/>
    <w:rsid w:val="007A6851"/>
    <w:rsid w:val="007B64BE"/>
    <w:rsid w:val="007B7EFF"/>
    <w:rsid w:val="007C0B58"/>
    <w:rsid w:val="007E094B"/>
    <w:rsid w:val="007E3ABE"/>
    <w:rsid w:val="007E4A9D"/>
    <w:rsid w:val="007F13B7"/>
    <w:rsid w:val="007F1502"/>
    <w:rsid w:val="007F7268"/>
    <w:rsid w:val="008008BB"/>
    <w:rsid w:val="00804E47"/>
    <w:rsid w:val="0080639E"/>
    <w:rsid w:val="00806953"/>
    <w:rsid w:val="00810EAF"/>
    <w:rsid w:val="008124DE"/>
    <w:rsid w:val="00814A3A"/>
    <w:rsid w:val="0081589D"/>
    <w:rsid w:val="00815E0F"/>
    <w:rsid w:val="00820CB1"/>
    <w:rsid w:val="00821EDC"/>
    <w:rsid w:val="00822B8C"/>
    <w:rsid w:val="0082324E"/>
    <w:rsid w:val="00830039"/>
    <w:rsid w:val="00830620"/>
    <w:rsid w:val="008311A4"/>
    <w:rsid w:val="00831573"/>
    <w:rsid w:val="00833700"/>
    <w:rsid w:val="00835B67"/>
    <w:rsid w:val="00844CA6"/>
    <w:rsid w:val="00844D30"/>
    <w:rsid w:val="008473C3"/>
    <w:rsid w:val="00847BE3"/>
    <w:rsid w:val="00851735"/>
    <w:rsid w:val="008527CE"/>
    <w:rsid w:val="00853D5B"/>
    <w:rsid w:val="008545E9"/>
    <w:rsid w:val="00854BA9"/>
    <w:rsid w:val="008577C6"/>
    <w:rsid w:val="00863127"/>
    <w:rsid w:val="00863C97"/>
    <w:rsid w:val="00864FF9"/>
    <w:rsid w:val="008652DA"/>
    <w:rsid w:val="00865A4E"/>
    <w:rsid w:val="00866FB8"/>
    <w:rsid w:val="0086703D"/>
    <w:rsid w:val="00867535"/>
    <w:rsid w:val="008679A5"/>
    <w:rsid w:val="008708D1"/>
    <w:rsid w:val="00872B27"/>
    <w:rsid w:val="00874DA2"/>
    <w:rsid w:val="00876933"/>
    <w:rsid w:val="008800DE"/>
    <w:rsid w:val="00882571"/>
    <w:rsid w:val="008869F4"/>
    <w:rsid w:val="00887F68"/>
    <w:rsid w:val="008A06FA"/>
    <w:rsid w:val="008A4F4B"/>
    <w:rsid w:val="008B2254"/>
    <w:rsid w:val="008B6FB6"/>
    <w:rsid w:val="008C2BBA"/>
    <w:rsid w:val="008C5AFC"/>
    <w:rsid w:val="008D4D60"/>
    <w:rsid w:val="008E45D1"/>
    <w:rsid w:val="008E6841"/>
    <w:rsid w:val="008E685F"/>
    <w:rsid w:val="008E6BF1"/>
    <w:rsid w:val="0090296B"/>
    <w:rsid w:val="0090437B"/>
    <w:rsid w:val="009079B5"/>
    <w:rsid w:val="00915B8C"/>
    <w:rsid w:val="00924EAA"/>
    <w:rsid w:val="00931248"/>
    <w:rsid w:val="00940D32"/>
    <w:rsid w:val="0094302A"/>
    <w:rsid w:val="009447DA"/>
    <w:rsid w:val="0094490C"/>
    <w:rsid w:val="00951F2B"/>
    <w:rsid w:val="00955351"/>
    <w:rsid w:val="00956422"/>
    <w:rsid w:val="0096225F"/>
    <w:rsid w:val="009701A6"/>
    <w:rsid w:val="00974056"/>
    <w:rsid w:val="00984A51"/>
    <w:rsid w:val="00986316"/>
    <w:rsid w:val="00986691"/>
    <w:rsid w:val="00986CB2"/>
    <w:rsid w:val="00987A17"/>
    <w:rsid w:val="00990CDF"/>
    <w:rsid w:val="00993E2F"/>
    <w:rsid w:val="00995F9C"/>
    <w:rsid w:val="00996AA7"/>
    <w:rsid w:val="00997D34"/>
    <w:rsid w:val="009A0F73"/>
    <w:rsid w:val="009A2AF1"/>
    <w:rsid w:val="009A407C"/>
    <w:rsid w:val="009B3E66"/>
    <w:rsid w:val="009B5363"/>
    <w:rsid w:val="009D0440"/>
    <w:rsid w:val="009D09C5"/>
    <w:rsid w:val="009D6A2A"/>
    <w:rsid w:val="009E2E3D"/>
    <w:rsid w:val="009E7987"/>
    <w:rsid w:val="009E7B1A"/>
    <w:rsid w:val="009F2039"/>
    <w:rsid w:val="009F211F"/>
    <w:rsid w:val="009F576E"/>
    <w:rsid w:val="009F68AB"/>
    <w:rsid w:val="00A02653"/>
    <w:rsid w:val="00A038D1"/>
    <w:rsid w:val="00A059CD"/>
    <w:rsid w:val="00A10494"/>
    <w:rsid w:val="00A129A6"/>
    <w:rsid w:val="00A2275A"/>
    <w:rsid w:val="00A23CD6"/>
    <w:rsid w:val="00A240A5"/>
    <w:rsid w:val="00A26138"/>
    <w:rsid w:val="00A27498"/>
    <w:rsid w:val="00A2776D"/>
    <w:rsid w:val="00A30152"/>
    <w:rsid w:val="00A314B0"/>
    <w:rsid w:val="00A32EB1"/>
    <w:rsid w:val="00A33978"/>
    <w:rsid w:val="00A34BBA"/>
    <w:rsid w:val="00A50C94"/>
    <w:rsid w:val="00A53CD8"/>
    <w:rsid w:val="00A54601"/>
    <w:rsid w:val="00A6147C"/>
    <w:rsid w:val="00A61842"/>
    <w:rsid w:val="00A6702C"/>
    <w:rsid w:val="00A67FC1"/>
    <w:rsid w:val="00A70F8C"/>
    <w:rsid w:val="00A73684"/>
    <w:rsid w:val="00A75027"/>
    <w:rsid w:val="00A765A5"/>
    <w:rsid w:val="00A82932"/>
    <w:rsid w:val="00A877C4"/>
    <w:rsid w:val="00A900D7"/>
    <w:rsid w:val="00A902CB"/>
    <w:rsid w:val="00A9056A"/>
    <w:rsid w:val="00A938A3"/>
    <w:rsid w:val="00A96356"/>
    <w:rsid w:val="00AA1312"/>
    <w:rsid w:val="00AA5D1C"/>
    <w:rsid w:val="00AA7762"/>
    <w:rsid w:val="00AB12D6"/>
    <w:rsid w:val="00AC2D44"/>
    <w:rsid w:val="00AC4127"/>
    <w:rsid w:val="00AC6737"/>
    <w:rsid w:val="00AC71DF"/>
    <w:rsid w:val="00AC721A"/>
    <w:rsid w:val="00AE1E0D"/>
    <w:rsid w:val="00AE3A5B"/>
    <w:rsid w:val="00AE4CFE"/>
    <w:rsid w:val="00AF046F"/>
    <w:rsid w:val="00AF4EA7"/>
    <w:rsid w:val="00AF76C7"/>
    <w:rsid w:val="00B12047"/>
    <w:rsid w:val="00B12ABA"/>
    <w:rsid w:val="00B13EEE"/>
    <w:rsid w:val="00B221A4"/>
    <w:rsid w:val="00B2543A"/>
    <w:rsid w:val="00B26339"/>
    <w:rsid w:val="00B34649"/>
    <w:rsid w:val="00B35A90"/>
    <w:rsid w:val="00B3684B"/>
    <w:rsid w:val="00B37CAA"/>
    <w:rsid w:val="00B53D75"/>
    <w:rsid w:val="00B56004"/>
    <w:rsid w:val="00B562E1"/>
    <w:rsid w:val="00B61F9F"/>
    <w:rsid w:val="00B6431E"/>
    <w:rsid w:val="00B65391"/>
    <w:rsid w:val="00B71526"/>
    <w:rsid w:val="00B72A51"/>
    <w:rsid w:val="00B7394B"/>
    <w:rsid w:val="00B818D0"/>
    <w:rsid w:val="00B86466"/>
    <w:rsid w:val="00B96F4C"/>
    <w:rsid w:val="00B97BC3"/>
    <w:rsid w:val="00BA1650"/>
    <w:rsid w:val="00BA4730"/>
    <w:rsid w:val="00BB37AD"/>
    <w:rsid w:val="00BB538F"/>
    <w:rsid w:val="00BB5D16"/>
    <w:rsid w:val="00BB6ABA"/>
    <w:rsid w:val="00BC41CB"/>
    <w:rsid w:val="00BD026F"/>
    <w:rsid w:val="00BD4CF5"/>
    <w:rsid w:val="00BF1C01"/>
    <w:rsid w:val="00C017C7"/>
    <w:rsid w:val="00C128C7"/>
    <w:rsid w:val="00C13443"/>
    <w:rsid w:val="00C13EAA"/>
    <w:rsid w:val="00C25FC6"/>
    <w:rsid w:val="00C34DE8"/>
    <w:rsid w:val="00C352FC"/>
    <w:rsid w:val="00C42E79"/>
    <w:rsid w:val="00C45392"/>
    <w:rsid w:val="00C45538"/>
    <w:rsid w:val="00C47F48"/>
    <w:rsid w:val="00C512A0"/>
    <w:rsid w:val="00C56036"/>
    <w:rsid w:val="00C61E98"/>
    <w:rsid w:val="00C65452"/>
    <w:rsid w:val="00C666D9"/>
    <w:rsid w:val="00C7583E"/>
    <w:rsid w:val="00C77C8D"/>
    <w:rsid w:val="00C855F8"/>
    <w:rsid w:val="00C97358"/>
    <w:rsid w:val="00CA3A3D"/>
    <w:rsid w:val="00CB6558"/>
    <w:rsid w:val="00CC122B"/>
    <w:rsid w:val="00CC18C7"/>
    <w:rsid w:val="00CC3ED6"/>
    <w:rsid w:val="00CC584F"/>
    <w:rsid w:val="00CC6E7A"/>
    <w:rsid w:val="00CD0122"/>
    <w:rsid w:val="00CD2069"/>
    <w:rsid w:val="00CD4715"/>
    <w:rsid w:val="00CD623B"/>
    <w:rsid w:val="00CE0147"/>
    <w:rsid w:val="00CE1547"/>
    <w:rsid w:val="00CE173C"/>
    <w:rsid w:val="00CE216F"/>
    <w:rsid w:val="00CE3C94"/>
    <w:rsid w:val="00CE50E4"/>
    <w:rsid w:val="00CE5FA0"/>
    <w:rsid w:val="00CE72E5"/>
    <w:rsid w:val="00CF0723"/>
    <w:rsid w:val="00CF0F83"/>
    <w:rsid w:val="00CF1B5F"/>
    <w:rsid w:val="00CF4832"/>
    <w:rsid w:val="00CF7887"/>
    <w:rsid w:val="00CF7A8A"/>
    <w:rsid w:val="00CF7EF9"/>
    <w:rsid w:val="00D0161D"/>
    <w:rsid w:val="00D079CB"/>
    <w:rsid w:val="00D10EE7"/>
    <w:rsid w:val="00D116A9"/>
    <w:rsid w:val="00D20778"/>
    <w:rsid w:val="00D30162"/>
    <w:rsid w:val="00D31E09"/>
    <w:rsid w:val="00D35448"/>
    <w:rsid w:val="00D375DA"/>
    <w:rsid w:val="00D427DE"/>
    <w:rsid w:val="00D51F69"/>
    <w:rsid w:val="00D5362F"/>
    <w:rsid w:val="00D56AAD"/>
    <w:rsid w:val="00D603DB"/>
    <w:rsid w:val="00D73751"/>
    <w:rsid w:val="00D73D95"/>
    <w:rsid w:val="00D8055D"/>
    <w:rsid w:val="00D8242F"/>
    <w:rsid w:val="00D87190"/>
    <w:rsid w:val="00D93F43"/>
    <w:rsid w:val="00D9669C"/>
    <w:rsid w:val="00DA2FE7"/>
    <w:rsid w:val="00DA49BB"/>
    <w:rsid w:val="00DA68F7"/>
    <w:rsid w:val="00DA7514"/>
    <w:rsid w:val="00DA7534"/>
    <w:rsid w:val="00DB4112"/>
    <w:rsid w:val="00DC229D"/>
    <w:rsid w:val="00DC3345"/>
    <w:rsid w:val="00DC4096"/>
    <w:rsid w:val="00DC5C91"/>
    <w:rsid w:val="00DD398E"/>
    <w:rsid w:val="00DD6C9B"/>
    <w:rsid w:val="00DD716E"/>
    <w:rsid w:val="00DE1750"/>
    <w:rsid w:val="00DE210F"/>
    <w:rsid w:val="00DE3B83"/>
    <w:rsid w:val="00DE6894"/>
    <w:rsid w:val="00DF005A"/>
    <w:rsid w:val="00DF4AC8"/>
    <w:rsid w:val="00DF68CB"/>
    <w:rsid w:val="00DF6BB5"/>
    <w:rsid w:val="00E00368"/>
    <w:rsid w:val="00E032E8"/>
    <w:rsid w:val="00E04B90"/>
    <w:rsid w:val="00E06968"/>
    <w:rsid w:val="00E13D0D"/>
    <w:rsid w:val="00E1470C"/>
    <w:rsid w:val="00E14C4F"/>
    <w:rsid w:val="00E16B61"/>
    <w:rsid w:val="00E20840"/>
    <w:rsid w:val="00E25E8E"/>
    <w:rsid w:val="00E40071"/>
    <w:rsid w:val="00E402A5"/>
    <w:rsid w:val="00E41129"/>
    <w:rsid w:val="00E439B0"/>
    <w:rsid w:val="00E44A96"/>
    <w:rsid w:val="00E51893"/>
    <w:rsid w:val="00E53267"/>
    <w:rsid w:val="00E53A02"/>
    <w:rsid w:val="00E54EC8"/>
    <w:rsid w:val="00E62451"/>
    <w:rsid w:val="00E70DA1"/>
    <w:rsid w:val="00E719F4"/>
    <w:rsid w:val="00E74C86"/>
    <w:rsid w:val="00E772B1"/>
    <w:rsid w:val="00E8312C"/>
    <w:rsid w:val="00E9666C"/>
    <w:rsid w:val="00E96835"/>
    <w:rsid w:val="00E97E12"/>
    <w:rsid w:val="00EA229E"/>
    <w:rsid w:val="00EA244A"/>
    <w:rsid w:val="00EA3D97"/>
    <w:rsid w:val="00EA7672"/>
    <w:rsid w:val="00EB325E"/>
    <w:rsid w:val="00EB5AD3"/>
    <w:rsid w:val="00EC0378"/>
    <w:rsid w:val="00EC262A"/>
    <w:rsid w:val="00EC4810"/>
    <w:rsid w:val="00EC4F6C"/>
    <w:rsid w:val="00EC7E6E"/>
    <w:rsid w:val="00ED0D17"/>
    <w:rsid w:val="00ED28DA"/>
    <w:rsid w:val="00EE0C6B"/>
    <w:rsid w:val="00EE6078"/>
    <w:rsid w:val="00EE6EB7"/>
    <w:rsid w:val="00EE78E9"/>
    <w:rsid w:val="00EF2D65"/>
    <w:rsid w:val="00EF32BC"/>
    <w:rsid w:val="00EF3B14"/>
    <w:rsid w:val="00EF6401"/>
    <w:rsid w:val="00F00CCB"/>
    <w:rsid w:val="00F05F4F"/>
    <w:rsid w:val="00F1610A"/>
    <w:rsid w:val="00F20640"/>
    <w:rsid w:val="00F20642"/>
    <w:rsid w:val="00F233BD"/>
    <w:rsid w:val="00F2365D"/>
    <w:rsid w:val="00F24AF0"/>
    <w:rsid w:val="00F35BF7"/>
    <w:rsid w:val="00F3608F"/>
    <w:rsid w:val="00F37F16"/>
    <w:rsid w:val="00F46C39"/>
    <w:rsid w:val="00F46DC8"/>
    <w:rsid w:val="00F54921"/>
    <w:rsid w:val="00F65039"/>
    <w:rsid w:val="00F65234"/>
    <w:rsid w:val="00F71EE3"/>
    <w:rsid w:val="00F95F79"/>
    <w:rsid w:val="00F971BD"/>
    <w:rsid w:val="00FA1E56"/>
    <w:rsid w:val="00FB05E4"/>
    <w:rsid w:val="00FB1690"/>
    <w:rsid w:val="00FB684C"/>
    <w:rsid w:val="00FC0BEB"/>
    <w:rsid w:val="00FC628C"/>
    <w:rsid w:val="00FC79CD"/>
    <w:rsid w:val="00FD4D47"/>
    <w:rsid w:val="00FD5D8B"/>
    <w:rsid w:val="00FD7157"/>
    <w:rsid w:val="00FE44AB"/>
    <w:rsid w:val="00FE47A7"/>
    <w:rsid w:val="00FE6BF0"/>
    <w:rsid w:val="00FF0641"/>
    <w:rsid w:val="00FF1BC9"/>
    <w:rsid w:val="00FF3A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65C72A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imes New Roman"/>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B5FA5"/>
  </w:style>
  <w:style w:type="paragraph" w:styleId="Heading1">
    <w:name w:val="heading 1"/>
    <w:basedOn w:val="Normal"/>
    <w:next w:val="Normal"/>
    <w:link w:val="Heading1Char"/>
    <w:uiPriority w:val="9"/>
    <w:qFormat/>
    <w:rsid w:val="002A5C7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D51F69"/>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100577"/>
    <w:rPr>
      <w:rFonts w:ascii="Times New Roman" w:hAnsi="Times New Roman"/>
      <w:sz w:val="20"/>
    </w:rPr>
  </w:style>
  <w:style w:type="character" w:customStyle="1" w:styleId="EndnoteTextChar">
    <w:name w:val="Endnote Text Char"/>
    <w:basedOn w:val="DefaultParagraphFont"/>
    <w:link w:val="EndnoteText"/>
    <w:uiPriority w:val="99"/>
    <w:rsid w:val="00100577"/>
    <w:rPr>
      <w:rFonts w:ascii="Times New Roman" w:hAnsi="Times New Roman"/>
      <w:sz w:val="20"/>
    </w:rPr>
  </w:style>
  <w:style w:type="character" w:styleId="EndnoteReference">
    <w:name w:val="endnote reference"/>
    <w:basedOn w:val="DefaultParagraphFont"/>
    <w:uiPriority w:val="99"/>
    <w:unhideWhenUsed/>
    <w:rsid w:val="00100577"/>
    <w:rPr>
      <w:sz w:val="20"/>
      <w:vertAlign w:val="superscript"/>
    </w:rPr>
  </w:style>
  <w:style w:type="character" w:styleId="CommentReference">
    <w:name w:val="annotation reference"/>
    <w:basedOn w:val="DefaultParagraphFont"/>
    <w:uiPriority w:val="99"/>
    <w:semiHidden/>
    <w:unhideWhenUsed/>
    <w:rsid w:val="00990CDF"/>
    <w:rPr>
      <w:sz w:val="18"/>
      <w:szCs w:val="18"/>
    </w:rPr>
  </w:style>
  <w:style w:type="paragraph" w:styleId="CommentText">
    <w:name w:val="annotation text"/>
    <w:basedOn w:val="Normal"/>
    <w:link w:val="CommentTextChar"/>
    <w:uiPriority w:val="99"/>
    <w:semiHidden/>
    <w:unhideWhenUsed/>
    <w:rsid w:val="00990CDF"/>
  </w:style>
  <w:style w:type="character" w:customStyle="1" w:styleId="CommentTextChar">
    <w:name w:val="Comment Text Char"/>
    <w:basedOn w:val="DefaultParagraphFont"/>
    <w:link w:val="CommentText"/>
    <w:uiPriority w:val="99"/>
    <w:semiHidden/>
    <w:rsid w:val="00990CDF"/>
  </w:style>
  <w:style w:type="paragraph" w:styleId="CommentSubject">
    <w:name w:val="annotation subject"/>
    <w:basedOn w:val="CommentText"/>
    <w:next w:val="CommentText"/>
    <w:link w:val="CommentSubjectChar"/>
    <w:uiPriority w:val="99"/>
    <w:semiHidden/>
    <w:unhideWhenUsed/>
    <w:rsid w:val="00990CDF"/>
    <w:rPr>
      <w:b/>
      <w:bCs/>
      <w:sz w:val="20"/>
      <w:szCs w:val="20"/>
    </w:rPr>
  </w:style>
  <w:style w:type="character" w:customStyle="1" w:styleId="CommentSubjectChar">
    <w:name w:val="Comment Subject Char"/>
    <w:basedOn w:val="CommentTextChar"/>
    <w:link w:val="CommentSubject"/>
    <w:uiPriority w:val="99"/>
    <w:semiHidden/>
    <w:rsid w:val="00990CDF"/>
    <w:rPr>
      <w:b/>
      <w:bCs/>
      <w:sz w:val="20"/>
      <w:szCs w:val="20"/>
    </w:rPr>
  </w:style>
  <w:style w:type="paragraph" w:styleId="BalloonText">
    <w:name w:val="Balloon Text"/>
    <w:basedOn w:val="Normal"/>
    <w:link w:val="BalloonTextChar"/>
    <w:uiPriority w:val="99"/>
    <w:semiHidden/>
    <w:unhideWhenUsed/>
    <w:rsid w:val="00990CDF"/>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990CDF"/>
    <w:rPr>
      <w:rFonts w:ascii="Times New Roman" w:hAnsi="Times New Roman"/>
      <w:sz w:val="18"/>
      <w:szCs w:val="18"/>
    </w:rPr>
  </w:style>
  <w:style w:type="character" w:customStyle="1" w:styleId="Heading2Char">
    <w:name w:val="Heading 2 Char"/>
    <w:basedOn w:val="DefaultParagraphFont"/>
    <w:link w:val="Heading2"/>
    <w:uiPriority w:val="9"/>
    <w:semiHidden/>
    <w:rsid w:val="00D51F69"/>
    <w:rPr>
      <w:rFonts w:asciiTheme="majorHAnsi" w:eastAsiaTheme="majorEastAsia" w:hAnsiTheme="majorHAnsi" w:cstheme="majorBidi"/>
      <w:color w:val="2F5496" w:themeColor="accent1" w:themeShade="BF"/>
      <w:sz w:val="26"/>
      <w:szCs w:val="26"/>
    </w:rPr>
  </w:style>
  <w:style w:type="paragraph" w:styleId="FootnoteText">
    <w:name w:val="footnote text"/>
    <w:basedOn w:val="Normal"/>
    <w:link w:val="FootnoteTextChar"/>
    <w:uiPriority w:val="99"/>
    <w:unhideWhenUsed/>
    <w:rsid w:val="00035ADE"/>
  </w:style>
  <w:style w:type="character" w:customStyle="1" w:styleId="FootnoteTextChar">
    <w:name w:val="Footnote Text Char"/>
    <w:basedOn w:val="DefaultParagraphFont"/>
    <w:link w:val="FootnoteText"/>
    <w:uiPriority w:val="99"/>
    <w:rsid w:val="00035ADE"/>
  </w:style>
  <w:style w:type="character" w:styleId="FootnoteReference">
    <w:name w:val="footnote reference"/>
    <w:basedOn w:val="DefaultParagraphFont"/>
    <w:uiPriority w:val="99"/>
    <w:unhideWhenUsed/>
    <w:rsid w:val="00035ADE"/>
    <w:rPr>
      <w:vertAlign w:val="superscript"/>
    </w:rPr>
  </w:style>
  <w:style w:type="paragraph" w:styleId="NormalWeb">
    <w:name w:val="Normal (Web)"/>
    <w:basedOn w:val="Normal"/>
    <w:uiPriority w:val="99"/>
    <w:unhideWhenUsed/>
    <w:rsid w:val="0059279D"/>
    <w:pPr>
      <w:spacing w:before="100" w:beforeAutospacing="1" w:after="100" w:afterAutospacing="1"/>
    </w:pPr>
    <w:rPr>
      <w:rFonts w:ascii="Times New Roman" w:hAnsi="Times New Roman"/>
      <w:lang w:eastAsia="en-GB"/>
    </w:rPr>
  </w:style>
  <w:style w:type="character" w:customStyle="1" w:styleId="Heading1Char">
    <w:name w:val="Heading 1 Char"/>
    <w:basedOn w:val="DefaultParagraphFont"/>
    <w:link w:val="Heading1"/>
    <w:uiPriority w:val="9"/>
    <w:rsid w:val="002A5C7C"/>
    <w:rPr>
      <w:rFonts w:asciiTheme="majorHAnsi" w:eastAsiaTheme="majorEastAsia" w:hAnsiTheme="majorHAnsi" w:cstheme="majorBidi"/>
      <w:color w:val="2F5496" w:themeColor="accent1" w:themeShade="BF"/>
      <w:sz w:val="32"/>
      <w:szCs w:val="32"/>
    </w:rPr>
  </w:style>
  <w:style w:type="paragraph" w:styleId="Footer">
    <w:name w:val="footer"/>
    <w:basedOn w:val="Normal"/>
    <w:link w:val="FooterChar"/>
    <w:uiPriority w:val="99"/>
    <w:unhideWhenUsed/>
    <w:rsid w:val="008008BB"/>
    <w:pPr>
      <w:tabs>
        <w:tab w:val="center" w:pos="4513"/>
        <w:tab w:val="right" w:pos="9026"/>
      </w:tabs>
    </w:pPr>
  </w:style>
  <w:style w:type="character" w:customStyle="1" w:styleId="FooterChar">
    <w:name w:val="Footer Char"/>
    <w:basedOn w:val="DefaultParagraphFont"/>
    <w:link w:val="Footer"/>
    <w:uiPriority w:val="99"/>
    <w:rsid w:val="008008BB"/>
  </w:style>
  <w:style w:type="character" w:styleId="PageNumber">
    <w:name w:val="page number"/>
    <w:basedOn w:val="DefaultParagraphFont"/>
    <w:uiPriority w:val="99"/>
    <w:semiHidden/>
    <w:unhideWhenUsed/>
    <w:rsid w:val="008008BB"/>
  </w:style>
  <w:style w:type="character" w:styleId="Hyperlink">
    <w:name w:val="Hyperlink"/>
    <w:basedOn w:val="DefaultParagraphFont"/>
    <w:uiPriority w:val="99"/>
    <w:unhideWhenUsed/>
    <w:rsid w:val="00E51893"/>
    <w:rPr>
      <w:color w:val="0563C1" w:themeColor="hyperlink"/>
      <w:u w:val="single"/>
    </w:rPr>
  </w:style>
  <w:style w:type="character" w:styleId="FollowedHyperlink">
    <w:name w:val="FollowedHyperlink"/>
    <w:basedOn w:val="DefaultParagraphFont"/>
    <w:uiPriority w:val="99"/>
    <w:semiHidden/>
    <w:unhideWhenUsed/>
    <w:rsid w:val="00E51893"/>
    <w:rPr>
      <w:color w:val="954F72" w:themeColor="followedHyperlink"/>
      <w:u w:val="single"/>
    </w:rPr>
  </w:style>
  <w:style w:type="character" w:customStyle="1" w:styleId="UnresolvedMention1">
    <w:name w:val="Unresolved Mention1"/>
    <w:basedOn w:val="DefaultParagraphFont"/>
    <w:uiPriority w:val="99"/>
    <w:rsid w:val="00E518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13596">
      <w:bodyDiv w:val="1"/>
      <w:marLeft w:val="0"/>
      <w:marRight w:val="0"/>
      <w:marTop w:val="0"/>
      <w:marBottom w:val="0"/>
      <w:divBdr>
        <w:top w:val="none" w:sz="0" w:space="0" w:color="auto"/>
        <w:left w:val="none" w:sz="0" w:space="0" w:color="auto"/>
        <w:bottom w:val="none" w:sz="0" w:space="0" w:color="auto"/>
        <w:right w:val="none" w:sz="0" w:space="0" w:color="auto"/>
      </w:divBdr>
    </w:div>
    <w:div w:id="266157650">
      <w:bodyDiv w:val="1"/>
      <w:marLeft w:val="0"/>
      <w:marRight w:val="0"/>
      <w:marTop w:val="0"/>
      <w:marBottom w:val="0"/>
      <w:divBdr>
        <w:top w:val="none" w:sz="0" w:space="0" w:color="auto"/>
        <w:left w:val="none" w:sz="0" w:space="0" w:color="auto"/>
        <w:bottom w:val="none" w:sz="0" w:space="0" w:color="auto"/>
        <w:right w:val="none" w:sz="0" w:space="0" w:color="auto"/>
      </w:divBdr>
      <w:divsChild>
        <w:div w:id="765426332">
          <w:marLeft w:val="0"/>
          <w:marRight w:val="0"/>
          <w:marTop w:val="0"/>
          <w:marBottom w:val="0"/>
          <w:divBdr>
            <w:top w:val="none" w:sz="0" w:space="0" w:color="auto"/>
            <w:left w:val="none" w:sz="0" w:space="0" w:color="auto"/>
            <w:bottom w:val="none" w:sz="0" w:space="0" w:color="auto"/>
            <w:right w:val="none" w:sz="0" w:space="0" w:color="auto"/>
          </w:divBdr>
        </w:div>
        <w:div w:id="1845853844">
          <w:marLeft w:val="0"/>
          <w:marRight w:val="0"/>
          <w:marTop w:val="0"/>
          <w:marBottom w:val="0"/>
          <w:divBdr>
            <w:top w:val="none" w:sz="0" w:space="0" w:color="auto"/>
            <w:left w:val="none" w:sz="0" w:space="0" w:color="auto"/>
            <w:bottom w:val="none" w:sz="0" w:space="0" w:color="auto"/>
            <w:right w:val="none" w:sz="0" w:space="0" w:color="auto"/>
          </w:divBdr>
        </w:div>
      </w:divsChild>
    </w:div>
    <w:div w:id="281422904">
      <w:bodyDiv w:val="1"/>
      <w:marLeft w:val="0"/>
      <w:marRight w:val="0"/>
      <w:marTop w:val="0"/>
      <w:marBottom w:val="0"/>
      <w:divBdr>
        <w:top w:val="none" w:sz="0" w:space="0" w:color="auto"/>
        <w:left w:val="none" w:sz="0" w:space="0" w:color="auto"/>
        <w:bottom w:val="none" w:sz="0" w:space="0" w:color="auto"/>
        <w:right w:val="none" w:sz="0" w:space="0" w:color="auto"/>
      </w:divBdr>
    </w:div>
    <w:div w:id="409893264">
      <w:bodyDiv w:val="1"/>
      <w:marLeft w:val="0"/>
      <w:marRight w:val="0"/>
      <w:marTop w:val="0"/>
      <w:marBottom w:val="0"/>
      <w:divBdr>
        <w:top w:val="none" w:sz="0" w:space="0" w:color="auto"/>
        <w:left w:val="none" w:sz="0" w:space="0" w:color="auto"/>
        <w:bottom w:val="none" w:sz="0" w:space="0" w:color="auto"/>
        <w:right w:val="none" w:sz="0" w:space="0" w:color="auto"/>
      </w:divBdr>
      <w:divsChild>
        <w:div w:id="353961508">
          <w:marLeft w:val="0"/>
          <w:marRight w:val="0"/>
          <w:marTop w:val="0"/>
          <w:marBottom w:val="0"/>
          <w:divBdr>
            <w:top w:val="none" w:sz="0" w:space="0" w:color="auto"/>
            <w:left w:val="none" w:sz="0" w:space="0" w:color="auto"/>
            <w:bottom w:val="none" w:sz="0" w:space="0" w:color="auto"/>
            <w:right w:val="none" w:sz="0" w:space="0" w:color="auto"/>
          </w:divBdr>
          <w:divsChild>
            <w:div w:id="1281304412">
              <w:marLeft w:val="0"/>
              <w:marRight w:val="0"/>
              <w:marTop w:val="0"/>
              <w:marBottom w:val="0"/>
              <w:divBdr>
                <w:top w:val="none" w:sz="0" w:space="0" w:color="auto"/>
                <w:left w:val="none" w:sz="0" w:space="0" w:color="auto"/>
                <w:bottom w:val="none" w:sz="0" w:space="0" w:color="auto"/>
                <w:right w:val="none" w:sz="0" w:space="0" w:color="auto"/>
              </w:divBdr>
              <w:divsChild>
                <w:div w:id="160237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960138">
      <w:bodyDiv w:val="1"/>
      <w:marLeft w:val="0"/>
      <w:marRight w:val="0"/>
      <w:marTop w:val="0"/>
      <w:marBottom w:val="0"/>
      <w:divBdr>
        <w:top w:val="none" w:sz="0" w:space="0" w:color="auto"/>
        <w:left w:val="none" w:sz="0" w:space="0" w:color="auto"/>
        <w:bottom w:val="none" w:sz="0" w:space="0" w:color="auto"/>
        <w:right w:val="none" w:sz="0" w:space="0" w:color="auto"/>
      </w:divBdr>
    </w:div>
    <w:div w:id="636491032">
      <w:bodyDiv w:val="1"/>
      <w:marLeft w:val="0"/>
      <w:marRight w:val="0"/>
      <w:marTop w:val="0"/>
      <w:marBottom w:val="0"/>
      <w:divBdr>
        <w:top w:val="none" w:sz="0" w:space="0" w:color="auto"/>
        <w:left w:val="none" w:sz="0" w:space="0" w:color="auto"/>
        <w:bottom w:val="none" w:sz="0" w:space="0" w:color="auto"/>
        <w:right w:val="none" w:sz="0" w:space="0" w:color="auto"/>
      </w:divBdr>
      <w:divsChild>
        <w:div w:id="1067610940">
          <w:marLeft w:val="0"/>
          <w:marRight w:val="0"/>
          <w:marTop w:val="0"/>
          <w:marBottom w:val="0"/>
          <w:divBdr>
            <w:top w:val="none" w:sz="0" w:space="0" w:color="auto"/>
            <w:left w:val="none" w:sz="0" w:space="0" w:color="auto"/>
            <w:bottom w:val="none" w:sz="0" w:space="0" w:color="auto"/>
            <w:right w:val="none" w:sz="0" w:space="0" w:color="auto"/>
          </w:divBdr>
          <w:divsChild>
            <w:div w:id="1976138836">
              <w:marLeft w:val="0"/>
              <w:marRight w:val="0"/>
              <w:marTop w:val="0"/>
              <w:marBottom w:val="0"/>
              <w:divBdr>
                <w:top w:val="none" w:sz="0" w:space="0" w:color="auto"/>
                <w:left w:val="none" w:sz="0" w:space="0" w:color="auto"/>
                <w:bottom w:val="none" w:sz="0" w:space="0" w:color="auto"/>
                <w:right w:val="none" w:sz="0" w:space="0" w:color="auto"/>
              </w:divBdr>
            </w:div>
            <w:div w:id="1225606982">
              <w:marLeft w:val="0"/>
              <w:marRight w:val="0"/>
              <w:marTop w:val="0"/>
              <w:marBottom w:val="0"/>
              <w:divBdr>
                <w:top w:val="none" w:sz="0" w:space="0" w:color="auto"/>
                <w:left w:val="none" w:sz="0" w:space="0" w:color="auto"/>
                <w:bottom w:val="none" w:sz="0" w:space="0" w:color="auto"/>
                <w:right w:val="none" w:sz="0" w:space="0" w:color="auto"/>
              </w:divBdr>
            </w:div>
            <w:div w:id="1717192347">
              <w:marLeft w:val="0"/>
              <w:marRight w:val="0"/>
              <w:marTop w:val="0"/>
              <w:marBottom w:val="0"/>
              <w:divBdr>
                <w:top w:val="none" w:sz="0" w:space="0" w:color="auto"/>
                <w:left w:val="none" w:sz="0" w:space="0" w:color="auto"/>
                <w:bottom w:val="none" w:sz="0" w:space="0" w:color="auto"/>
                <w:right w:val="none" w:sz="0" w:space="0" w:color="auto"/>
              </w:divBdr>
            </w:div>
          </w:divsChild>
        </w:div>
        <w:div w:id="1770736154">
          <w:marLeft w:val="0"/>
          <w:marRight w:val="0"/>
          <w:marTop w:val="0"/>
          <w:marBottom w:val="0"/>
          <w:divBdr>
            <w:top w:val="none" w:sz="0" w:space="0" w:color="auto"/>
            <w:left w:val="none" w:sz="0" w:space="0" w:color="auto"/>
            <w:bottom w:val="none" w:sz="0" w:space="0" w:color="auto"/>
            <w:right w:val="none" w:sz="0" w:space="0" w:color="auto"/>
          </w:divBdr>
        </w:div>
        <w:div w:id="1754156765">
          <w:marLeft w:val="0"/>
          <w:marRight w:val="0"/>
          <w:marTop w:val="0"/>
          <w:marBottom w:val="0"/>
          <w:divBdr>
            <w:top w:val="none" w:sz="0" w:space="0" w:color="auto"/>
            <w:left w:val="none" w:sz="0" w:space="0" w:color="auto"/>
            <w:bottom w:val="none" w:sz="0" w:space="0" w:color="auto"/>
            <w:right w:val="none" w:sz="0" w:space="0" w:color="auto"/>
          </w:divBdr>
        </w:div>
      </w:divsChild>
    </w:div>
    <w:div w:id="661853339">
      <w:bodyDiv w:val="1"/>
      <w:marLeft w:val="0"/>
      <w:marRight w:val="0"/>
      <w:marTop w:val="0"/>
      <w:marBottom w:val="0"/>
      <w:divBdr>
        <w:top w:val="none" w:sz="0" w:space="0" w:color="auto"/>
        <w:left w:val="none" w:sz="0" w:space="0" w:color="auto"/>
        <w:bottom w:val="none" w:sz="0" w:space="0" w:color="auto"/>
        <w:right w:val="none" w:sz="0" w:space="0" w:color="auto"/>
      </w:divBdr>
    </w:div>
    <w:div w:id="717246610">
      <w:bodyDiv w:val="1"/>
      <w:marLeft w:val="0"/>
      <w:marRight w:val="0"/>
      <w:marTop w:val="0"/>
      <w:marBottom w:val="0"/>
      <w:divBdr>
        <w:top w:val="none" w:sz="0" w:space="0" w:color="auto"/>
        <w:left w:val="none" w:sz="0" w:space="0" w:color="auto"/>
        <w:bottom w:val="none" w:sz="0" w:space="0" w:color="auto"/>
        <w:right w:val="none" w:sz="0" w:space="0" w:color="auto"/>
      </w:divBdr>
    </w:div>
    <w:div w:id="783311010">
      <w:bodyDiv w:val="1"/>
      <w:marLeft w:val="0"/>
      <w:marRight w:val="0"/>
      <w:marTop w:val="0"/>
      <w:marBottom w:val="0"/>
      <w:divBdr>
        <w:top w:val="none" w:sz="0" w:space="0" w:color="auto"/>
        <w:left w:val="none" w:sz="0" w:space="0" w:color="auto"/>
        <w:bottom w:val="none" w:sz="0" w:space="0" w:color="auto"/>
        <w:right w:val="none" w:sz="0" w:space="0" w:color="auto"/>
      </w:divBdr>
    </w:div>
    <w:div w:id="828059151">
      <w:bodyDiv w:val="1"/>
      <w:marLeft w:val="0"/>
      <w:marRight w:val="0"/>
      <w:marTop w:val="0"/>
      <w:marBottom w:val="0"/>
      <w:divBdr>
        <w:top w:val="none" w:sz="0" w:space="0" w:color="auto"/>
        <w:left w:val="none" w:sz="0" w:space="0" w:color="auto"/>
        <w:bottom w:val="none" w:sz="0" w:space="0" w:color="auto"/>
        <w:right w:val="none" w:sz="0" w:space="0" w:color="auto"/>
      </w:divBdr>
    </w:div>
    <w:div w:id="929124960">
      <w:bodyDiv w:val="1"/>
      <w:marLeft w:val="0"/>
      <w:marRight w:val="0"/>
      <w:marTop w:val="0"/>
      <w:marBottom w:val="0"/>
      <w:divBdr>
        <w:top w:val="none" w:sz="0" w:space="0" w:color="auto"/>
        <w:left w:val="none" w:sz="0" w:space="0" w:color="auto"/>
        <w:bottom w:val="none" w:sz="0" w:space="0" w:color="auto"/>
        <w:right w:val="none" w:sz="0" w:space="0" w:color="auto"/>
      </w:divBdr>
      <w:divsChild>
        <w:div w:id="612711393">
          <w:marLeft w:val="0"/>
          <w:marRight w:val="0"/>
          <w:marTop w:val="0"/>
          <w:marBottom w:val="0"/>
          <w:divBdr>
            <w:top w:val="none" w:sz="0" w:space="0" w:color="auto"/>
            <w:left w:val="none" w:sz="0" w:space="0" w:color="auto"/>
            <w:bottom w:val="none" w:sz="0" w:space="0" w:color="auto"/>
            <w:right w:val="none" w:sz="0" w:space="0" w:color="auto"/>
          </w:divBdr>
          <w:divsChild>
            <w:div w:id="1481731544">
              <w:marLeft w:val="0"/>
              <w:marRight w:val="0"/>
              <w:marTop w:val="0"/>
              <w:marBottom w:val="0"/>
              <w:divBdr>
                <w:top w:val="none" w:sz="0" w:space="0" w:color="auto"/>
                <w:left w:val="none" w:sz="0" w:space="0" w:color="auto"/>
                <w:bottom w:val="none" w:sz="0" w:space="0" w:color="auto"/>
                <w:right w:val="none" w:sz="0" w:space="0" w:color="auto"/>
              </w:divBdr>
              <w:divsChild>
                <w:div w:id="2103408137">
                  <w:marLeft w:val="0"/>
                  <w:marRight w:val="0"/>
                  <w:marTop w:val="0"/>
                  <w:marBottom w:val="0"/>
                  <w:divBdr>
                    <w:top w:val="none" w:sz="0" w:space="0" w:color="auto"/>
                    <w:left w:val="none" w:sz="0" w:space="0" w:color="auto"/>
                    <w:bottom w:val="none" w:sz="0" w:space="0" w:color="auto"/>
                    <w:right w:val="none" w:sz="0" w:space="0" w:color="auto"/>
                  </w:divBdr>
                  <w:divsChild>
                    <w:div w:id="52575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428750">
      <w:bodyDiv w:val="1"/>
      <w:marLeft w:val="0"/>
      <w:marRight w:val="0"/>
      <w:marTop w:val="0"/>
      <w:marBottom w:val="0"/>
      <w:divBdr>
        <w:top w:val="none" w:sz="0" w:space="0" w:color="auto"/>
        <w:left w:val="none" w:sz="0" w:space="0" w:color="auto"/>
        <w:bottom w:val="none" w:sz="0" w:space="0" w:color="auto"/>
        <w:right w:val="none" w:sz="0" w:space="0" w:color="auto"/>
      </w:divBdr>
      <w:divsChild>
        <w:div w:id="1237715014">
          <w:marLeft w:val="0"/>
          <w:marRight w:val="0"/>
          <w:marTop w:val="0"/>
          <w:marBottom w:val="0"/>
          <w:divBdr>
            <w:top w:val="none" w:sz="0" w:space="0" w:color="auto"/>
            <w:left w:val="none" w:sz="0" w:space="0" w:color="auto"/>
            <w:bottom w:val="none" w:sz="0" w:space="0" w:color="auto"/>
            <w:right w:val="none" w:sz="0" w:space="0" w:color="auto"/>
          </w:divBdr>
        </w:div>
        <w:div w:id="1966963193">
          <w:marLeft w:val="0"/>
          <w:marRight w:val="0"/>
          <w:marTop w:val="0"/>
          <w:marBottom w:val="0"/>
          <w:divBdr>
            <w:top w:val="none" w:sz="0" w:space="0" w:color="auto"/>
            <w:left w:val="none" w:sz="0" w:space="0" w:color="auto"/>
            <w:bottom w:val="none" w:sz="0" w:space="0" w:color="auto"/>
            <w:right w:val="none" w:sz="0" w:space="0" w:color="auto"/>
          </w:divBdr>
        </w:div>
        <w:div w:id="2055805979">
          <w:marLeft w:val="0"/>
          <w:marRight w:val="0"/>
          <w:marTop w:val="0"/>
          <w:marBottom w:val="0"/>
          <w:divBdr>
            <w:top w:val="none" w:sz="0" w:space="0" w:color="auto"/>
            <w:left w:val="none" w:sz="0" w:space="0" w:color="auto"/>
            <w:bottom w:val="none" w:sz="0" w:space="0" w:color="auto"/>
            <w:right w:val="none" w:sz="0" w:space="0" w:color="auto"/>
          </w:divBdr>
        </w:div>
      </w:divsChild>
    </w:div>
    <w:div w:id="1196892519">
      <w:bodyDiv w:val="1"/>
      <w:marLeft w:val="0"/>
      <w:marRight w:val="0"/>
      <w:marTop w:val="0"/>
      <w:marBottom w:val="0"/>
      <w:divBdr>
        <w:top w:val="none" w:sz="0" w:space="0" w:color="auto"/>
        <w:left w:val="none" w:sz="0" w:space="0" w:color="auto"/>
        <w:bottom w:val="none" w:sz="0" w:space="0" w:color="auto"/>
        <w:right w:val="none" w:sz="0" w:space="0" w:color="auto"/>
      </w:divBdr>
    </w:div>
    <w:div w:id="1569612806">
      <w:bodyDiv w:val="1"/>
      <w:marLeft w:val="0"/>
      <w:marRight w:val="0"/>
      <w:marTop w:val="0"/>
      <w:marBottom w:val="0"/>
      <w:divBdr>
        <w:top w:val="none" w:sz="0" w:space="0" w:color="auto"/>
        <w:left w:val="none" w:sz="0" w:space="0" w:color="auto"/>
        <w:bottom w:val="none" w:sz="0" w:space="0" w:color="auto"/>
        <w:right w:val="none" w:sz="0" w:space="0" w:color="auto"/>
      </w:divBdr>
    </w:div>
    <w:div w:id="1731346305">
      <w:bodyDiv w:val="1"/>
      <w:marLeft w:val="0"/>
      <w:marRight w:val="0"/>
      <w:marTop w:val="0"/>
      <w:marBottom w:val="0"/>
      <w:divBdr>
        <w:top w:val="none" w:sz="0" w:space="0" w:color="auto"/>
        <w:left w:val="none" w:sz="0" w:space="0" w:color="auto"/>
        <w:bottom w:val="none" w:sz="0" w:space="0" w:color="auto"/>
        <w:right w:val="none" w:sz="0" w:space="0" w:color="auto"/>
      </w:divBdr>
    </w:div>
    <w:div w:id="1760909842">
      <w:bodyDiv w:val="1"/>
      <w:marLeft w:val="0"/>
      <w:marRight w:val="0"/>
      <w:marTop w:val="0"/>
      <w:marBottom w:val="0"/>
      <w:divBdr>
        <w:top w:val="none" w:sz="0" w:space="0" w:color="auto"/>
        <w:left w:val="none" w:sz="0" w:space="0" w:color="auto"/>
        <w:bottom w:val="none" w:sz="0" w:space="0" w:color="auto"/>
        <w:right w:val="none" w:sz="0" w:space="0" w:color="auto"/>
      </w:divBdr>
    </w:div>
    <w:div w:id="1896089467">
      <w:bodyDiv w:val="1"/>
      <w:marLeft w:val="0"/>
      <w:marRight w:val="0"/>
      <w:marTop w:val="0"/>
      <w:marBottom w:val="0"/>
      <w:divBdr>
        <w:top w:val="none" w:sz="0" w:space="0" w:color="auto"/>
        <w:left w:val="none" w:sz="0" w:space="0" w:color="auto"/>
        <w:bottom w:val="none" w:sz="0" w:space="0" w:color="auto"/>
        <w:right w:val="none" w:sz="0" w:space="0" w:color="auto"/>
      </w:divBdr>
    </w:div>
    <w:div w:id="1957179522">
      <w:bodyDiv w:val="1"/>
      <w:marLeft w:val="0"/>
      <w:marRight w:val="0"/>
      <w:marTop w:val="0"/>
      <w:marBottom w:val="0"/>
      <w:divBdr>
        <w:top w:val="none" w:sz="0" w:space="0" w:color="auto"/>
        <w:left w:val="none" w:sz="0" w:space="0" w:color="auto"/>
        <w:bottom w:val="none" w:sz="0" w:space="0" w:color="auto"/>
        <w:right w:val="none" w:sz="0" w:space="0" w:color="auto"/>
      </w:divBdr>
      <w:divsChild>
        <w:div w:id="1455950058">
          <w:marLeft w:val="0"/>
          <w:marRight w:val="0"/>
          <w:marTop w:val="0"/>
          <w:marBottom w:val="0"/>
          <w:divBdr>
            <w:top w:val="none" w:sz="0" w:space="0" w:color="auto"/>
            <w:left w:val="none" w:sz="0" w:space="0" w:color="auto"/>
            <w:bottom w:val="none" w:sz="0" w:space="0" w:color="auto"/>
            <w:right w:val="none" w:sz="0" w:space="0" w:color="auto"/>
          </w:divBdr>
          <w:divsChild>
            <w:div w:id="976110989">
              <w:marLeft w:val="0"/>
              <w:marRight w:val="0"/>
              <w:marTop w:val="0"/>
              <w:marBottom w:val="0"/>
              <w:divBdr>
                <w:top w:val="none" w:sz="0" w:space="0" w:color="auto"/>
                <w:left w:val="none" w:sz="0" w:space="0" w:color="auto"/>
                <w:bottom w:val="none" w:sz="0" w:space="0" w:color="auto"/>
                <w:right w:val="none" w:sz="0" w:space="0" w:color="auto"/>
              </w:divBdr>
              <w:divsChild>
                <w:div w:id="39767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998963">
      <w:bodyDiv w:val="1"/>
      <w:marLeft w:val="0"/>
      <w:marRight w:val="0"/>
      <w:marTop w:val="0"/>
      <w:marBottom w:val="0"/>
      <w:divBdr>
        <w:top w:val="none" w:sz="0" w:space="0" w:color="auto"/>
        <w:left w:val="none" w:sz="0" w:space="0" w:color="auto"/>
        <w:bottom w:val="none" w:sz="0" w:space="0" w:color="auto"/>
        <w:right w:val="none" w:sz="0" w:space="0" w:color="auto"/>
      </w:divBdr>
    </w:div>
    <w:div w:id="20881880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EACEF255C250A409172B26AA1A770D6"/>
        <w:category>
          <w:name w:val="General"/>
          <w:gallery w:val="placeholder"/>
        </w:category>
        <w:types>
          <w:type w:val="bbPlcHdr"/>
        </w:types>
        <w:behaviors>
          <w:behavior w:val="content"/>
        </w:behaviors>
        <w:guid w:val="{A78755F6-C732-484A-AD92-F5537387A346}"/>
      </w:docPartPr>
      <w:docPartBody>
        <w:p w:rsidR="00C15A07" w:rsidRDefault="0040206C" w:rsidP="0040206C">
          <w:pPr>
            <w:pStyle w:val="FEACEF255C250A409172B26AA1A770D6"/>
          </w:pPr>
          <w:r w:rsidRPr="008A1491">
            <w:rPr>
              <w:rStyle w:val="PlaceholderText"/>
            </w:rPr>
            <w:t>Click or tap here to enter text.</w:t>
          </w:r>
        </w:p>
      </w:docPartBody>
    </w:docPart>
    <w:docPart>
      <w:docPartPr>
        <w:name w:val="03DFB4A69BFD6C46B0C08170188D4AB0"/>
        <w:category>
          <w:name w:val="General"/>
          <w:gallery w:val="placeholder"/>
        </w:category>
        <w:types>
          <w:type w:val="bbPlcHdr"/>
        </w:types>
        <w:behaviors>
          <w:behavior w:val="content"/>
        </w:behaviors>
        <w:guid w:val="{A37F58B7-488A-AD40-9E14-0E3CCFC4ED30}"/>
      </w:docPartPr>
      <w:docPartBody>
        <w:p w:rsidR="00000000" w:rsidRDefault="00BD3865" w:rsidP="00BD3865">
          <w:pPr>
            <w:pStyle w:val="03DFB4A69BFD6C46B0C08170188D4AB0"/>
          </w:pPr>
          <w:r w:rsidRPr="008A149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206C"/>
    <w:rsid w:val="000F68CA"/>
    <w:rsid w:val="001551C9"/>
    <w:rsid w:val="003A6FE7"/>
    <w:rsid w:val="0040206C"/>
    <w:rsid w:val="0046222E"/>
    <w:rsid w:val="00BD3865"/>
    <w:rsid w:val="00C15A07"/>
    <w:rsid w:val="00ED36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D3865"/>
    <w:rPr>
      <w:color w:val="808080"/>
    </w:rPr>
  </w:style>
  <w:style w:type="paragraph" w:customStyle="1" w:styleId="FEACEF255C250A409172B26AA1A770D6">
    <w:name w:val="FEACEF255C250A409172B26AA1A770D6"/>
    <w:rsid w:val="0040206C"/>
  </w:style>
  <w:style w:type="paragraph" w:customStyle="1" w:styleId="03DFB4A69BFD6C46B0C08170188D4AB0">
    <w:name w:val="03DFB4A69BFD6C46B0C08170188D4AB0"/>
    <w:rsid w:val="00BD3865"/>
    <w:pPr>
      <w:spacing w:after="0" w:line="240"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B55A41-779C-DC4B-A7AA-D766BB6DF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942</Words>
  <Characters>5375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Wengrow, David</dc:creator>
  <cp:keywords/>
  <dc:description/>
  <cp:lastModifiedBy>Anne Lowe</cp:lastModifiedBy>
  <cp:revision>3</cp:revision>
  <dcterms:created xsi:type="dcterms:W3CDTF">2024-03-23T11:57:00Z</dcterms:created>
  <dcterms:modified xsi:type="dcterms:W3CDTF">2024-11-13T16:32:00Z</dcterms:modified>
</cp:coreProperties>
</file>