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624CB" w14:textId="5730E61F" w:rsidR="003219D9" w:rsidRPr="002A1DFC" w:rsidRDefault="003219D9" w:rsidP="003219D9">
      <w:pPr>
        <w:spacing w:after="120"/>
        <w:jc w:val="both"/>
        <w:rPr>
          <w:b/>
          <w:sz w:val="22"/>
          <w:szCs w:val="22"/>
          <w:lang w:val="en-GB"/>
        </w:rPr>
      </w:pPr>
      <w:r w:rsidRPr="002A1DFC">
        <w:rPr>
          <w:b/>
          <w:sz w:val="22"/>
          <w:szCs w:val="22"/>
          <w:lang w:val="en-GB"/>
        </w:rPr>
        <w:t>The identification of non-binary gender minorities in prehistoric burials</w:t>
      </w:r>
    </w:p>
    <w:p w14:paraId="48ED1EAC" w14:textId="1DC37AC3" w:rsidR="00657B4B" w:rsidRPr="002A1DFC" w:rsidRDefault="003219D9">
      <w:pPr>
        <w:rPr>
          <w:sz w:val="22"/>
          <w:szCs w:val="22"/>
          <w:lang w:val="en-US"/>
        </w:rPr>
      </w:pPr>
      <w:r w:rsidRPr="002A1DFC">
        <w:rPr>
          <w:b/>
          <w:sz w:val="22"/>
          <w:szCs w:val="22"/>
          <w:lang w:val="en-US"/>
        </w:rPr>
        <w:t xml:space="preserve">SI1) </w:t>
      </w:r>
      <w:r w:rsidRPr="002A1DFC">
        <w:rPr>
          <w:sz w:val="22"/>
          <w:szCs w:val="22"/>
          <w:lang w:val="en-US"/>
        </w:rPr>
        <w:t xml:space="preserve">General description of sites included in the analysis, including details regarding the ways in which sex- and gender-data </w:t>
      </w:r>
      <w:r w:rsidR="002079F4" w:rsidRPr="002A1DFC">
        <w:rPr>
          <w:sz w:val="22"/>
          <w:szCs w:val="22"/>
          <w:lang w:val="en-US"/>
        </w:rPr>
        <w:t>w</w:t>
      </w:r>
      <w:r w:rsidR="002079F4">
        <w:rPr>
          <w:sz w:val="22"/>
          <w:szCs w:val="22"/>
          <w:lang w:val="en-US"/>
        </w:rPr>
        <w:t>ere</w:t>
      </w:r>
      <w:r w:rsidR="002079F4" w:rsidRPr="002A1DFC">
        <w:rPr>
          <w:sz w:val="22"/>
          <w:szCs w:val="22"/>
          <w:lang w:val="en-US"/>
        </w:rPr>
        <w:t xml:space="preserve"> </w:t>
      </w:r>
      <w:r w:rsidRPr="002A1DFC">
        <w:rPr>
          <w:sz w:val="22"/>
          <w:szCs w:val="22"/>
          <w:lang w:val="en-US"/>
        </w:rPr>
        <w:t>generated.</w:t>
      </w:r>
    </w:p>
    <w:p w14:paraId="186372B0" w14:textId="77777777" w:rsidR="003219D9" w:rsidRPr="002A1DFC" w:rsidRDefault="003219D9">
      <w:pPr>
        <w:rPr>
          <w:sz w:val="20"/>
          <w:szCs w:val="20"/>
          <w:lang w:val="en-US"/>
        </w:rPr>
      </w:pPr>
    </w:p>
    <w:p w14:paraId="584651A5" w14:textId="1D8424CE" w:rsidR="0029211B" w:rsidRPr="002A1DFC" w:rsidRDefault="0029211B" w:rsidP="0029211B">
      <w:pPr>
        <w:rPr>
          <w:b/>
        </w:rPr>
      </w:pPr>
      <w:r w:rsidRPr="002A1DFC">
        <w:rPr>
          <w:b/>
        </w:rPr>
        <w:t>Aiterhofen-Ödmühle</w:t>
      </w:r>
      <w:r w:rsidR="00B509A0" w:rsidRPr="002A1DFC">
        <w:rPr>
          <w:b/>
        </w:rPr>
        <w:t xml:space="preserve"> (Germany)</w:t>
      </w:r>
    </w:p>
    <w:p w14:paraId="6C43FDBB" w14:textId="278EF0F8" w:rsidR="00862D4B" w:rsidRPr="002A1DFC" w:rsidRDefault="00862D4B" w:rsidP="00133A51">
      <w:pPr>
        <w:jc w:val="both"/>
        <w:rPr>
          <w:sz w:val="20"/>
          <w:szCs w:val="20"/>
        </w:rPr>
      </w:pPr>
      <w:r w:rsidRPr="002A1DFC">
        <w:rPr>
          <w:b/>
          <w:sz w:val="20"/>
          <w:szCs w:val="20"/>
        </w:rPr>
        <w:t>Location</w:t>
      </w:r>
      <w:r w:rsidRPr="002A1DFC">
        <w:rPr>
          <w:sz w:val="20"/>
          <w:szCs w:val="20"/>
        </w:rPr>
        <w:t xml:space="preserve">: </w:t>
      </w:r>
      <w:r w:rsidR="004800B2" w:rsidRPr="002A1DFC">
        <w:rPr>
          <w:sz w:val="20"/>
          <w:szCs w:val="20"/>
        </w:rPr>
        <w:t xml:space="preserve">Kreis </w:t>
      </w:r>
      <w:r w:rsidR="00BF7BBA" w:rsidRPr="002A1DFC">
        <w:rPr>
          <w:sz w:val="20"/>
          <w:szCs w:val="20"/>
        </w:rPr>
        <w:t xml:space="preserve">Straubing-Bogen, </w:t>
      </w:r>
      <w:r w:rsidR="00C35741" w:rsidRPr="002A1DFC">
        <w:rPr>
          <w:sz w:val="20"/>
          <w:szCs w:val="20"/>
        </w:rPr>
        <w:t>Bavaria</w:t>
      </w:r>
      <w:r w:rsidR="00CF5DFC" w:rsidRPr="002A1DFC">
        <w:rPr>
          <w:sz w:val="20"/>
          <w:szCs w:val="20"/>
        </w:rPr>
        <w:t>.</w:t>
      </w:r>
    </w:p>
    <w:p w14:paraId="0555AB7C" w14:textId="5EE8F321" w:rsidR="00862D4B" w:rsidRPr="002A1DFC" w:rsidRDefault="00862D4B" w:rsidP="00133A51">
      <w:pPr>
        <w:jc w:val="both"/>
        <w:rPr>
          <w:sz w:val="20"/>
          <w:szCs w:val="20"/>
        </w:rPr>
      </w:pPr>
      <w:r w:rsidRPr="002A1DFC">
        <w:rPr>
          <w:b/>
          <w:sz w:val="20"/>
          <w:szCs w:val="20"/>
        </w:rPr>
        <w:t>Excavation</w:t>
      </w:r>
      <w:r w:rsidRPr="002A1DFC">
        <w:rPr>
          <w:sz w:val="20"/>
          <w:szCs w:val="20"/>
        </w:rPr>
        <w:t xml:space="preserve">: </w:t>
      </w:r>
      <w:r w:rsidR="00C84C40" w:rsidRPr="002A1DFC">
        <w:rPr>
          <w:sz w:val="20"/>
          <w:szCs w:val="20"/>
        </w:rPr>
        <w:t>1975-1980</w:t>
      </w:r>
      <w:r w:rsidR="00476F19" w:rsidRPr="002A1DFC">
        <w:rPr>
          <w:sz w:val="20"/>
          <w:szCs w:val="20"/>
        </w:rPr>
        <w:t xml:space="preserve"> (</w:t>
      </w:r>
      <w:r w:rsidR="00C84C40" w:rsidRPr="002A1DFC">
        <w:rPr>
          <w:sz w:val="20"/>
          <w:szCs w:val="20"/>
        </w:rPr>
        <w:t>U. Osterhaus and L. Breinl</w:t>
      </w:r>
      <w:r w:rsidR="00476F19" w:rsidRPr="002A1DFC">
        <w:rPr>
          <w:sz w:val="20"/>
          <w:szCs w:val="20"/>
        </w:rPr>
        <w:t xml:space="preserve">, </w:t>
      </w:r>
      <w:r w:rsidR="00C84C40" w:rsidRPr="002A1DFC">
        <w:rPr>
          <w:sz w:val="20"/>
          <w:szCs w:val="20"/>
        </w:rPr>
        <w:t>BLfD Regensburg)</w:t>
      </w:r>
      <w:r w:rsidR="008858A2">
        <w:rPr>
          <w:sz w:val="20"/>
          <w:szCs w:val="20"/>
        </w:rPr>
        <w:t>.</w:t>
      </w:r>
    </w:p>
    <w:p w14:paraId="42A06101" w14:textId="38F99EC8" w:rsidR="00862D4B" w:rsidRPr="002A1DFC" w:rsidRDefault="00862D4B" w:rsidP="00133A51">
      <w:pPr>
        <w:jc w:val="both"/>
        <w:rPr>
          <w:sz w:val="20"/>
          <w:szCs w:val="20"/>
          <w:lang w:val="en-US"/>
        </w:rPr>
      </w:pPr>
      <w:r w:rsidRPr="002A1DFC">
        <w:rPr>
          <w:b/>
          <w:sz w:val="20"/>
          <w:szCs w:val="20"/>
          <w:lang w:val="en-US"/>
        </w:rPr>
        <w:t>Chronology</w:t>
      </w:r>
      <w:r w:rsidRPr="002A1DFC">
        <w:rPr>
          <w:sz w:val="20"/>
          <w:szCs w:val="20"/>
          <w:lang w:val="en-US"/>
        </w:rPr>
        <w:t>: Early Neolithic</w:t>
      </w:r>
      <w:r w:rsidR="008858A2">
        <w:rPr>
          <w:sz w:val="20"/>
          <w:szCs w:val="20"/>
          <w:lang w:val="en-US"/>
        </w:rPr>
        <w:t>.</w:t>
      </w:r>
    </w:p>
    <w:p w14:paraId="220316B6" w14:textId="5B4D2683" w:rsidR="00862D4B" w:rsidRPr="002A1DFC" w:rsidRDefault="00862D4B" w:rsidP="00133A51">
      <w:pPr>
        <w:jc w:val="both"/>
        <w:rPr>
          <w:sz w:val="20"/>
          <w:szCs w:val="20"/>
          <w:lang w:val="en-US"/>
        </w:rPr>
      </w:pPr>
      <w:r w:rsidRPr="002A1DFC">
        <w:rPr>
          <w:b/>
          <w:sz w:val="20"/>
          <w:szCs w:val="20"/>
          <w:lang w:val="en-US"/>
        </w:rPr>
        <w:t>Material culture</w:t>
      </w:r>
      <w:r w:rsidRPr="002A1DFC">
        <w:rPr>
          <w:sz w:val="20"/>
          <w:szCs w:val="20"/>
          <w:lang w:val="en-US"/>
        </w:rPr>
        <w:t>: Linear Potter Culture (LBK)</w:t>
      </w:r>
      <w:r w:rsidR="008858A2">
        <w:rPr>
          <w:sz w:val="20"/>
          <w:szCs w:val="20"/>
          <w:lang w:val="en-US"/>
        </w:rPr>
        <w:t>.</w:t>
      </w:r>
    </w:p>
    <w:p w14:paraId="1DB63C9B" w14:textId="65BD4EBE" w:rsidR="00862D4B" w:rsidRPr="002A1DFC" w:rsidRDefault="00862D4B" w:rsidP="00133A51">
      <w:pPr>
        <w:jc w:val="both"/>
        <w:rPr>
          <w:sz w:val="20"/>
          <w:szCs w:val="20"/>
          <w:lang w:val="en-US"/>
        </w:rPr>
      </w:pPr>
      <w:r w:rsidRPr="002A1DFC">
        <w:rPr>
          <w:b/>
          <w:sz w:val="20"/>
          <w:szCs w:val="20"/>
          <w:lang w:val="en-US"/>
        </w:rPr>
        <w:t>Use duration</w:t>
      </w:r>
      <w:r w:rsidRPr="002A1DFC">
        <w:rPr>
          <w:sz w:val="20"/>
          <w:szCs w:val="20"/>
          <w:lang w:val="en-US"/>
        </w:rPr>
        <w:t xml:space="preserve">: </w:t>
      </w:r>
      <w:r w:rsidR="006958E8" w:rsidRPr="002A1DFC">
        <w:rPr>
          <w:sz w:val="20"/>
          <w:szCs w:val="20"/>
          <w:lang w:val="en-US"/>
        </w:rPr>
        <w:t>F</w:t>
      </w:r>
      <w:r w:rsidR="00CE6E5A" w:rsidRPr="002A1DFC">
        <w:rPr>
          <w:sz w:val="20"/>
          <w:szCs w:val="20"/>
          <w:lang w:val="en-US"/>
        </w:rPr>
        <w:t xml:space="preserve">rom </w:t>
      </w:r>
      <w:r w:rsidR="006958E8" w:rsidRPr="002A1DFC">
        <w:rPr>
          <w:sz w:val="20"/>
          <w:szCs w:val="20"/>
          <w:lang w:val="en-US"/>
        </w:rPr>
        <w:t xml:space="preserve">c. the </w:t>
      </w:r>
      <w:r w:rsidR="00CE6E5A" w:rsidRPr="002A1DFC">
        <w:rPr>
          <w:sz w:val="20"/>
          <w:szCs w:val="20"/>
          <w:lang w:val="en-US"/>
        </w:rPr>
        <w:t xml:space="preserve">later </w:t>
      </w:r>
      <w:proofErr w:type="spellStart"/>
      <w:r w:rsidR="00CE6E5A" w:rsidRPr="002A1DFC">
        <w:rPr>
          <w:sz w:val="20"/>
          <w:szCs w:val="20"/>
          <w:lang w:val="en-US"/>
        </w:rPr>
        <w:t>Flomborn</w:t>
      </w:r>
      <w:proofErr w:type="spellEnd"/>
      <w:r w:rsidR="00CE6E5A" w:rsidRPr="002A1DFC">
        <w:rPr>
          <w:sz w:val="20"/>
          <w:szCs w:val="20"/>
          <w:lang w:val="en-US"/>
        </w:rPr>
        <w:t>/</w:t>
      </w:r>
      <w:proofErr w:type="spellStart"/>
      <w:r w:rsidR="00CE6E5A" w:rsidRPr="002A1DFC">
        <w:rPr>
          <w:i/>
          <w:sz w:val="20"/>
          <w:szCs w:val="20"/>
          <w:lang w:val="en-US"/>
        </w:rPr>
        <w:t>Notenkopf</w:t>
      </w:r>
      <w:proofErr w:type="spellEnd"/>
      <w:r w:rsidR="006958E8" w:rsidRPr="002A1DFC">
        <w:rPr>
          <w:i/>
          <w:sz w:val="20"/>
          <w:szCs w:val="20"/>
          <w:lang w:val="en-US"/>
        </w:rPr>
        <w:t>-</w:t>
      </w:r>
      <w:r w:rsidR="006958E8" w:rsidRPr="002A1DFC">
        <w:rPr>
          <w:sz w:val="20"/>
          <w:szCs w:val="20"/>
          <w:lang w:val="en-US"/>
        </w:rPr>
        <w:t>phase</w:t>
      </w:r>
      <w:r w:rsidR="00CE6E5A" w:rsidRPr="002A1DFC">
        <w:rPr>
          <w:sz w:val="20"/>
          <w:szCs w:val="20"/>
          <w:lang w:val="en-US"/>
        </w:rPr>
        <w:t xml:space="preserve"> to the early phase of the late LBK (Meier-Arendt Phase III-IV). Hofmann </w:t>
      </w:r>
      <w:r w:rsidR="00CE6E5A" w:rsidRPr="00AC3978">
        <w:rPr>
          <w:i/>
          <w:sz w:val="20"/>
          <w:szCs w:val="20"/>
          <w:lang w:val="en-US"/>
        </w:rPr>
        <w:t>et al.</w:t>
      </w:r>
      <w:r w:rsidR="00CE6E5A" w:rsidRPr="002A1DFC">
        <w:rPr>
          <w:sz w:val="20"/>
          <w:szCs w:val="20"/>
          <w:lang w:val="en-US"/>
        </w:rPr>
        <w:t xml:space="preserve"> </w:t>
      </w:r>
      <w:r w:rsidR="00407642" w:rsidRPr="002A1DFC">
        <w:rPr>
          <w:noProof/>
          <w:sz w:val="20"/>
          <w:szCs w:val="20"/>
          <w:lang w:val="en-US"/>
        </w:rPr>
        <w:t>(2013)</w:t>
      </w:r>
      <w:r w:rsidR="00CE6E5A" w:rsidRPr="002A1DFC">
        <w:rPr>
          <w:sz w:val="20"/>
          <w:szCs w:val="20"/>
          <w:lang w:val="en-US"/>
        </w:rPr>
        <w:t xml:space="preserve"> indicate </w:t>
      </w:r>
      <w:r w:rsidR="00407642" w:rsidRPr="002A1DFC">
        <w:rPr>
          <w:noProof/>
          <w:sz w:val="20"/>
          <w:szCs w:val="20"/>
          <w:lang w:val="en-US"/>
        </w:rPr>
        <w:t>(based on Nieszery 1995)</w:t>
      </w:r>
      <w:r w:rsidR="00CE6E5A" w:rsidRPr="002A1DFC">
        <w:rPr>
          <w:sz w:val="20"/>
          <w:szCs w:val="20"/>
          <w:lang w:val="en-US"/>
        </w:rPr>
        <w:t xml:space="preserve"> that three cremations, one double cremation and one inhumation are argued to be of possible </w:t>
      </w:r>
      <w:r w:rsidR="00C04AA1" w:rsidRPr="002A1DFC">
        <w:rPr>
          <w:sz w:val="20"/>
          <w:szCs w:val="20"/>
          <w:lang w:val="en-US"/>
        </w:rPr>
        <w:t>M</w:t>
      </w:r>
      <w:r w:rsidR="00CE6E5A" w:rsidRPr="002A1DFC">
        <w:rPr>
          <w:sz w:val="20"/>
          <w:szCs w:val="20"/>
          <w:lang w:val="en-US"/>
        </w:rPr>
        <w:t xml:space="preserve">iddle Neolithic date. </w:t>
      </w:r>
    </w:p>
    <w:p w14:paraId="733FC698" w14:textId="7B4AF5B4" w:rsidR="00862D4B" w:rsidRPr="002A1DFC" w:rsidRDefault="00862D4B" w:rsidP="00133A51">
      <w:pPr>
        <w:jc w:val="both"/>
        <w:rPr>
          <w:sz w:val="20"/>
          <w:szCs w:val="20"/>
          <w:lang w:val="en-US"/>
        </w:rPr>
      </w:pPr>
      <w:r w:rsidRPr="002A1DFC">
        <w:rPr>
          <w:b/>
          <w:sz w:val="20"/>
          <w:szCs w:val="20"/>
          <w:lang w:val="en-US"/>
        </w:rPr>
        <w:t>Preservation</w:t>
      </w:r>
      <w:r w:rsidRPr="002A1DFC">
        <w:rPr>
          <w:sz w:val="20"/>
          <w:szCs w:val="20"/>
          <w:lang w:val="en-US"/>
        </w:rPr>
        <w:t xml:space="preserve">: </w:t>
      </w:r>
      <w:r w:rsidR="00CE6E5A" w:rsidRPr="002A1DFC">
        <w:rPr>
          <w:sz w:val="20"/>
          <w:szCs w:val="20"/>
          <w:lang w:val="en-US"/>
        </w:rPr>
        <w:t xml:space="preserve">The burial site was </w:t>
      </w:r>
      <w:r w:rsidR="002D2829">
        <w:rPr>
          <w:sz w:val="20"/>
          <w:szCs w:val="20"/>
          <w:lang w:val="en-US"/>
        </w:rPr>
        <w:t>extensively</w:t>
      </w:r>
      <w:r w:rsidR="002D2829" w:rsidRPr="002A1DFC">
        <w:rPr>
          <w:sz w:val="20"/>
          <w:szCs w:val="20"/>
          <w:lang w:val="en-US"/>
        </w:rPr>
        <w:t xml:space="preserve"> </w:t>
      </w:r>
      <w:r w:rsidR="00CE6E5A" w:rsidRPr="002A1DFC">
        <w:rPr>
          <w:sz w:val="20"/>
          <w:szCs w:val="20"/>
          <w:lang w:val="en-US"/>
        </w:rPr>
        <w:t>excavat</w:t>
      </w:r>
      <w:r w:rsidR="00C04AA1" w:rsidRPr="002A1DFC">
        <w:rPr>
          <w:sz w:val="20"/>
          <w:szCs w:val="20"/>
          <w:lang w:val="en-US"/>
        </w:rPr>
        <w:t>ed</w:t>
      </w:r>
      <w:r w:rsidR="00CE6E5A" w:rsidRPr="002A1DFC">
        <w:rPr>
          <w:sz w:val="20"/>
          <w:szCs w:val="20"/>
          <w:lang w:val="en-US"/>
        </w:rPr>
        <w:t xml:space="preserve">, </w:t>
      </w:r>
      <w:r w:rsidR="004800B2" w:rsidRPr="002A1DFC">
        <w:rPr>
          <w:sz w:val="20"/>
          <w:szCs w:val="20"/>
          <w:lang w:val="en-US"/>
        </w:rPr>
        <w:t xml:space="preserve">although several graves may have been missed or destroyed during quarrying or by later settlements. </w:t>
      </w:r>
      <w:proofErr w:type="spellStart"/>
      <w:r w:rsidR="009B4859" w:rsidRPr="002A1DFC">
        <w:rPr>
          <w:sz w:val="20"/>
          <w:szCs w:val="20"/>
          <w:lang w:val="en-US"/>
        </w:rPr>
        <w:t>Nieszery</w:t>
      </w:r>
      <w:proofErr w:type="spellEnd"/>
      <w:r w:rsidR="009B4859" w:rsidRPr="002A1DFC">
        <w:rPr>
          <w:sz w:val="20"/>
          <w:szCs w:val="20"/>
          <w:lang w:val="en-US"/>
        </w:rPr>
        <w:t xml:space="preserve"> </w:t>
      </w:r>
      <w:r w:rsidR="00407642" w:rsidRPr="002A1DFC">
        <w:rPr>
          <w:noProof/>
          <w:sz w:val="20"/>
          <w:szCs w:val="20"/>
          <w:lang w:val="en-US"/>
        </w:rPr>
        <w:t>(1995)</w:t>
      </w:r>
      <w:r w:rsidR="004579F0" w:rsidRPr="002A1DFC">
        <w:rPr>
          <w:sz w:val="20"/>
          <w:szCs w:val="20"/>
          <w:lang w:val="en-US"/>
        </w:rPr>
        <w:t xml:space="preserve"> </w:t>
      </w:r>
      <w:r w:rsidR="009B4859" w:rsidRPr="002A1DFC">
        <w:rPr>
          <w:sz w:val="20"/>
          <w:szCs w:val="20"/>
          <w:lang w:val="en-US"/>
        </w:rPr>
        <w:t>does not inform regard</w:t>
      </w:r>
      <w:r w:rsidR="00AE43F3">
        <w:rPr>
          <w:sz w:val="20"/>
          <w:szCs w:val="20"/>
          <w:lang w:val="en-US"/>
        </w:rPr>
        <w:t>ing</w:t>
      </w:r>
      <w:r w:rsidR="009B4859" w:rsidRPr="002A1DFC">
        <w:rPr>
          <w:sz w:val="20"/>
          <w:szCs w:val="20"/>
          <w:lang w:val="en-US"/>
        </w:rPr>
        <w:t xml:space="preserve"> the skeletal preservation. Baum </w:t>
      </w:r>
      <w:r w:rsidR="00407642" w:rsidRPr="002A1DFC">
        <w:rPr>
          <w:noProof/>
          <w:sz w:val="20"/>
          <w:szCs w:val="20"/>
          <w:lang w:val="en-US"/>
        </w:rPr>
        <w:t>(1990</w:t>
      </w:r>
      <w:r w:rsidR="001659E5" w:rsidRPr="002A1DFC">
        <w:rPr>
          <w:noProof/>
          <w:sz w:val="20"/>
          <w:szCs w:val="20"/>
          <w:lang w:val="en-US"/>
        </w:rPr>
        <w:t>,</w:t>
      </w:r>
      <w:r w:rsidR="00407642" w:rsidRPr="002A1DFC">
        <w:rPr>
          <w:noProof/>
          <w:sz w:val="20"/>
          <w:szCs w:val="20"/>
          <w:lang w:val="en-US"/>
        </w:rPr>
        <w:t xml:space="preserve"> 158)</w:t>
      </w:r>
      <w:r w:rsidR="004579F0" w:rsidRPr="002A1DFC">
        <w:rPr>
          <w:sz w:val="20"/>
          <w:szCs w:val="20"/>
          <w:lang w:val="en-US"/>
        </w:rPr>
        <w:t xml:space="preserve"> </w:t>
      </w:r>
      <w:r w:rsidR="009B4859" w:rsidRPr="002A1DFC">
        <w:rPr>
          <w:sz w:val="20"/>
          <w:szCs w:val="20"/>
          <w:lang w:val="en-US"/>
        </w:rPr>
        <w:t xml:space="preserve">indicates that of 160 inhumed individuals, 109 individuals featured a sufficient state of preservation for </w:t>
      </w:r>
      <w:r w:rsidR="009D7719" w:rsidRPr="002A1DFC">
        <w:rPr>
          <w:sz w:val="20"/>
          <w:szCs w:val="20"/>
          <w:lang w:val="en-US"/>
        </w:rPr>
        <w:t xml:space="preserve">osteological </w:t>
      </w:r>
      <w:r w:rsidR="009B4859" w:rsidRPr="002A1DFC">
        <w:rPr>
          <w:sz w:val="20"/>
          <w:szCs w:val="20"/>
          <w:lang w:val="en-US"/>
        </w:rPr>
        <w:t xml:space="preserve">analyses – it is not clear, however, whether </w:t>
      </w:r>
      <w:r w:rsidR="006941E2" w:rsidRPr="002A1DFC">
        <w:rPr>
          <w:sz w:val="20"/>
          <w:szCs w:val="20"/>
          <w:lang w:val="en-US"/>
        </w:rPr>
        <w:t>the author</w:t>
      </w:r>
      <w:r w:rsidR="009B4859" w:rsidRPr="002A1DFC">
        <w:rPr>
          <w:sz w:val="20"/>
          <w:szCs w:val="20"/>
          <w:lang w:val="en-US"/>
        </w:rPr>
        <w:t xml:space="preserve"> refers to the preservation of teeth or to the complete skeletal units. </w:t>
      </w:r>
    </w:p>
    <w:p w14:paraId="12068C12" w14:textId="2AAD4AB4" w:rsidR="00862D4B" w:rsidRPr="002A1DFC" w:rsidRDefault="00862D4B" w:rsidP="00133A51">
      <w:pPr>
        <w:jc w:val="both"/>
        <w:rPr>
          <w:sz w:val="20"/>
          <w:szCs w:val="20"/>
          <w:lang w:val="en-US"/>
        </w:rPr>
      </w:pPr>
      <w:r w:rsidRPr="002A1DFC">
        <w:rPr>
          <w:b/>
          <w:sz w:val="20"/>
          <w:szCs w:val="20"/>
          <w:lang w:val="en-US"/>
        </w:rPr>
        <w:t>Burial structures</w:t>
      </w:r>
      <w:r w:rsidRPr="002A1DFC">
        <w:rPr>
          <w:sz w:val="20"/>
          <w:szCs w:val="20"/>
          <w:lang w:val="en-US"/>
        </w:rPr>
        <w:t xml:space="preserve">: </w:t>
      </w:r>
      <w:r w:rsidR="00C84C40" w:rsidRPr="002A1DFC">
        <w:rPr>
          <w:sz w:val="20"/>
          <w:szCs w:val="20"/>
          <w:lang w:val="en-US"/>
        </w:rPr>
        <w:t>229</w:t>
      </w:r>
      <w:r w:rsidR="00AE43F3">
        <w:rPr>
          <w:sz w:val="20"/>
          <w:szCs w:val="20"/>
          <w:lang w:val="en-US"/>
        </w:rPr>
        <w:t xml:space="preserve"> burial structures</w:t>
      </w:r>
      <w:r w:rsidR="006941E2" w:rsidRPr="002A1DFC">
        <w:rPr>
          <w:sz w:val="20"/>
          <w:szCs w:val="20"/>
          <w:lang w:val="en-US"/>
        </w:rPr>
        <w:t xml:space="preserve">, </w:t>
      </w:r>
      <w:r w:rsidR="00751225" w:rsidRPr="002A1DFC">
        <w:rPr>
          <w:sz w:val="20"/>
          <w:szCs w:val="20"/>
          <w:lang w:val="en-US"/>
        </w:rPr>
        <w:t xml:space="preserve">according to the numeration of </w:t>
      </w:r>
      <w:proofErr w:type="spellStart"/>
      <w:r w:rsidR="00751225" w:rsidRPr="002A1DFC">
        <w:rPr>
          <w:sz w:val="20"/>
          <w:szCs w:val="20"/>
          <w:lang w:val="en-US"/>
        </w:rPr>
        <w:t>Nieszery’s</w:t>
      </w:r>
      <w:proofErr w:type="spellEnd"/>
      <w:r w:rsidR="00751225" w:rsidRPr="002A1DFC">
        <w:rPr>
          <w:sz w:val="20"/>
          <w:szCs w:val="20"/>
          <w:lang w:val="en-US"/>
        </w:rPr>
        <w:t xml:space="preserve"> </w:t>
      </w:r>
      <w:r w:rsidR="006958E8" w:rsidRPr="002A1DFC">
        <w:rPr>
          <w:sz w:val="20"/>
          <w:szCs w:val="20"/>
          <w:lang w:val="en-US"/>
        </w:rPr>
        <w:t>inventory of burials</w:t>
      </w:r>
      <w:r w:rsidR="00751225" w:rsidRPr="002A1DFC">
        <w:rPr>
          <w:sz w:val="20"/>
          <w:szCs w:val="20"/>
          <w:lang w:val="en-US"/>
        </w:rPr>
        <w:t xml:space="preserve"> </w:t>
      </w:r>
      <w:r w:rsidR="00407642" w:rsidRPr="002A1DFC">
        <w:rPr>
          <w:noProof/>
          <w:sz w:val="20"/>
          <w:szCs w:val="20"/>
          <w:lang w:val="en-US"/>
        </w:rPr>
        <w:t>(1995)</w:t>
      </w:r>
      <w:r w:rsidR="00751225" w:rsidRPr="002A1DFC">
        <w:rPr>
          <w:sz w:val="20"/>
          <w:szCs w:val="20"/>
          <w:lang w:val="en-US"/>
        </w:rPr>
        <w:t>.</w:t>
      </w:r>
    </w:p>
    <w:p w14:paraId="20385726" w14:textId="57D04596" w:rsidR="00862D4B" w:rsidRPr="002A1DFC" w:rsidRDefault="00862D4B" w:rsidP="009E39DA">
      <w:pPr>
        <w:jc w:val="both"/>
        <w:rPr>
          <w:sz w:val="20"/>
          <w:szCs w:val="20"/>
          <w:lang w:val="en-US"/>
        </w:rPr>
      </w:pPr>
      <w:r w:rsidRPr="002A1DFC">
        <w:rPr>
          <w:b/>
          <w:sz w:val="20"/>
          <w:szCs w:val="20"/>
          <w:lang w:val="en-US"/>
        </w:rPr>
        <w:t>Burial practice</w:t>
      </w:r>
      <w:r w:rsidRPr="002A1DFC">
        <w:rPr>
          <w:sz w:val="20"/>
          <w:szCs w:val="20"/>
          <w:lang w:val="en-US"/>
        </w:rPr>
        <w:t xml:space="preserve">: </w:t>
      </w:r>
      <w:proofErr w:type="spellStart"/>
      <w:r w:rsidR="00751225" w:rsidRPr="002A1DFC">
        <w:rPr>
          <w:sz w:val="20"/>
          <w:szCs w:val="20"/>
          <w:lang w:val="en-US"/>
        </w:rPr>
        <w:t>Nieszery</w:t>
      </w:r>
      <w:proofErr w:type="spellEnd"/>
      <w:r w:rsidR="004579F0" w:rsidRPr="002A1DFC">
        <w:rPr>
          <w:sz w:val="20"/>
          <w:szCs w:val="20"/>
          <w:lang w:val="en-US"/>
        </w:rPr>
        <w:t xml:space="preserve"> </w:t>
      </w:r>
      <w:r w:rsidR="00407642" w:rsidRPr="002A1DFC">
        <w:rPr>
          <w:noProof/>
          <w:sz w:val="20"/>
          <w:szCs w:val="20"/>
          <w:lang w:val="en-US"/>
        </w:rPr>
        <w:t>(1995)</w:t>
      </w:r>
      <w:r w:rsidR="00016743" w:rsidRPr="002A1DFC">
        <w:rPr>
          <w:sz w:val="20"/>
          <w:szCs w:val="20"/>
          <w:lang w:val="en-US"/>
        </w:rPr>
        <w:t xml:space="preserve"> </w:t>
      </w:r>
      <w:r w:rsidR="00AE43F3">
        <w:rPr>
          <w:sz w:val="20"/>
          <w:szCs w:val="20"/>
          <w:lang w:val="en-US"/>
        </w:rPr>
        <w:t xml:space="preserve">mentions </w:t>
      </w:r>
      <w:r w:rsidR="00016743" w:rsidRPr="002A1DFC">
        <w:rPr>
          <w:sz w:val="20"/>
          <w:szCs w:val="20"/>
          <w:lang w:val="en-US"/>
        </w:rPr>
        <w:t xml:space="preserve">160 </w:t>
      </w:r>
      <w:r w:rsidR="00C84C40" w:rsidRPr="002A1DFC">
        <w:rPr>
          <w:sz w:val="20"/>
          <w:szCs w:val="20"/>
          <w:lang w:val="en-US"/>
        </w:rPr>
        <w:t>inhumation</w:t>
      </w:r>
      <w:r w:rsidR="00016743" w:rsidRPr="002A1DFC">
        <w:rPr>
          <w:sz w:val="20"/>
          <w:szCs w:val="20"/>
          <w:lang w:val="en-US"/>
        </w:rPr>
        <w:t>s</w:t>
      </w:r>
      <w:r w:rsidR="00C84C40" w:rsidRPr="002A1DFC">
        <w:rPr>
          <w:sz w:val="20"/>
          <w:szCs w:val="20"/>
          <w:lang w:val="en-US"/>
        </w:rPr>
        <w:t xml:space="preserve"> and </w:t>
      </w:r>
      <w:r w:rsidR="00016743" w:rsidRPr="002A1DFC">
        <w:rPr>
          <w:sz w:val="20"/>
          <w:szCs w:val="20"/>
          <w:lang w:val="en-US"/>
        </w:rPr>
        <w:t xml:space="preserve">69 </w:t>
      </w:r>
      <w:r w:rsidR="00C84C40" w:rsidRPr="002A1DFC">
        <w:rPr>
          <w:sz w:val="20"/>
          <w:szCs w:val="20"/>
          <w:lang w:val="en-US"/>
        </w:rPr>
        <w:t>crematio</w:t>
      </w:r>
      <w:bookmarkStart w:id="0" w:name="_GoBack"/>
      <w:bookmarkEnd w:id="0"/>
      <w:r w:rsidR="00C84C40" w:rsidRPr="002A1DFC">
        <w:rPr>
          <w:sz w:val="20"/>
          <w:szCs w:val="20"/>
          <w:lang w:val="en-US"/>
        </w:rPr>
        <w:t>n</w:t>
      </w:r>
      <w:r w:rsidR="00016743" w:rsidRPr="002A1DFC">
        <w:rPr>
          <w:sz w:val="20"/>
          <w:szCs w:val="20"/>
          <w:lang w:val="en-US"/>
        </w:rPr>
        <w:t>s</w:t>
      </w:r>
      <w:r w:rsidR="00751225" w:rsidRPr="002A1DFC">
        <w:rPr>
          <w:sz w:val="20"/>
          <w:szCs w:val="20"/>
          <w:lang w:val="en-US"/>
        </w:rPr>
        <w:t xml:space="preserve">. Hofmann </w:t>
      </w:r>
      <w:r w:rsidR="00751225" w:rsidRPr="00AC3978">
        <w:rPr>
          <w:i/>
          <w:sz w:val="20"/>
          <w:szCs w:val="20"/>
          <w:lang w:val="en-US"/>
        </w:rPr>
        <w:t>et al.</w:t>
      </w:r>
      <w:r w:rsidR="00751225" w:rsidRPr="002A1DFC">
        <w:rPr>
          <w:sz w:val="20"/>
          <w:szCs w:val="20"/>
          <w:lang w:val="en-US"/>
        </w:rPr>
        <w:t xml:space="preserve"> </w:t>
      </w:r>
      <w:r w:rsidR="00407642" w:rsidRPr="002A1DFC">
        <w:rPr>
          <w:noProof/>
          <w:sz w:val="20"/>
          <w:szCs w:val="20"/>
          <w:lang w:val="en-US"/>
        </w:rPr>
        <w:t>(2013</w:t>
      </w:r>
      <w:r w:rsidR="001659E5" w:rsidRPr="002A1DFC">
        <w:rPr>
          <w:noProof/>
          <w:sz w:val="20"/>
          <w:szCs w:val="20"/>
          <w:lang w:val="en-US"/>
        </w:rPr>
        <w:t>,</w:t>
      </w:r>
      <w:r w:rsidR="00407642" w:rsidRPr="002A1DFC">
        <w:rPr>
          <w:noProof/>
          <w:sz w:val="20"/>
          <w:szCs w:val="20"/>
          <w:lang w:val="en-US"/>
        </w:rPr>
        <w:t xml:space="preserve"> 219)</w:t>
      </w:r>
      <w:r w:rsidR="00751225" w:rsidRPr="002A1DFC">
        <w:rPr>
          <w:sz w:val="20"/>
          <w:szCs w:val="20"/>
          <w:lang w:val="en-US"/>
        </w:rPr>
        <w:t xml:space="preserve"> </w:t>
      </w:r>
      <w:r w:rsidR="00AE43F3">
        <w:rPr>
          <w:sz w:val="20"/>
          <w:szCs w:val="20"/>
          <w:lang w:val="en-US"/>
        </w:rPr>
        <w:t xml:space="preserve">mention </w:t>
      </w:r>
      <w:r w:rsidR="00016743" w:rsidRPr="002A1DFC">
        <w:rPr>
          <w:sz w:val="20"/>
          <w:szCs w:val="20"/>
          <w:lang w:val="en-US"/>
        </w:rPr>
        <w:t xml:space="preserve">163 </w:t>
      </w:r>
      <w:r w:rsidR="00751225" w:rsidRPr="002A1DFC">
        <w:rPr>
          <w:sz w:val="20"/>
          <w:szCs w:val="20"/>
          <w:lang w:val="en-US"/>
        </w:rPr>
        <w:t>inhumation</w:t>
      </w:r>
      <w:r w:rsidR="00016743" w:rsidRPr="002A1DFC">
        <w:rPr>
          <w:sz w:val="20"/>
          <w:szCs w:val="20"/>
          <w:lang w:val="en-US"/>
        </w:rPr>
        <w:t>s</w:t>
      </w:r>
      <w:r w:rsidR="00751225" w:rsidRPr="002A1DFC">
        <w:rPr>
          <w:sz w:val="20"/>
          <w:szCs w:val="20"/>
          <w:lang w:val="en-US"/>
        </w:rPr>
        <w:t xml:space="preserve"> (</w:t>
      </w:r>
      <w:r w:rsidR="00016743" w:rsidRPr="002A1DFC">
        <w:rPr>
          <w:sz w:val="20"/>
          <w:szCs w:val="20"/>
          <w:lang w:val="en-US"/>
        </w:rPr>
        <w:t>incl.</w:t>
      </w:r>
      <w:r w:rsidR="00751225" w:rsidRPr="002A1DFC">
        <w:rPr>
          <w:sz w:val="20"/>
          <w:szCs w:val="20"/>
          <w:lang w:val="en-US"/>
        </w:rPr>
        <w:t xml:space="preserve"> 3 double burials), </w:t>
      </w:r>
      <w:r w:rsidR="00016743" w:rsidRPr="002A1DFC">
        <w:rPr>
          <w:sz w:val="20"/>
          <w:szCs w:val="20"/>
          <w:lang w:val="en-US"/>
        </w:rPr>
        <w:t xml:space="preserve">74 </w:t>
      </w:r>
      <w:r w:rsidR="00751225" w:rsidRPr="002A1DFC">
        <w:rPr>
          <w:sz w:val="20"/>
          <w:szCs w:val="20"/>
          <w:lang w:val="en-US"/>
        </w:rPr>
        <w:t>cremation</w:t>
      </w:r>
      <w:r w:rsidR="00016743" w:rsidRPr="002A1DFC">
        <w:rPr>
          <w:sz w:val="20"/>
          <w:szCs w:val="20"/>
          <w:lang w:val="en-US"/>
        </w:rPr>
        <w:t>s</w:t>
      </w:r>
      <w:r w:rsidR="00751225" w:rsidRPr="002A1DFC">
        <w:rPr>
          <w:sz w:val="20"/>
          <w:szCs w:val="20"/>
          <w:lang w:val="en-US"/>
        </w:rPr>
        <w:t xml:space="preserve"> (</w:t>
      </w:r>
      <w:r w:rsidR="00016743" w:rsidRPr="002A1DFC">
        <w:rPr>
          <w:sz w:val="20"/>
          <w:szCs w:val="20"/>
          <w:lang w:val="en-US"/>
        </w:rPr>
        <w:t>incl.</w:t>
      </w:r>
      <w:r w:rsidR="00751225" w:rsidRPr="002A1DFC">
        <w:rPr>
          <w:sz w:val="20"/>
          <w:szCs w:val="20"/>
          <w:lang w:val="en-US"/>
        </w:rPr>
        <w:t xml:space="preserve"> 9 double cremations) and further nine individuals represented by isolated bones only.</w:t>
      </w:r>
    </w:p>
    <w:p w14:paraId="2C7400A8" w14:textId="66768AFE" w:rsidR="00862D4B" w:rsidRPr="002A1DFC" w:rsidRDefault="00862D4B" w:rsidP="009E39DA">
      <w:pPr>
        <w:jc w:val="both"/>
        <w:rPr>
          <w:sz w:val="20"/>
          <w:szCs w:val="20"/>
          <w:lang w:val="en-US"/>
        </w:rPr>
      </w:pPr>
      <w:r w:rsidRPr="002A1DFC">
        <w:rPr>
          <w:b/>
          <w:sz w:val="20"/>
          <w:szCs w:val="20"/>
          <w:lang w:val="en-US"/>
        </w:rPr>
        <w:t>Minimum number of individuals</w:t>
      </w:r>
      <w:r w:rsidRPr="002A1DFC">
        <w:rPr>
          <w:sz w:val="20"/>
          <w:szCs w:val="20"/>
          <w:lang w:val="en-US"/>
        </w:rPr>
        <w:t xml:space="preserve">: </w:t>
      </w:r>
      <w:r w:rsidR="00761858" w:rsidRPr="002A1DFC">
        <w:rPr>
          <w:sz w:val="20"/>
          <w:szCs w:val="20"/>
          <w:lang w:val="en-US"/>
        </w:rPr>
        <w:t xml:space="preserve">The MNI varies according to the indications of different authors. Hofmann </w:t>
      </w:r>
      <w:r w:rsidR="00761858" w:rsidRPr="00AC3978">
        <w:rPr>
          <w:i/>
          <w:sz w:val="20"/>
          <w:szCs w:val="20"/>
          <w:lang w:val="en-US"/>
        </w:rPr>
        <w:t>et al.</w:t>
      </w:r>
      <w:r w:rsidR="00761858" w:rsidRPr="002A1DFC">
        <w:rPr>
          <w:sz w:val="20"/>
          <w:szCs w:val="20"/>
          <w:lang w:val="en-US"/>
        </w:rPr>
        <w:t xml:space="preserve"> </w:t>
      </w:r>
      <w:r w:rsidR="00407642" w:rsidRPr="002A1DFC">
        <w:rPr>
          <w:noProof/>
          <w:sz w:val="20"/>
          <w:szCs w:val="20"/>
          <w:lang w:val="en-US"/>
        </w:rPr>
        <w:t>(2013</w:t>
      </w:r>
      <w:r w:rsidR="001659E5" w:rsidRPr="002A1DFC">
        <w:rPr>
          <w:noProof/>
          <w:sz w:val="20"/>
          <w:szCs w:val="20"/>
          <w:lang w:val="en-US"/>
        </w:rPr>
        <w:t>,</w:t>
      </w:r>
      <w:r w:rsidR="00407642" w:rsidRPr="002A1DFC">
        <w:rPr>
          <w:noProof/>
          <w:sz w:val="20"/>
          <w:szCs w:val="20"/>
          <w:lang w:val="en-US"/>
        </w:rPr>
        <w:t xml:space="preserve"> 219)</w:t>
      </w:r>
      <w:r w:rsidR="00761858" w:rsidRPr="002A1DFC">
        <w:rPr>
          <w:sz w:val="20"/>
          <w:szCs w:val="20"/>
          <w:lang w:val="en-US"/>
        </w:rPr>
        <w:t xml:space="preserve"> count a total of </w:t>
      </w:r>
      <w:r w:rsidR="004800B2" w:rsidRPr="002A1DFC">
        <w:rPr>
          <w:sz w:val="20"/>
          <w:szCs w:val="20"/>
          <w:lang w:val="en-US"/>
        </w:rPr>
        <w:t>240</w:t>
      </w:r>
      <w:r w:rsidR="00761858" w:rsidRPr="002A1DFC">
        <w:rPr>
          <w:sz w:val="20"/>
          <w:szCs w:val="20"/>
          <w:lang w:val="en-US"/>
        </w:rPr>
        <w:t xml:space="preserve"> individuals,</w:t>
      </w:r>
      <w:r w:rsidR="00751225" w:rsidRPr="002A1DFC">
        <w:rPr>
          <w:sz w:val="20"/>
          <w:szCs w:val="20"/>
          <w:lang w:val="en-US"/>
        </w:rPr>
        <w:t xml:space="preserve"> </w:t>
      </w:r>
      <w:r w:rsidR="00CE0799">
        <w:rPr>
          <w:sz w:val="20"/>
          <w:szCs w:val="20"/>
          <w:lang w:val="en-US"/>
        </w:rPr>
        <w:t>excluding</w:t>
      </w:r>
      <w:r w:rsidR="00751225" w:rsidRPr="002A1DFC">
        <w:rPr>
          <w:sz w:val="20"/>
          <w:szCs w:val="20"/>
          <w:lang w:val="en-US"/>
        </w:rPr>
        <w:t xml:space="preserve"> three cremations, one double cremation and one inhumation</w:t>
      </w:r>
      <w:r w:rsidR="00CE0799">
        <w:rPr>
          <w:sz w:val="20"/>
          <w:szCs w:val="20"/>
          <w:lang w:val="en-US"/>
        </w:rPr>
        <w:t xml:space="preserve"> and these are argued to potentially be</w:t>
      </w:r>
      <w:r w:rsidR="00751225" w:rsidRPr="002A1DFC">
        <w:rPr>
          <w:sz w:val="20"/>
          <w:szCs w:val="20"/>
          <w:lang w:val="en-US"/>
        </w:rPr>
        <w:t xml:space="preserve"> </w:t>
      </w:r>
      <w:r w:rsidR="00CE0799">
        <w:rPr>
          <w:sz w:val="20"/>
          <w:szCs w:val="20"/>
          <w:lang w:val="en-US"/>
        </w:rPr>
        <w:t>of</w:t>
      </w:r>
      <w:r w:rsidR="00CE0799" w:rsidRPr="002A1DFC">
        <w:rPr>
          <w:sz w:val="20"/>
          <w:szCs w:val="20"/>
          <w:lang w:val="en-US"/>
        </w:rPr>
        <w:t xml:space="preserve"> </w:t>
      </w:r>
      <w:r w:rsidR="005C4DCF" w:rsidRPr="002A1DFC">
        <w:rPr>
          <w:sz w:val="20"/>
          <w:szCs w:val="20"/>
          <w:lang w:val="en-US"/>
        </w:rPr>
        <w:t>M</w:t>
      </w:r>
      <w:r w:rsidR="00751225" w:rsidRPr="002A1DFC">
        <w:rPr>
          <w:sz w:val="20"/>
          <w:szCs w:val="20"/>
          <w:lang w:val="en-US"/>
        </w:rPr>
        <w:t>iddle Neolithic date</w:t>
      </w:r>
      <w:r w:rsidR="00761858" w:rsidRPr="002A1DFC">
        <w:rPr>
          <w:sz w:val="20"/>
          <w:szCs w:val="20"/>
          <w:lang w:val="en-US"/>
        </w:rPr>
        <w:t xml:space="preserve">. Baum </w:t>
      </w:r>
      <w:r w:rsidR="00407642" w:rsidRPr="002A1DFC">
        <w:rPr>
          <w:noProof/>
          <w:sz w:val="20"/>
          <w:szCs w:val="20"/>
          <w:lang w:val="en-US"/>
        </w:rPr>
        <w:t>(1990</w:t>
      </w:r>
      <w:r w:rsidR="001659E5" w:rsidRPr="002A1DFC">
        <w:rPr>
          <w:noProof/>
          <w:sz w:val="20"/>
          <w:szCs w:val="20"/>
          <w:lang w:val="en-US"/>
        </w:rPr>
        <w:t>,</w:t>
      </w:r>
      <w:r w:rsidR="00407642" w:rsidRPr="002A1DFC">
        <w:rPr>
          <w:noProof/>
          <w:sz w:val="20"/>
          <w:szCs w:val="20"/>
          <w:lang w:val="en-US"/>
        </w:rPr>
        <w:t xml:space="preserve"> 158)</w:t>
      </w:r>
      <w:r w:rsidR="00761858" w:rsidRPr="002A1DFC">
        <w:rPr>
          <w:sz w:val="20"/>
          <w:szCs w:val="20"/>
          <w:lang w:val="en-US"/>
        </w:rPr>
        <w:t xml:space="preserve"> indicates a total of 235 individuals</w:t>
      </w:r>
      <w:r w:rsidR="00751225" w:rsidRPr="002A1DFC">
        <w:rPr>
          <w:sz w:val="20"/>
          <w:szCs w:val="20"/>
          <w:lang w:val="en-US"/>
        </w:rPr>
        <w:t>.</w:t>
      </w:r>
    </w:p>
    <w:p w14:paraId="4816BA5B" w14:textId="6CBF2AC1" w:rsidR="00921920" w:rsidRPr="002A1DFC" w:rsidRDefault="00236CD4" w:rsidP="009E39DA">
      <w:pPr>
        <w:jc w:val="both"/>
        <w:rPr>
          <w:sz w:val="20"/>
          <w:szCs w:val="20"/>
          <w:lang w:val="en-US"/>
        </w:rPr>
      </w:pPr>
      <w:r w:rsidRPr="002A1DFC">
        <w:rPr>
          <w:b/>
          <w:sz w:val="20"/>
          <w:szCs w:val="20"/>
          <w:lang w:val="en-US"/>
        </w:rPr>
        <w:t>Anthropologist</w:t>
      </w:r>
      <w:r w:rsidR="00921920" w:rsidRPr="002A1DFC">
        <w:rPr>
          <w:b/>
          <w:sz w:val="20"/>
          <w:szCs w:val="20"/>
          <w:lang w:val="en-US"/>
        </w:rPr>
        <w:t>(</w:t>
      </w:r>
      <w:r w:rsidRPr="002A1DFC">
        <w:rPr>
          <w:b/>
          <w:sz w:val="20"/>
          <w:szCs w:val="20"/>
          <w:lang w:val="en-US"/>
        </w:rPr>
        <w:t>s</w:t>
      </w:r>
      <w:r w:rsidR="00921920" w:rsidRPr="002A1DFC">
        <w:rPr>
          <w:b/>
          <w:sz w:val="20"/>
          <w:szCs w:val="20"/>
          <w:lang w:val="en-US"/>
        </w:rPr>
        <w:t>)</w:t>
      </w:r>
      <w:r w:rsidRPr="002A1DFC">
        <w:rPr>
          <w:sz w:val="20"/>
          <w:szCs w:val="20"/>
          <w:lang w:val="en-US"/>
        </w:rPr>
        <w:t xml:space="preserve">: </w:t>
      </w:r>
      <w:r w:rsidR="00A72D33" w:rsidRPr="002A1DFC">
        <w:rPr>
          <w:sz w:val="20"/>
          <w:szCs w:val="20"/>
          <w:lang w:val="en-US"/>
        </w:rPr>
        <w:t xml:space="preserve">R. </w:t>
      </w:r>
      <w:proofErr w:type="spellStart"/>
      <w:r w:rsidR="00A72D33" w:rsidRPr="002A1DFC">
        <w:rPr>
          <w:sz w:val="20"/>
          <w:szCs w:val="20"/>
          <w:lang w:val="en-US"/>
        </w:rPr>
        <w:t>Lantermann</w:t>
      </w:r>
      <w:proofErr w:type="spellEnd"/>
      <w:r w:rsidR="00133A51" w:rsidRPr="002A1DFC">
        <w:rPr>
          <w:sz w:val="20"/>
          <w:szCs w:val="20"/>
          <w:lang w:val="en-US"/>
        </w:rPr>
        <w:t xml:space="preserve"> examined the </w:t>
      </w:r>
      <w:r w:rsidR="00A72D33" w:rsidRPr="002A1DFC">
        <w:rPr>
          <w:sz w:val="20"/>
          <w:szCs w:val="20"/>
          <w:lang w:val="en-US"/>
        </w:rPr>
        <w:t xml:space="preserve">inhumation burials </w:t>
      </w:r>
      <w:r w:rsidR="00133A51" w:rsidRPr="002A1DFC">
        <w:rPr>
          <w:sz w:val="20"/>
          <w:szCs w:val="20"/>
          <w:lang w:val="en-US"/>
        </w:rPr>
        <w:t xml:space="preserve">no. </w:t>
      </w:r>
      <w:r w:rsidR="00A72D33" w:rsidRPr="002A1DFC">
        <w:rPr>
          <w:sz w:val="20"/>
          <w:szCs w:val="20"/>
          <w:lang w:val="en-US"/>
        </w:rPr>
        <w:t xml:space="preserve">1-153 in the scope of an unpublished </w:t>
      </w:r>
      <w:r w:rsidR="00133A51" w:rsidRPr="002A1DFC">
        <w:rPr>
          <w:sz w:val="20"/>
          <w:szCs w:val="20"/>
          <w:lang w:val="en-US"/>
        </w:rPr>
        <w:t>thesis</w:t>
      </w:r>
      <w:r w:rsidR="000A4473" w:rsidRPr="002A1DFC">
        <w:rPr>
          <w:sz w:val="20"/>
          <w:szCs w:val="20"/>
          <w:lang w:val="en-US"/>
        </w:rPr>
        <w:t xml:space="preserve"> </w:t>
      </w:r>
      <w:r w:rsidR="00407642" w:rsidRPr="002A1DFC">
        <w:rPr>
          <w:noProof/>
          <w:sz w:val="20"/>
          <w:szCs w:val="20"/>
          <w:lang w:val="en-US"/>
        </w:rPr>
        <w:t>(Lantermann 1980)</w:t>
      </w:r>
      <w:r w:rsidR="00133A51" w:rsidRPr="002A1DFC">
        <w:rPr>
          <w:sz w:val="20"/>
          <w:szCs w:val="20"/>
          <w:lang w:val="en-US"/>
        </w:rPr>
        <w:t xml:space="preserve">, and subsequently </w:t>
      </w:r>
      <w:r w:rsidR="00A72D33" w:rsidRPr="002A1DFC">
        <w:rPr>
          <w:sz w:val="20"/>
          <w:szCs w:val="20"/>
          <w:lang w:val="en-US"/>
        </w:rPr>
        <w:t xml:space="preserve">the inhumation burials </w:t>
      </w:r>
      <w:r w:rsidR="00133A51" w:rsidRPr="002A1DFC">
        <w:rPr>
          <w:sz w:val="20"/>
          <w:szCs w:val="20"/>
          <w:lang w:val="en-US"/>
        </w:rPr>
        <w:t xml:space="preserve">no. </w:t>
      </w:r>
      <w:r w:rsidR="00A72D33" w:rsidRPr="002A1DFC">
        <w:rPr>
          <w:sz w:val="20"/>
          <w:szCs w:val="20"/>
          <w:lang w:val="en-US"/>
        </w:rPr>
        <w:t xml:space="preserve">154-160 </w:t>
      </w:r>
      <w:r w:rsidR="00133A51" w:rsidRPr="002A1DFC">
        <w:rPr>
          <w:sz w:val="20"/>
          <w:szCs w:val="20"/>
          <w:lang w:val="en-US"/>
        </w:rPr>
        <w:t>as well as</w:t>
      </w:r>
      <w:r w:rsidR="00A72D33" w:rsidRPr="002A1DFC">
        <w:rPr>
          <w:sz w:val="20"/>
          <w:szCs w:val="20"/>
          <w:lang w:val="en-US"/>
        </w:rPr>
        <w:t xml:space="preserve"> </w:t>
      </w:r>
      <w:r w:rsidR="000A4473" w:rsidRPr="002A1DFC">
        <w:rPr>
          <w:sz w:val="20"/>
          <w:szCs w:val="20"/>
          <w:lang w:val="en-US"/>
        </w:rPr>
        <w:t xml:space="preserve">the </w:t>
      </w:r>
      <w:r w:rsidR="00A72D33" w:rsidRPr="002A1DFC">
        <w:rPr>
          <w:sz w:val="20"/>
          <w:szCs w:val="20"/>
          <w:lang w:val="en-US"/>
        </w:rPr>
        <w:t xml:space="preserve">cremation burials </w:t>
      </w:r>
      <w:r w:rsidR="00133A51" w:rsidRPr="002A1DFC">
        <w:rPr>
          <w:sz w:val="20"/>
          <w:szCs w:val="20"/>
          <w:lang w:val="en-US"/>
        </w:rPr>
        <w:t xml:space="preserve">no. </w:t>
      </w:r>
      <w:r w:rsidR="00A72D33" w:rsidRPr="002A1DFC">
        <w:rPr>
          <w:sz w:val="20"/>
          <w:szCs w:val="20"/>
          <w:lang w:val="en-US"/>
        </w:rPr>
        <w:t>161-229</w:t>
      </w:r>
      <w:r w:rsidR="0009776F" w:rsidRPr="002A1DFC">
        <w:rPr>
          <w:sz w:val="20"/>
          <w:szCs w:val="20"/>
          <w:lang w:val="en-US"/>
        </w:rPr>
        <w:t xml:space="preserve"> (accessible to </w:t>
      </w:r>
      <w:proofErr w:type="spellStart"/>
      <w:r w:rsidR="0009776F" w:rsidRPr="002A1DFC">
        <w:rPr>
          <w:sz w:val="20"/>
          <w:szCs w:val="20"/>
          <w:lang w:val="en-US"/>
        </w:rPr>
        <w:t>Nieszery</w:t>
      </w:r>
      <w:proofErr w:type="spellEnd"/>
      <w:r w:rsidR="0009776F" w:rsidRPr="002A1DFC">
        <w:rPr>
          <w:sz w:val="20"/>
          <w:szCs w:val="20"/>
          <w:lang w:val="en-US"/>
        </w:rPr>
        <w:t xml:space="preserve"> in an </w:t>
      </w:r>
      <w:r w:rsidR="00A72D33" w:rsidRPr="002A1DFC">
        <w:rPr>
          <w:sz w:val="20"/>
          <w:szCs w:val="20"/>
          <w:lang w:val="en-US"/>
        </w:rPr>
        <w:t xml:space="preserve">unpublished letter to </w:t>
      </w:r>
      <w:r w:rsidR="00E60B00" w:rsidRPr="002A1DFC">
        <w:rPr>
          <w:sz w:val="20"/>
          <w:szCs w:val="20"/>
          <w:lang w:val="en-US"/>
        </w:rPr>
        <w:t xml:space="preserve">the </w:t>
      </w:r>
      <w:proofErr w:type="spellStart"/>
      <w:r w:rsidR="00E60B00" w:rsidRPr="002A1DFC">
        <w:rPr>
          <w:i/>
          <w:sz w:val="20"/>
          <w:szCs w:val="20"/>
          <w:lang w:val="en-US"/>
        </w:rPr>
        <w:t>Bayerisches</w:t>
      </w:r>
      <w:proofErr w:type="spellEnd"/>
      <w:r w:rsidR="00E60B00" w:rsidRPr="002A1DFC">
        <w:rPr>
          <w:i/>
          <w:sz w:val="20"/>
          <w:szCs w:val="20"/>
          <w:lang w:val="en-US"/>
        </w:rPr>
        <w:t xml:space="preserve"> </w:t>
      </w:r>
      <w:proofErr w:type="spellStart"/>
      <w:r w:rsidR="00E60B00" w:rsidRPr="002A1DFC">
        <w:rPr>
          <w:i/>
          <w:sz w:val="20"/>
          <w:szCs w:val="20"/>
          <w:lang w:val="en-US"/>
        </w:rPr>
        <w:t>Landesamt</w:t>
      </w:r>
      <w:proofErr w:type="spellEnd"/>
      <w:r w:rsidR="00E60B00" w:rsidRPr="002A1DFC">
        <w:rPr>
          <w:i/>
          <w:sz w:val="20"/>
          <w:szCs w:val="20"/>
          <w:lang w:val="en-US"/>
        </w:rPr>
        <w:t xml:space="preserve"> </w:t>
      </w:r>
      <w:proofErr w:type="spellStart"/>
      <w:r w:rsidR="00E60B00" w:rsidRPr="002A1DFC">
        <w:rPr>
          <w:i/>
          <w:sz w:val="20"/>
          <w:szCs w:val="20"/>
          <w:lang w:val="en-US"/>
        </w:rPr>
        <w:t>für</w:t>
      </w:r>
      <w:proofErr w:type="spellEnd"/>
      <w:r w:rsidR="00E60B00" w:rsidRPr="002A1DFC">
        <w:rPr>
          <w:i/>
          <w:sz w:val="20"/>
          <w:szCs w:val="20"/>
          <w:lang w:val="en-US"/>
        </w:rPr>
        <w:t xml:space="preserve"> </w:t>
      </w:r>
      <w:proofErr w:type="spellStart"/>
      <w:r w:rsidR="00E60B00" w:rsidRPr="002A1DFC">
        <w:rPr>
          <w:i/>
          <w:sz w:val="20"/>
          <w:szCs w:val="20"/>
          <w:lang w:val="en-US"/>
        </w:rPr>
        <w:t>Denkmalpflege</w:t>
      </w:r>
      <w:proofErr w:type="spellEnd"/>
      <w:r w:rsidR="00E60B00" w:rsidRPr="002A1DFC">
        <w:rPr>
          <w:sz w:val="20"/>
          <w:szCs w:val="20"/>
          <w:lang w:val="en-US"/>
        </w:rPr>
        <w:t xml:space="preserve">, </w:t>
      </w:r>
      <w:proofErr w:type="spellStart"/>
      <w:r w:rsidR="00E60B00" w:rsidRPr="002A1DFC">
        <w:rPr>
          <w:i/>
          <w:sz w:val="20"/>
          <w:szCs w:val="20"/>
          <w:lang w:val="en-US"/>
        </w:rPr>
        <w:t>Außenstelle</w:t>
      </w:r>
      <w:proofErr w:type="spellEnd"/>
      <w:r w:rsidR="00E60B00" w:rsidRPr="002A1DFC">
        <w:rPr>
          <w:i/>
          <w:sz w:val="20"/>
          <w:szCs w:val="20"/>
          <w:lang w:val="en-US"/>
        </w:rPr>
        <w:t xml:space="preserve"> Regensburg</w:t>
      </w:r>
      <w:r w:rsidR="00E60B00" w:rsidRPr="002A1DFC">
        <w:rPr>
          <w:sz w:val="20"/>
          <w:szCs w:val="20"/>
          <w:lang w:val="en-US"/>
        </w:rPr>
        <w:t xml:space="preserve"> </w:t>
      </w:r>
      <w:r w:rsidR="000A4473" w:rsidRPr="002A1DFC">
        <w:rPr>
          <w:sz w:val="20"/>
          <w:szCs w:val="20"/>
          <w:lang w:val="en-US"/>
        </w:rPr>
        <w:t xml:space="preserve">of </w:t>
      </w:r>
      <w:r w:rsidR="00E60B00" w:rsidRPr="002A1DFC">
        <w:rPr>
          <w:sz w:val="20"/>
          <w:szCs w:val="20"/>
          <w:lang w:val="en-US"/>
        </w:rPr>
        <w:t>29.4.1990</w:t>
      </w:r>
      <w:r w:rsidR="0009776F" w:rsidRPr="002A1DFC">
        <w:rPr>
          <w:sz w:val="20"/>
          <w:szCs w:val="20"/>
          <w:lang w:val="en-US"/>
        </w:rPr>
        <w:t>)</w:t>
      </w:r>
      <w:r w:rsidR="00E60B00" w:rsidRPr="002A1DFC">
        <w:rPr>
          <w:sz w:val="20"/>
          <w:szCs w:val="20"/>
          <w:lang w:val="en-US"/>
        </w:rPr>
        <w:t xml:space="preserve">. </w:t>
      </w:r>
      <w:r w:rsidR="00142439">
        <w:rPr>
          <w:sz w:val="20"/>
          <w:szCs w:val="20"/>
          <w:lang w:val="en-US"/>
        </w:rPr>
        <w:t>Since</w:t>
      </w:r>
      <w:r w:rsidR="00142439" w:rsidRPr="002A1DFC">
        <w:rPr>
          <w:sz w:val="20"/>
          <w:szCs w:val="20"/>
          <w:lang w:val="en-US"/>
        </w:rPr>
        <w:t xml:space="preserve"> </w:t>
      </w:r>
      <w:r w:rsidR="00E60B00" w:rsidRPr="002A1DFC">
        <w:rPr>
          <w:sz w:val="20"/>
          <w:szCs w:val="20"/>
          <w:lang w:val="en-US"/>
        </w:rPr>
        <w:t xml:space="preserve">the archaeological </w:t>
      </w:r>
      <w:r w:rsidR="008F4666" w:rsidRPr="002A1DFC">
        <w:rPr>
          <w:sz w:val="20"/>
          <w:szCs w:val="20"/>
          <w:lang w:val="en-US"/>
        </w:rPr>
        <w:t>gender-determination</w:t>
      </w:r>
      <w:r w:rsidR="0009776F" w:rsidRPr="002A1DFC">
        <w:rPr>
          <w:sz w:val="20"/>
          <w:szCs w:val="20"/>
          <w:lang w:val="en-US"/>
        </w:rPr>
        <w:t xml:space="preserve">s </w:t>
      </w:r>
      <w:r w:rsidR="00E60B00" w:rsidRPr="002A1DFC">
        <w:rPr>
          <w:sz w:val="20"/>
          <w:szCs w:val="20"/>
          <w:lang w:val="en-US"/>
        </w:rPr>
        <w:t xml:space="preserve">and </w:t>
      </w:r>
      <w:proofErr w:type="spellStart"/>
      <w:r w:rsidR="0054427E" w:rsidRPr="002A1DFC">
        <w:rPr>
          <w:sz w:val="20"/>
          <w:szCs w:val="20"/>
          <w:lang w:val="en-US"/>
        </w:rPr>
        <w:t>Lantermann’s</w:t>
      </w:r>
      <w:proofErr w:type="spellEnd"/>
      <w:r w:rsidR="0054427E" w:rsidRPr="002A1DFC">
        <w:rPr>
          <w:sz w:val="20"/>
          <w:szCs w:val="20"/>
          <w:lang w:val="en-US"/>
        </w:rPr>
        <w:t xml:space="preserve"> </w:t>
      </w:r>
      <w:r w:rsidR="00133A51" w:rsidRPr="002A1DFC">
        <w:rPr>
          <w:sz w:val="20"/>
          <w:szCs w:val="20"/>
          <w:lang w:val="en-US"/>
        </w:rPr>
        <w:t xml:space="preserve">osteological </w:t>
      </w:r>
      <w:r w:rsidR="00E60B00" w:rsidRPr="002A1DFC">
        <w:rPr>
          <w:sz w:val="20"/>
          <w:szCs w:val="20"/>
          <w:lang w:val="en-US"/>
        </w:rPr>
        <w:t>sex</w:t>
      </w:r>
      <w:r w:rsidR="008F4666" w:rsidRPr="002A1DFC">
        <w:rPr>
          <w:sz w:val="20"/>
          <w:szCs w:val="20"/>
          <w:lang w:val="en-US"/>
        </w:rPr>
        <w:t>-</w:t>
      </w:r>
      <w:r w:rsidR="00E60B00" w:rsidRPr="002A1DFC">
        <w:rPr>
          <w:sz w:val="20"/>
          <w:szCs w:val="20"/>
          <w:lang w:val="en-US"/>
        </w:rPr>
        <w:t xml:space="preserve">determinations resulted in several contradictions, N. </w:t>
      </w:r>
      <w:proofErr w:type="spellStart"/>
      <w:r w:rsidR="00E60B00" w:rsidRPr="002A1DFC">
        <w:rPr>
          <w:sz w:val="20"/>
          <w:szCs w:val="20"/>
          <w:lang w:val="en-US"/>
        </w:rPr>
        <w:t>Nieszery</w:t>
      </w:r>
      <w:proofErr w:type="spellEnd"/>
      <w:r w:rsidR="00E60B00" w:rsidRPr="002A1DFC">
        <w:rPr>
          <w:sz w:val="20"/>
          <w:szCs w:val="20"/>
          <w:lang w:val="en-US"/>
        </w:rPr>
        <w:t xml:space="preserve"> commissioned </w:t>
      </w:r>
      <w:r w:rsidR="00432A98" w:rsidRPr="002A1DFC">
        <w:rPr>
          <w:sz w:val="20"/>
          <w:szCs w:val="20"/>
          <w:lang w:val="en-US"/>
        </w:rPr>
        <w:t xml:space="preserve">P. </w:t>
      </w:r>
      <w:proofErr w:type="spellStart"/>
      <w:r w:rsidR="00A72D33" w:rsidRPr="002A1DFC">
        <w:rPr>
          <w:sz w:val="20"/>
          <w:szCs w:val="20"/>
          <w:lang w:val="en-US"/>
        </w:rPr>
        <w:t>Schröter</w:t>
      </w:r>
      <w:proofErr w:type="spellEnd"/>
      <w:r w:rsidR="00E60B00" w:rsidRPr="002A1DFC">
        <w:rPr>
          <w:sz w:val="20"/>
          <w:szCs w:val="20"/>
          <w:lang w:val="en-US"/>
        </w:rPr>
        <w:t xml:space="preserve"> to review the </w:t>
      </w:r>
      <w:r w:rsidR="00133A51" w:rsidRPr="002A1DFC">
        <w:rPr>
          <w:sz w:val="20"/>
          <w:szCs w:val="20"/>
          <w:lang w:val="en-US"/>
        </w:rPr>
        <w:t xml:space="preserve">allegedly </w:t>
      </w:r>
      <w:r w:rsidR="00921920" w:rsidRPr="002A1DFC">
        <w:rPr>
          <w:sz w:val="20"/>
          <w:szCs w:val="20"/>
          <w:lang w:val="en-US"/>
        </w:rPr>
        <w:t>insecure</w:t>
      </w:r>
      <w:r w:rsidR="00E60B00" w:rsidRPr="002A1DFC">
        <w:rPr>
          <w:sz w:val="20"/>
          <w:szCs w:val="20"/>
          <w:lang w:val="en-US"/>
        </w:rPr>
        <w:t xml:space="preserve"> </w:t>
      </w:r>
      <w:r w:rsidR="009D7719" w:rsidRPr="002A1DFC">
        <w:rPr>
          <w:sz w:val="20"/>
          <w:szCs w:val="20"/>
          <w:lang w:val="en-US"/>
        </w:rPr>
        <w:t xml:space="preserve">osteological </w:t>
      </w:r>
      <w:r w:rsidR="00E60B00" w:rsidRPr="002A1DFC">
        <w:rPr>
          <w:sz w:val="20"/>
          <w:szCs w:val="20"/>
          <w:lang w:val="en-US"/>
        </w:rPr>
        <w:t xml:space="preserve">determinations. </w:t>
      </w:r>
      <w:proofErr w:type="spellStart"/>
      <w:r w:rsidR="00921920" w:rsidRPr="002A1DFC">
        <w:rPr>
          <w:sz w:val="20"/>
          <w:szCs w:val="20"/>
          <w:lang w:val="en-US"/>
        </w:rPr>
        <w:t>Nieszery</w:t>
      </w:r>
      <w:proofErr w:type="spellEnd"/>
      <w:r w:rsidR="00921920" w:rsidRPr="002A1DFC">
        <w:rPr>
          <w:sz w:val="20"/>
          <w:szCs w:val="20"/>
          <w:lang w:val="en-US"/>
        </w:rPr>
        <w:t xml:space="preserve"> indicates that </w:t>
      </w:r>
      <w:proofErr w:type="spellStart"/>
      <w:r w:rsidR="00921920" w:rsidRPr="002A1DFC">
        <w:rPr>
          <w:sz w:val="20"/>
          <w:szCs w:val="20"/>
          <w:lang w:val="en-US"/>
        </w:rPr>
        <w:t>Schröter</w:t>
      </w:r>
      <w:proofErr w:type="spellEnd"/>
      <w:r w:rsidR="00921920" w:rsidRPr="002A1DFC">
        <w:rPr>
          <w:sz w:val="20"/>
          <w:szCs w:val="20"/>
          <w:lang w:val="en-US"/>
        </w:rPr>
        <w:t xml:space="preserve"> was able to confirm some of the</w:t>
      </w:r>
      <w:r w:rsidR="007F3399" w:rsidRPr="002A1DFC">
        <w:rPr>
          <w:sz w:val="20"/>
          <w:szCs w:val="20"/>
          <w:lang w:val="en-US"/>
        </w:rPr>
        <w:t xml:space="preserve">se </w:t>
      </w:r>
      <w:r w:rsidR="00133A51" w:rsidRPr="002A1DFC">
        <w:rPr>
          <w:sz w:val="20"/>
          <w:szCs w:val="20"/>
          <w:lang w:val="en-US"/>
        </w:rPr>
        <w:t xml:space="preserve">‘problematic’ </w:t>
      </w:r>
      <w:r w:rsidR="007F3399" w:rsidRPr="002A1DFC">
        <w:rPr>
          <w:sz w:val="20"/>
          <w:szCs w:val="20"/>
          <w:lang w:val="en-US"/>
        </w:rPr>
        <w:t>determinations and</w:t>
      </w:r>
      <w:r w:rsidR="0054427E" w:rsidRPr="002A1DFC">
        <w:rPr>
          <w:sz w:val="20"/>
          <w:szCs w:val="20"/>
          <w:lang w:val="en-US"/>
        </w:rPr>
        <w:t xml:space="preserve"> to</w:t>
      </w:r>
      <w:r w:rsidR="007F3399" w:rsidRPr="002A1DFC">
        <w:rPr>
          <w:sz w:val="20"/>
          <w:szCs w:val="20"/>
          <w:lang w:val="en-US"/>
        </w:rPr>
        <w:t xml:space="preserve"> reject others</w:t>
      </w:r>
      <w:r w:rsidR="0009776F" w:rsidRPr="002A1DFC">
        <w:rPr>
          <w:sz w:val="20"/>
          <w:szCs w:val="20"/>
          <w:lang w:val="en-US"/>
        </w:rPr>
        <w:t xml:space="preserve">. The archaeologist finally privileged </w:t>
      </w:r>
      <w:proofErr w:type="spellStart"/>
      <w:r w:rsidR="0009776F" w:rsidRPr="002A1DFC">
        <w:rPr>
          <w:sz w:val="20"/>
          <w:szCs w:val="20"/>
          <w:lang w:val="en-US"/>
        </w:rPr>
        <w:t>Schröter’s</w:t>
      </w:r>
      <w:proofErr w:type="spellEnd"/>
      <w:r w:rsidR="0009776F" w:rsidRPr="002A1DFC">
        <w:rPr>
          <w:sz w:val="20"/>
          <w:szCs w:val="20"/>
          <w:lang w:val="en-US"/>
        </w:rPr>
        <w:t xml:space="preserve"> revised determinations over </w:t>
      </w:r>
      <w:proofErr w:type="spellStart"/>
      <w:r w:rsidR="0009776F" w:rsidRPr="002A1DFC">
        <w:rPr>
          <w:sz w:val="20"/>
          <w:szCs w:val="20"/>
          <w:lang w:val="en-US"/>
        </w:rPr>
        <w:t>Lantermann’s</w:t>
      </w:r>
      <w:proofErr w:type="spellEnd"/>
      <w:r w:rsidR="005E7B85" w:rsidRPr="002A1DFC">
        <w:rPr>
          <w:sz w:val="20"/>
          <w:szCs w:val="20"/>
          <w:lang w:val="en-US"/>
        </w:rPr>
        <w:t xml:space="preserve"> (i.e. for the burials n</w:t>
      </w:r>
      <w:r w:rsidR="006958E8" w:rsidRPr="002A1DFC">
        <w:rPr>
          <w:sz w:val="20"/>
          <w:szCs w:val="20"/>
          <w:lang w:val="en-US"/>
        </w:rPr>
        <w:t>o</w:t>
      </w:r>
      <w:r w:rsidR="005E7B85" w:rsidRPr="002A1DFC">
        <w:rPr>
          <w:sz w:val="20"/>
          <w:szCs w:val="20"/>
          <w:lang w:val="en-US"/>
        </w:rPr>
        <w:t>. 21, 26a, 36, 57, 64, 141, 149)</w:t>
      </w:r>
      <w:r w:rsidR="007F3399" w:rsidRPr="002A1DFC">
        <w:rPr>
          <w:sz w:val="20"/>
          <w:szCs w:val="20"/>
          <w:lang w:val="en-US"/>
        </w:rPr>
        <w:t>.</w:t>
      </w:r>
      <w:r w:rsidR="00432A98" w:rsidRPr="002A1DFC">
        <w:rPr>
          <w:sz w:val="20"/>
          <w:szCs w:val="20"/>
          <w:lang w:val="en-US"/>
        </w:rPr>
        <w:t xml:space="preserve"> Baum’s </w:t>
      </w:r>
      <w:r w:rsidR="00407642" w:rsidRPr="002A1DFC">
        <w:rPr>
          <w:noProof/>
          <w:sz w:val="20"/>
          <w:szCs w:val="20"/>
          <w:lang w:val="en-US"/>
        </w:rPr>
        <w:t>(1990)</w:t>
      </w:r>
      <w:r w:rsidR="004579F0" w:rsidRPr="002A1DFC">
        <w:rPr>
          <w:sz w:val="20"/>
          <w:szCs w:val="20"/>
          <w:lang w:val="en-US"/>
        </w:rPr>
        <w:t xml:space="preserve"> </w:t>
      </w:r>
      <w:r w:rsidR="00432A98" w:rsidRPr="002A1DFC">
        <w:rPr>
          <w:sz w:val="20"/>
          <w:szCs w:val="20"/>
          <w:lang w:val="en-US"/>
        </w:rPr>
        <w:t xml:space="preserve">published </w:t>
      </w:r>
      <w:proofErr w:type="spellStart"/>
      <w:r w:rsidR="00432A98" w:rsidRPr="002A1DFC">
        <w:rPr>
          <w:sz w:val="20"/>
          <w:szCs w:val="20"/>
          <w:lang w:val="en-US"/>
        </w:rPr>
        <w:t>paleodontological</w:t>
      </w:r>
      <w:proofErr w:type="spellEnd"/>
      <w:r w:rsidR="00432A98" w:rsidRPr="002A1DFC">
        <w:rPr>
          <w:sz w:val="20"/>
          <w:szCs w:val="20"/>
          <w:lang w:val="en-US"/>
        </w:rPr>
        <w:t xml:space="preserve"> study</w:t>
      </w:r>
      <w:r w:rsidR="00033190" w:rsidRPr="002A1DFC">
        <w:rPr>
          <w:sz w:val="20"/>
          <w:szCs w:val="20"/>
          <w:lang w:val="en-US"/>
        </w:rPr>
        <w:t xml:space="preserve"> (incl. a small </w:t>
      </w:r>
      <w:r w:rsidR="00E568D0" w:rsidRPr="002A1DFC">
        <w:rPr>
          <w:sz w:val="20"/>
          <w:szCs w:val="20"/>
          <w:lang w:val="en-US"/>
        </w:rPr>
        <w:t>inventory</w:t>
      </w:r>
      <w:r w:rsidR="00033190" w:rsidRPr="002A1DFC">
        <w:rPr>
          <w:sz w:val="20"/>
          <w:szCs w:val="20"/>
          <w:lang w:val="en-US"/>
        </w:rPr>
        <w:t xml:space="preserve"> with raw </w:t>
      </w:r>
      <w:r w:rsidR="0009776F" w:rsidRPr="002A1DFC">
        <w:rPr>
          <w:sz w:val="20"/>
          <w:szCs w:val="20"/>
          <w:lang w:val="en-US"/>
        </w:rPr>
        <w:t>data</w:t>
      </w:r>
      <w:r w:rsidR="00C828DD" w:rsidRPr="002A1DFC">
        <w:rPr>
          <w:sz w:val="20"/>
          <w:szCs w:val="20"/>
          <w:lang w:val="en-US"/>
        </w:rPr>
        <w:t>)</w:t>
      </w:r>
      <w:r w:rsidR="00B91A8E" w:rsidRPr="002A1DFC">
        <w:rPr>
          <w:sz w:val="20"/>
          <w:szCs w:val="20"/>
          <w:lang w:val="en-US"/>
        </w:rPr>
        <w:t xml:space="preserve"> featured</w:t>
      </w:r>
      <w:r w:rsidR="0009776F" w:rsidRPr="002A1DFC">
        <w:rPr>
          <w:sz w:val="20"/>
          <w:szCs w:val="20"/>
          <w:lang w:val="en-US"/>
        </w:rPr>
        <w:t xml:space="preserve"> </w:t>
      </w:r>
      <w:r w:rsidR="009D7719" w:rsidRPr="002A1DFC">
        <w:rPr>
          <w:sz w:val="20"/>
          <w:szCs w:val="20"/>
          <w:lang w:val="en-US"/>
        </w:rPr>
        <w:t xml:space="preserve">osteological </w:t>
      </w:r>
      <w:r w:rsidR="00B91A8E" w:rsidRPr="002A1DFC">
        <w:rPr>
          <w:sz w:val="20"/>
          <w:szCs w:val="20"/>
          <w:lang w:val="en-US"/>
        </w:rPr>
        <w:t xml:space="preserve">age and </w:t>
      </w:r>
      <w:r w:rsidR="008F4666" w:rsidRPr="002A1DFC">
        <w:rPr>
          <w:sz w:val="20"/>
          <w:szCs w:val="20"/>
          <w:lang w:val="en-US"/>
        </w:rPr>
        <w:t>sex-determination</w:t>
      </w:r>
      <w:r w:rsidR="00B91A8E" w:rsidRPr="002A1DFC">
        <w:rPr>
          <w:sz w:val="20"/>
          <w:szCs w:val="20"/>
          <w:lang w:val="en-US"/>
        </w:rPr>
        <w:t xml:space="preserve">s of the deceased individuals of </w:t>
      </w:r>
      <w:proofErr w:type="spellStart"/>
      <w:r w:rsidR="00B91A8E" w:rsidRPr="002A1DFC">
        <w:rPr>
          <w:sz w:val="20"/>
          <w:szCs w:val="20"/>
          <w:lang w:val="en-US"/>
        </w:rPr>
        <w:t>Aiterhofen-Ödmühle</w:t>
      </w:r>
      <w:proofErr w:type="spellEnd"/>
      <w:r w:rsidR="00B91A8E" w:rsidRPr="002A1DFC">
        <w:rPr>
          <w:sz w:val="20"/>
          <w:szCs w:val="20"/>
          <w:lang w:val="en-US"/>
        </w:rPr>
        <w:t>. Finally, M. Schultz</w:t>
      </w:r>
      <w:r w:rsidR="0009776F" w:rsidRPr="002A1DFC">
        <w:rPr>
          <w:sz w:val="20"/>
          <w:szCs w:val="20"/>
          <w:lang w:val="en-US"/>
        </w:rPr>
        <w:t>, who was charged with the paleopathological examination of the skeletal remains,</w:t>
      </w:r>
      <w:r w:rsidR="00B91A8E" w:rsidRPr="002A1DFC">
        <w:rPr>
          <w:sz w:val="20"/>
          <w:szCs w:val="20"/>
          <w:lang w:val="en-US"/>
        </w:rPr>
        <w:t xml:space="preserve"> </w:t>
      </w:r>
      <w:r w:rsidR="0009776F" w:rsidRPr="002A1DFC">
        <w:rPr>
          <w:sz w:val="20"/>
          <w:szCs w:val="20"/>
          <w:lang w:val="en-US"/>
        </w:rPr>
        <w:t xml:space="preserve">also </w:t>
      </w:r>
      <w:r w:rsidR="00B91A8E" w:rsidRPr="002A1DFC">
        <w:rPr>
          <w:sz w:val="20"/>
          <w:szCs w:val="20"/>
          <w:lang w:val="en-US"/>
        </w:rPr>
        <w:t>carried out sex and age estimat</w:t>
      </w:r>
      <w:r w:rsidR="0009776F" w:rsidRPr="002A1DFC">
        <w:rPr>
          <w:sz w:val="20"/>
          <w:szCs w:val="20"/>
          <w:lang w:val="en-US"/>
        </w:rPr>
        <w:t xml:space="preserve">ions, however only of a part of the skeletal collection, as some individuals had gone missing in spring of 1990 </w:t>
      </w:r>
      <w:r w:rsidR="00407642" w:rsidRPr="002A1DFC">
        <w:rPr>
          <w:noProof/>
          <w:sz w:val="20"/>
          <w:szCs w:val="20"/>
          <w:lang w:val="en-US"/>
        </w:rPr>
        <w:t>(Nieszery 1995</w:t>
      </w:r>
      <w:r w:rsidR="001659E5" w:rsidRPr="002A1DFC">
        <w:rPr>
          <w:noProof/>
          <w:sz w:val="20"/>
          <w:szCs w:val="20"/>
          <w:lang w:val="en-US"/>
        </w:rPr>
        <w:t>,</w:t>
      </w:r>
      <w:r w:rsidR="00407642" w:rsidRPr="002A1DFC">
        <w:rPr>
          <w:noProof/>
          <w:sz w:val="20"/>
          <w:szCs w:val="20"/>
          <w:lang w:val="en-US"/>
        </w:rPr>
        <w:t xml:space="preserve"> 91)</w:t>
      </w:r>
      <w:r w:rsidR="00B91A8E" w:rsidRPr="002A1DFC">
        <w:rPr>
          <w:sz w:val="20"/>
          <w:szCs w:val="20"/>
          <w:lang w:val="en-US"/>
        </w:rPr>
        <w:t xml:space="preserve">. </w:t>
      </w:r>
    </w:p>
    <w:p w14:paraId="7949FB2E" w14:textId="33C2CBC7" w:rsidR="00862D4B" w:rsidRPr="002A1DFC" w:rsidRDefault="008F4666" w:rsidP="00603C04">
      <w:pPr>
        <w:jc w:val="both"/>
        <w:rPr>
          <w:sz w:val="20"/>
          <w:szCs w:val="20"/>
          <w:lang w:val="en-US"/>
        </w:rPr>
      </w:pPr>
      <w:r w:rsidRPr="002A1DFC">
        <w:rPr>
          <w:b/>
          <w:sz w:val="20"/>
          <w:szCs w:val="20"/>
          <w:lang w:val="en-US"/>
        </w:rPr>
        <w:t>Sex-determination</w:t>
      </w:r>
      <w:r w:rsidR="00862D4B" w:rsidRPr="002A1DFC">
        <w:rPr>
          <w:b/>
          <w:sz w:val="20"/>
          <w:szCs w:val="20"/>
          <w:lang w:val="en-US"/>
        </w:rPr>
        <w:t xml:space="preserve"> methods:</w:t>
      </w:r>
      <w:r w:rsidR="00862D4B" w:rsidRPr="002A1DFC">
        <w:rPr>
          <w:sz w:val="20"/>
          <w:szCs w:val="20"/>
          <w:lang w:val="en-US"/>
        </w:rPr>
        <w:t xml:space="preserve"> </w:t>
      </w:r>
      <w:r w:rsidR="005E7B85" w:rsidRPr="002A1DFC">
        <w:rPr>
          <w:sz w:val="20"/>
          <w:szCs w:val="20"/>
          <w:lang w:val="en-US"/>
        </w:rPr>
        <w:t xml:space="preserve">The </w:t>
      </w:r>
      <w:r w:rsidRPr="002A1DFC">
        <w:rPr>
          <w:sz w:val="20"/>
          <w:szCs w:val="20"/>
          <w:lang w:val="en-US"/>
        </w:rPr>
        <w:t>sex-determination</w:t>
      </w:r>
      <w:r w:rsidR="005E7B85" w:rsidRPr="002A1DFC">
        <w:rPr>
          <w:sz w:val="20"/>
          <w:szCs w:val="20"/>
          <w:lang w:val="en-US"/>
        </w:rPr>
        <w:t xml:space="preserve"> methods applied to the </w:t>
      </w:r>
      <w:r w:rsidR="00CE0799">
        <w:rPr>
          <w:sz w:val="20"/>
          <w:szCs w:val="20"/>
          <w:lang w:val="en-US"/>
        </w:rPr>
        <w:t>skeletal collection</w:t>
      </w:r>
      <w:r w:rsidR="005E7B85" w:rsidRPr="002A1DFC">
        <w:rPr>
          <w:sz w:val="20"/>
          <w:szCs w:val="20"/>
          <w:lang w:val="en-US"/>
        </w:rPr>
        <w:t xml:space="preserve"> </w:t>
      </w:r>
      <w:r w:rsidR="00CE0799">
        <w:rPr>
          <w:sz w:val="20"/>
          <w:szCs w:val="20"/>
          <w:lang w:val="en-US"/>
        </w:rPr>
        <w:t xml:space="preserve">by </w:t>
      </w:r>
      <w:r w:rsidR="00CE0799" w:rsidRPr="002A1DFC">
        <w:rPr>
          <w:sz w:val="20"/>
          <w:szCs w:val="20"/>
          <w:lang w:val="en-US"/>
        </w:rPr>
        <w:t xml:space="preserve">R. </w:t>
      </w:r>
      <w:proofErr w:type="spellStart"/>
      <w:r w:rsidR="00CE0799" w:rsidRPr="002A1DFC">
        <w:rPr>
          <w:sz w:val="20"/>
          <w:szCs w:val="20"/>
          <w:lang w:val="en-US"/>
        </w:rPr>
        <w:t>Lantermann</w:t>
      </w:r>
      <w:proofErr w:type="spellEnd"/>
      <w:r w:rsidR="00CE0799" w:rsidRPr="002A1DFC">
        <w:rPr>
          <w:sz w:val="20"/>
          <w:szCs w:val="20"/>
          <w:lang w:val="en-US"/>
        </w:rPr>
        <w:t xml:space="preserve">, P. </w:t>
      </w:r>
      <w:proofErr w:type="spellStart"/>
      <w:r w:rsidR="00CE0799" w:rsidRPr="002A1DFC">
        <w:rPr>
          <w:sz w:val="20"/>
          <w:szCs w:val="20"/>
          <w:lang w:val="en-US"/>
        </w:rPr>
        <w:t>Schröter</w:t>
      </w:r>
      <w:proofErr w:type="spellEnd"/>
      <w:r w:rsidR="00CE0799" w:rsidRPr="002A1DFC">
        <w:rPr>
          <w:sz w:val="20"/>
          <w:szCs w:val="20"/>
          <w:lang w:val="en-US"/>
        </w:rPr>
        <w:t xml:space="preserve"> and M. Schultz </w:t>
      </w:r>
      <w:r w:rsidR="005E7B85" w:rsidRPr="002A1DFC">
        <w:rPr>
          <w:sz w:val="20"/>
          <w:szCs w:val="20"/>
          <w:lang w:val="en-US"/>
        </w:rPr>
        <w:t xml:space="preserve">are not indicated. N. Baum </w:t>
      </w:r>
      <w:r w:rsidR="00407642" w:rsidRPr="002A1DFC">
        <w:rPr>
          <w:noProof/>
          <w:sz w:val="20"/>
          <w:szCs w:val="20"/>
          <w:lang w:val="en-US"/>
        </w:rPr>
        <w:t>(1990</w:t>
      </w:r>
      <w:r w:rsidR="001659E5" w:rsidRPr="002A1DFC">
        <w:rPr>
          <w:noProof/>
          <w:sz w:val="20"/>
          <w:szCs w:val="20"/>
          <w:lang w:val="en-US"/>
        </w:rPr>
        <w:t>,</w:t>
      </w:r>
      <w:r w:rsidR="00407642" w:rsidRPr="002A1DFC">
        <w:rPr>
          <w:noProof/>
          <w:sz w:val="20"/>
          <w:szCs w:val="20"/>
          <w:lang w:val="en-US"/>
        </w:rPr>
        <w:t xml:space="preserve"> 175-181)</w:t>
      </w:r>
      <w:r w:rsidR="005E7B85" w:rsidRPr="002A1DFC">
        <w:rPr>
          <w:sz w:val="20"/>
          <w:szCs w:val="20"/>
          <w:lang w:val="en-US"/>
        </w:rPr>
        <w:t xml:space="preserve"> determined the sex of individuals based on the size </w:t>
      </w:r>
      <w:r w:rsidR="00CE0799">
        <w:rPr>
          <w:sz w:val="20"/>
          <w:szCs w:val="20"/>
          <w:lang w:val="en-US"/>
        </w:rPr>
        <w:t xml:space="preserve">of </w:t>
      </w:r>
      <w:r w:rsidR="005E7B85" w:rsidRPr="002A1DFC">
        <w:rPr>
          <w:sz w:val="20"/>
          <w:szCs w:val="20"/>
          <w:lang w:val="en-US"/>
        </w:rPr>
        <w:t>the dental crown and the petrous bone</w:t>
      </w:r>
      <w:r w:rsidR="00CE0799">
        <w:rPr>
          <w:sz w:val="20"/>
          <w:szCs w:val="20"/>
          <w:lang w:val="en-US"/>
        </w:rPr>
        <w:t>s</w:t>
      </w:r>
      <w:r w:rsidR="002467C5" w:rsidRPr="002A1DFC">
        <w:rPr>
          <w:sz w:val="20"/>
          <w:szCs w:val="20"/>
          <w:lang w:val="en-US"/>
        </w:rPr>
        <w:t xml:space="preserve"> </w:t>
      </w:r>
      <w:r w:rsidR="00407642" w:rsidRPr="002A1DFC">
        <w:rPr>
          <w:noProof/>
          <w:sz w:val="20"/>
          <w:szCs w:val="20"/>
          <w:lang w:val="en-US"/>
        </w:rPr>
        <w:t xml:space="preserve">(based on e.g. Wahl </w:t>
      </w:r>
      <w:r w:rsidR="001659E5" w:rsidRPr="002A1DFC">
        <w:rPr>
          <w:noProof/>
          <w:sz w:val="20"/>
          <w:szCs w:val="20"/>
          <w:lang w:val="en-US"/>
        </w:rPr>
        <w:t xml:space="preserve">&amp; </w:t>
      </w:r>
      <w:r w:rsidR="00407642" w:rsidRPr="002A1DFC">
        <w:rPr>
          <w:noProof/>
          <w:sz w:val="20"/>
          <w:szCs w:val="20"/>
          <w:lang w:val="en-US"/>
        </w:rPr>
        <w:t>Henke 1980)</w:t>
      </w:r>
      <w:r w:rsidR="001E78E5" w:rsidRPr="002A1DFC">
        <w:rPr>
          <w:sz w:val="20"/>
          <w:szCs w:val="20"/>
          <w:lang w:val="en-US"/>
        </w:rPr>
        <w:t xml:space="preserve"> of </w:t>
      </w:r>
      <w:r w:rsidR="00CE0799">
        <w:rPr>
          <w:sz w:val="20"/>
          <w:szCs w:val="20"/>
          <w:lang w:val="en-US"/>
        </w:rPr>
        <w:t xml:space="preserve">both, </w:t>
      </w:r>
      <w:r w:rsidR="001E78E5" w:rsidRPr="002A1DFC">
        <w:rPr>
          <w:sz w:val="20"/>
          <w:szCs w:val="20"/>
          <w:lang w:val="en-US"/>
        </w:rPr>
        <w:t>adult and non-adult individuals</w:t>
      </w:r>
      <w:r w:rsidR="005E7B85" w:rsidRPr="002A1DFC">
        <w:rPr>
          <w:sz w:val="20"/>
          <w:szCs w:val="20"/>
          <w:lang w:val="en-US"/>
        </w:rPr>
        <w:t>.</w:t>
      </w:r>
      <w:r w:rsidR="00C610A9" w:rsidRPr="002A1DFC">
        <w:rPr>
          <w:sz w:val="20"/>
          <w:szCs w:val="20"/>
          <w:lang w:val="en-US"/>
        </w:rPr>
        <w:t xml:space="preserve"> </w:t>
      </w:r>
      <w:r w:rsidR="00603C04" w:rsidRPr="002A1DFC">
        <w:rPr>
          <w:sz w:val="20"/>
          <w:szCs w:val="20"/>
          <w:lang w:val="en-US"/>
        </w:rPr>
        <w:t xml:space="preserve">Baum </w:t>
      </w:r>
      <w:r w:rsidR="00407642" w:rsidRPr="002A1DFC">
        <w:rPr>
          <w:noProof/>
          <w:sz w:val="20"/>
          <w:szCs w:val="20"/>
          <w:lang w:val="en-US"/>
        </w:rPr>
        <w:t>(1990</w:t>
      </w:r>
      <w:r w:rsidR="001659E5" w:rsidRPr="002A1DFC">
        <w:rPr>
          <w:noProof/>
          <w:sz w:val="20"/>
          <w:szCs w:val="20"/>
          <w:lang w:val="en-US"/>
        </w:rPr>
        <w:t>,</w:t>
      </w:r>
      <w:r w:rsidR="00407642" w:rsidRPr="002A1DFC">
        <w:rPr>
          <w:noProof/>
          <w:sz w:val="20"/>
          <w:szCs w:val="20"/>
          <w:lang w:val="en-US"/>
        </w:rPr>
        <w:t xml:space="preserve"> 176)</w:t>
      </w:r>
      <w:r w:rsidR="002467C5" w:rsidRPr="002A1DFC">
        <w:rPr>
          <w:sz w:val="20"/>
          <w:szCs w:val="20"/>
          <w:lang w:val="en-US"/>
        </w:rPr>
        <w:t xml:space="preserve"> </w:t>
      </w:r>
      <w:r w:rsidR="00CE0799">
        <w:rPr>
          <w:sz w:val="20"/>
          <w:szCs w:val="20"/>
          <w:lang w:val="en-US"/>
        </w:rPr>
        <w:t xml:space="preserve">further </w:t>
      </w:r>
      <w:r w:rsidR="007C006F" w:rsidRPr="002A1DFC">
        <w:rPr>
          <w:sz w:val="20"/>
          <w:szCs w:val="20"/>
          <w:lang w:val="en-US"/>
        </w:rPr>
        <w:t>refers to the presence of archaeological objects or object combination</w:t>
      </w:r>
      <w:r w:rsidR="00A31A72">
        <w:rPr>
          <w:sz w:val="20"/>
          <w:szCs w:val="20"/>
          <w:lang w:val="en-US"/>
        </w:rPr>
        <w:t>s</w:t>
      </w:r>
      <w:r w:rsidR="007C006F" w:rsidRPr="002A1DFC">
        <w:rPr>
          <w:sz w:val="20"/>
          <w:szCs w:val="20"/>
          <w:lang w:val="en-US"/>
        </w:rPr>
        <w:t xml:space="preserve"> </w:t>
      </w:r>
      <w:r w:rsidR="00603C04" w:rsidRPr="002A1DFC">
        <w:rPr>
          <w:sz w:val="20"/>
          <w:szCs w:val="20"/>
          <w:lang w:val="en-US"/>
        </w:rPr>
        <w:t>that could be considered</w:t>
      </w:r>
      <w:r w:rsidR="007C006F" w:rsidRPr="002A1DFC">
        <w:rPr>
          <w:sz w:val="20"/>
          <w:szCs w:val="20"/>
          <w:lang w:val="en-US"/>
        </w:rPr>
        <w:t xml:space="preserve"> </w:t>
      </w:r>
      <w:r w:rsidR="00DB54AE" w:rsidRPr="002A1DFC">
        <w:rPr>
          <w:sz w:val="20"/>
          <w:szCs w:val="20"/>
          <w:lang w:val="en-US"/>
        </w:rPr>
        <w:t xml:space="preserve">masculine </w:t>
      </w:r>
      <w:r w:rsidR="007C006F" w:rsidRPr="002A1DFC">
        <w:rPr>
          <w:sz w:val="20"/>
          <w:szCs w:val="20"/>
          <w:lang w:val="en-US"/>
        </w:rPr>
        <w:t xml:space="preserve">or </w:t>
      </w:r>
      <w:r w:rsidR="00DB54AE" w:rsidRPr="002A1DFC">
        <w:rPr>
          <w:sz w:val="20"/>
          <w:szCs w:val="20"/>
          <w:lang w:val="en-US"/>
        </w:rPr>
        <w:t xml:space="preserve">feminine </w:t>
      </w:r>
      <w:r w:rsidR="007C006F" w:rsidRPr="002A1DFC">
        <w:rPr>
          <w:sz w:val="20"/>
          <w:szCs w:val="20"/>
          <w:lang w:val="en-US"/>
        </w:rPr>
        <w:t xml:space="preserve">attributes. Baum </w:t>
      </w:r>
      <w:r w:rsidR="00407642" w:rsidRPr="002A1DFC">
        <w:rPr>
          <w:noProof/>
          <w:sz w:val="20"/>
          <w:szCs w:val="20"/>
          <w:lang w:val="en-US"/>
        </w:rPr>
        <w:t>(1990</w:t>
      </w:r>
      <w:r w:rsidR="001659E5" w:rsidRPr="002A1DFC">
        <w:rPr>
          <w:noProof/>
          <w:sz w:val="20"/>
          <w:szCs w:val="20"/>
          <w:lang w:val="en-US"/>
        </w:rPr>
        <w:t>,</w:t>
      </w:r>
      <w:r w:rsidR="00407642" w:rsidRPr="002A1DFC">
        <w:rPr>
          <w:noProof/>
          <w:sz w:val="20"/>
          <w:szCs w:val="20"/>
          <w:lang w:val="en-US"/>
        </w:rPr>
        <w:t xml:space="preserve"> 179, tab. 5)</w:t>
      </w:r>
      <w:r w:rsidR="007C006F" w:rsidRPr="002A1DFC">
        <w:rPr>
          <w:sz w:val="20"/>
          <w:szCs w:val="20"/>
          <w:lang w:val="en-US"/>
        </w:rPr>
        <w:t xml:space="preserve"> </w:t>
      </w:r>
      <w:r w:rsidR="00603C04" w:rsidRPr="002A1DFC">
        <w:rPr>
          <w:sz w:val="20"/>
          <w:szCs w:val="20"/>
          <w:lang w:val="en-US"/>
        </w:rPr>
        <w:t>compares the</w:t>
      </w:r>
      <w:r w:rsidR="007C006F" w:rsidRPr="002A1DFC">
        <w:rPr>
          <w:sz w:val="20"/>
          <w:szCs w:val="20"/>
          <w:lang w:val="en-US"/>
        </w:rPr>
        <w:t xml:space="preserve"> reliability </w:t>
      </w:r>
      <w:r w:rsidR="00603C04" w:rsidRPr="002A1DFC">
        <w:rPr>
          <w:sz w:val="20"/>
          <w:szCs w:val="20"/>
          <w:lang w:val="en-US"/>
        </w:rPr>
        <w:t xml:space="preserve">of </w:t>
      </w:r>
      <w:r w:rsidRPr="002A1DFC">
        <w:rPr>
          <w:sz w:val="20"/>
          <w:szCs w:val="20"/>
          <w:lang w:val="en-US"/>
        </w:rPr>
        <w:t>sex-determination</w:t>
      </w:r>
      <w:r w:rsidR="00603C04" w:rsidRPr="002A1DFC">
        <w:rPr>
          <w:sz w:val="20"/>
          <w:szCs w:val="20"/>
          <w:lang w:val="en-US"/>
        </w:rPr>
        <w:t>s achieved</w:t>
      </w:r>
      <w:r w:rsidR="007C006F" w:rsidRPr="002A1DFC">
        <w:rPr>
          <w:sz w:val="20"/>
          <w:szCs w:val="20"/>
          <w:lang w:val="en-US"/>
        </w:rPr>
        <w:t xml:space="preserve"> </w:t>
      </w:r>
      <w:r w:rsidR="00603C04" w:rsidRPr="002A1DFC">
        <w:rPr>
          <w:sz w:val="20"/>
          <w:szCs w:val="20"/>
          <w:lang w:val="en-US"/>
        </w:rPr>
        <w:t xml:space="preserve">with the </w:t>
      </w:r>
      <w:proofErr w:type="spellStart"/>
      <w:r w:rsidR="00603C04" w:rsidRPr="002A1DFC">
        <w:rPr>
          <w:sz w:val="20"/>
          <w:szCs w:val="20"/>
          <w:lang w:val="en-US"/>
        </w:rPr>
        <w:t>Aiterhofen</w:t>
      </w:r>
      <w:proofErr w:type="spellEnd"/>
      <w:r w:rsidR="00603C04" w:rsidRPr="002A1DFC">
        <w:rPr>
          <w:sz w:val="20"/>
          <w:szCs w:val="20"/>
          <w:lang w:val="en-US"/>
        </w:rPr>
        <w:t xml:space="preserve">-population by means of </w:t>
      </w:r>
      <w:r w:rsidR="007C006F" w:rsidRPr="002A1DFC">
        <w:rPr>
          <w:sz w:val="20"/>
          <w:szCs w:val="20"/>
          <w:lang w:val="en-US"/>
        </w:rPr>
        <w:t xml:space="preserve">different methods: </w:t>
      </w:r>
      <w:r w:rsidR="00603C04" w:rsidRPr="002A1DFC">
        <w:rPr>
          <w:sz w:val="20"/>
          <w:szCs w:val="20"/>
          <w:lang w:val="en-US"/>
        </w:rPr>
        <w:t>‘morphological-anthropological’</w:t>
      </w:r>
      <w:r w:rsidR="007C006F" w:rsidRPr="002A1DFC">
        <w:rPr>
          <w:sz w:val="20"/>
          <w:szCs w:val="20"/>
          <w:lang w:val="en-US"/>
        </w:rPr>
        <w:t xml:space="preserve"> sex</w:t>
      </w:r>
      <w:r w:rsidR="00CE0799">
        <w:rPr>
          <w:sz w:val="20"/>
          <w:szCs w:val="20"/>
          <w:lang w:val="en-US"/>
        </w:rPr>
        <w:t>-</w:t>
      </w:r>
      <w:r w:rsidR="007C006F" w:rsidRPr="002A1DFC">
        <w:rPr>
          <w:sz w:val="20"/>
          <w:szCs w:val="20"/>
          <w:lang w:val="en-US"/>
        </w:rPr>
        <w:t>est</w:t>
      </w:r>
      <w:r w:rsidR="00603C04" w:rsidRPr="002A1DFC">
        <w:rPr>
          <w:sz w:val="20"/>
          <w:szCs w:val="20"/>
          <w:lang w:val="en-US"/>
        </w:rPr>
        <w:t>imation</w:t>
      </w:r>
      <w:r w:rsidR="007C006F" w:rsidRPr="002A1DFC">
        <w:rPr>
          <w:sz w:val="20"/>
          <w:szCs w:val="20"/>
          <w:lang w:val="en-US"/>
        </w:rPr>
        <w:t xml:space="preserve"> </w:t>
      </w:r>
      <w:r w:rsidR="0065470A" w:rsidRPr="002A1DFC">
        <w:rPr>
          <w:sz w:val="20"/>
          <w:szCs w:val="20"/>
          <w:lang w:val="en-US"/>
        </w:rPr>
        <w:t>(</w:t>
      </w:r>
      <w:r w:rsidR="007C006F" w:rsidRPr="002A1DFC">
        <w:rPr>
          <w:sz w:val="20"/>
          <w:szCs w:val="20"/>
          <w:lang w:val="en-US"/>
        </w:rPr>
        <w:t>87.0%</w:t>
      </w:r>
      <w:r w:rsidR="0065470A" w:rsidRPr="002A1DFC">
        <w:rPr>
          <w:sz w:val="20"/>
          <w:szCs w:val="20"/>
          <w:lang w:val="en-US"/>
        </w:rPr>
        <w:t>),</w:t>
      </w:r>
      <w:r w:rsidR="007C006F" w:rsidRPr="002A1DFC">
        <w:rPr>
          <w:sz w:val="20"/>
          <w:szCs w:val="20"/>
          <w:lang w:val="en-US"/>
        </w:rPr>
        <w:t xml:space="preserve"> </w:t>
      </w:r>
      <w:proofErr w:type="spellStart"/>
      <w:r w:rsidR="007C006F" w:rsidRPr="002A1DFC">
        <w:rPr>
          <w:sz w:val="20"/>
          <w:szCs w:val="20"/>
          <w:lang w:val="en-US"/>
        </w:rPr>
        <w:t>odontological</w:t>
      </w:r>
      <w:proofErr w:type="spellEnd"/>
      <w:r w:rsidR="007C006F" w:rsidRPr="002A1DFC">
        <w:rPr>
          <w:sz w:val="20"/>
          <w:szCs w:val="20"/>
          <w:lang w:val="en-US"/>
        </w:rPr>
        <w:t xml:space="preserve"> sex</w:t>
      </w:r>
      <w:r w:rsidR="00CE0799">
        <w:rPr>
          <w:sz w:val="20"/>
          <w:szCs w:val="20"/>
          <w:lang w:val="en-US"/>
        </w:rPr>
        <w:t>-</w:t>
      </w:r>
      <w:r w:rsidR="00603C04" w:rsidRPr="002A1DFC">
        <w:rPr>
          <w:sz w:val="20"/>
          <w:szCs w:val="20"/>
          <w:lang w:val="en-US"/>
        </w:rPr>
        <w:t>estimation</w:t>
      </w:r>
      <w:r w:rsidR="007C006F" w:rsidRPr="002A1DFC">
        <w:rPr>
          <w:sz w:val="20"/>
          <w:szCs w:val="20"/>
          <w:lang w:val="en-US"/>
        </w:rPr>
        <w:t xml:space="preserve"> </w:t>
      </w:r>
      <w:r w:rsidR="0065470A" w:rsidRPr="002A1DFC">
        <w:rPr>
          <w:sz w:val="20"/>
          <w:szCs w:val="20"/>
          <w:lang w:val="en-US"/>
        </w:rPr>
        <w:t>(</w:t>
      </w:r>
      <w:r w:rsidR="007C006F" w:rsidRPr="002A1DFC">
        <w:rPr>
          <w:sz w:val="20"/>
          <w:szCs w:val="20"/>
          <w:lang w:val="en-US"/>
        </w:rPr>
        <w:t>87.1%</w:t>
      </w:r>
      <w:r w:rsidR="0065470A" w:rsidRPr="002A1DFC">
        <w:rPr>
          <w:sz w:val="20"/>
          <w:szCs w:val="20"/>
          <w:lang w:val="en-US"/>
        </w:rPr>
        <w:t>),</w:t>
      </w:r>
      <w:r w:rsidR="007C006F" w:rsidRPr="002A1DFC">
        <w:rPr>
          <w:sz w:val="20"/>
          <w:szCs w:val="20"/>
          <w:lang w:val="en-US"/>
        </w:rPr>
        <w:t xml:space="preserve"> sex</w:t>
      </w:r>
      <w:r w:rsidR="00CE0799">
        <w:rPr>
          <w:sz w:val="20"/>
          <w:szCs w:val="20"/>
          <w:lang w:val="en-US"/>
        </w:rPr>
        <w:t>-</w:t>
      </w:r>
      <w:r w:rsidR="00603C04" w:rsidRPr="002A1DFC">
        <w:rPr>
          <w:sz w:val="20"/>
          <w:szCs w:val="20"/>
          <w:lang w:val="en-US"/>
        </w:rPr>
        <w:t>estimation</w:t>
      </w:r>
      <w:r w:rsidR="007C006F" w:rsidRPr="002A1DFC">
        <w:rPr>
          <w:sz w:val="20"/>
          <w:szCs w:val="20"/>
          <w:lang w:val="en-US"/>
        </w:rPr>
        <w:t xml:space="preserve"> based on</w:t>
      </w:r>
      <w:r w:rsidR="00603C04" w:rsidRPr="002A1DFC">
        <w:rPr>
          <w:sz w:val="20"/>
          <w:szCs w:val="20"/>
          <w:lang w:val="en-US"/>
        </w:rPr>
        <w:t xml:space="preserve"> </w:t>
      </w:r>
      <w:r w:rsidR="007C006F" w:rsidRPr="002A1DFC">
        <w:rPr>
          <w:sz w:val="20"/>
          <w:szCs w:val="20"/>
          <w:lang w:val="en-US"/>
        </w:rPr>
        <w:t>petrous bone</w:t>
      </w:r>
      <w:r w:rsidR="00603C04" w:rsidRPr="002A1DFC">
        <w:rPr>
          <w:sz w:val="20"/>
          <w:szCs w:val="20"/>
          <w:lang w:val="en-US"/>
        </w:rPr>
        <w:t>s</w:t>
      </w:r>
      <w:r w:rsidR="0065470A" w:rsidRPr="002A1DFC">
        <w:rPr>
          <w:sz w:val="20"/>
          <w:szCs w:val="20"/>
          <w:lang w:val="en-US"/>
        </w:rPr>
        <w:t xml:space="preserve"> (</w:t>
      </w:r>
      <w:r w:rsidR="007C006F" w:rsidRPr="002A1DFC">
        <w:rPr>
          <w:sz w:val="20"/>
          <w:szCs w:val="20"/>
          <w:lang w:val="en-US"/>
        </w:rPr>
        <w:t>84.6%</w:t>
      </w:r>
      <w:r w:rsidR="0065470A" w:rsidRPr="002A1DFC">
        <w:rPr>
          <w:sz w:val="20"/>
          <w:szCs w:val="20"/>
          <w:lang w:val="en-US"/>
        </w:rPr>
        <w:t>),</w:t>
      </w:r>
      <w:r w:rsidR="007C006F" w:rsidRPr="002A1DFC">
        <w:rPr>
          <w:sz w:val="20"/>
          <w:szCs w:val="20"/>
          <w:lang w:val="en-US"/>
        </w:rPr>
        <w:t xml:space="preserve"> and archaeological </w:t>
      </w:r>
      <w:r w:rsidR="0065470A" w:rsidRPr="002A1DFC">
        <w:rPr>
          <w:sz w:val="20"/>
          <w:szCs w:val="20"/>
          <w:lang w:val="en-US"/>
        </w:rPr>
        <w:t>‘</w:t>
      </w:r>
      <w:r w:rsidR="007C006F" w:rsidRPr="002A1DFC">
        <w:rPr>
          <w:sz w:val="20"/>
          <w:szCs w:val="20"/>
          <w:lang w:val="en-US"/>
        </w:rPr>
        <w:t>sex</w:t>
      </w:r>
      <w:r w:rsidR="0065470A" w:rsidRPr="002A1DFC">
        <w:rPr>
          <w:sz w:val="20"/>
          <w:szCs w:val="20"/>
          <w:lang w:val="en-US"/>
        </w:rPr>
        <w:t>’</w:t>
      </w:r>
      <w:r w:rsidR="007C006F" w:rsidRPr="002A1DFC">
        <w:rPr>
          <w:sz w:val="20"/>
          <w:szCs w:val="20"/>
          <w:lang w:val="en-US"/>
        </w:rPr>
        <w:t xml:space="preserve"> estimat</w:t>
      </w:r>
      <w:r w:rsidR="00603C04" w:rsidRPr="002A1DFC">
        <w:rPr>
          <w:sz w:val="20"/>
          <w:szCs w:val="20"/>
          <w:lang w:val="en-US"/>
        </w:rPr>
        <w:t>ion</w:t>
      </w:r>
      <w:r w:rsidR="0065470A" w:rsidRPr="002A1DFC">
        <w:rPr>
          <w:sz w:val="20"/>
          <w:szCs w:val="20"/>
          <w:lang w:val="en-US"/>
        </w:rPr>
        <w:t xml:space="preserve"> (</w:t>
      </w:r>
      <w:r w:rsidR="007C006F" w:rsidRPr="002A1DFC">
        <w:rPr>
          <w:sz w:val="20"/>
          <w:szCs w:val="20"/>
          <w:lang w:val="en-US"/>
        </w:rPr>
        <w:t>97.4%</w:t>
      </w:r>
      <w:r w:rsidR="0065470A" w:rsidRPr="002A1DFC">
        <w:rPr>
          <w:sz w:val="20"/>
          <w:szCs w:val="20"/>
          <w:lang w:val="en-US"/>
        </w:rPr>
        <w:t>)</w:t>
      </w:r>
      <w:r w:rsidR="007C006F" w:rsidRPr="002A1DFC">
        <w:rPr>
          <w:sz w:val="20"/>
          <w:szCs w:val="20"/>
          <w:lang w:val="en-US"/>
        </w:rPr>
        <w:t>.</w:t>
      </w:r>
      <w:r w:rsidR="002467C5" w:rsidRPr="002A1DFC">
        <w:rPr>
          <w:sz w:val="20"/>
          <w:szCs w:val="20"/>
          <w:lang w:val="en-US"/>
        </w:rPr>
        <w:t xml:space="preserve"> </w:t>
      </w:r>
      <w:r w:rsidR="00CE0799">
        <w:rPr>
          <w:sz w:val="20"/>
          <w:szCs w:val="20"/>
          <w:lang w:val="en-US"/>
        </w:rPr>
        <w:t xml:space="preserve">It is not clear on what these </w:t>
      </w:r>
      <w:r w:rsidR="00A31A72">
        <w:rPr>
          <w:sz w:val="20"/>
          <w:szCs w:val="20"/>
          <w:lang w:val="en-US"/>
        </w:rPr>
        <w:t>figures</w:t>
      </w:r>
      <w:r w:rsidR="00CE0799">
        <w:rPr>
          <w:sz w:val="20"/>
          <w:szCs w:val="20"/>
          <w:lang w:val="en-US"/>
        </w:rPr>
        <w:t xml:space="preserve"> are based. </w:t>
      </w:r>
    </w:p>
    <w:p w14:paraId="2635FEDC" w14:textId="62FE129D" w:rsidR="00862D4B" w:rsidRPr="002A1DFC" w:rsidRDefault="009D7719" w:rsidP="0052045B">
      <w:pPr>
        <w:jc w:val="both"/>
        <w:rPr>
          <w:sz w:val="20"/>
          <w:szCs w:val="20"/>
          <w:lang w:val="en-US"/>
        </w:rPr>
      </w:pPr>
      <w:r w:rsidRPr="002A1DFC">
        <w:rPr>
          <w:b/>
          <w:sz w:val="20"/>
          <w:szCs w:val="20"/>
          <w:lang w:val="en-US"/>
        </w:rPr>
        <w:t xml:space="preserve">Osteological </w:t>
      </w:r>
      <w:r w:rsidR="00862D4B" w:rsidRPr="002A1DFC">
        <w:rPr>
          <w:b/>
          <w:sz w:val="20"/>
          <w:szCs w:val="20"/>
          <w:lang w:val="en-US"/>
        </w:rPr>
        <w:t>data-analyses</w:t>
      </w:r>
      <w:r w:rsidR="00862D4B" w:rsidRPr="002A1DFC">
        <w:rPr>
          <w:sz w:val="20"/>
          <w:szCs w:val="20"/>
          <w:lang w:val="en-US"/>
        </w:rPr>
        <w:t xml:space="preserve">: </w:t>
      </w:r>
      <w:proofErr w:type="spellStart"/>
      <w:r w:rsidR="002467C5" w:rsidRPr="002A1DFC">
        <w:rPr>
          <w:sz w:val="20"/>
          <w:szCs w:val="20"/>
          <w:lang w:val="en-US"/>
        </w:rPr>
        <w:t>Nieszery</w:t>
      </w:r>
      <w:proofErr w:type="spellEnd"/>
      <w:r w:rsidR="002467C5" w:rsidRPr="002A1DFC">
        <w:rPr>
          <w:sz w:val="20"/>
          <w:szCs w:val="20"/>
          <w:lang w:val="en-US"/>
        </w:rPr>
        <w:t xml:space="preserve"> indicate</w:t>
      </w:r>
      <w:r w:rsidR="0009776F" w:rsidRPr="002A1DFC">
        <w:rPr>
          <w:sz w:val="20"/>
          <w:szCs w:val="20"/>
          <w:lang w:val="en-US"/>
        </w:rPr>
        <w:t>s</w:t>
      </w:r>
      <w:r w:rsidR="002467C5" w:rsidRPr="002A1DFC">
        <w:rPr>
          <w:sz w:val="20"/>
          <w:szCs w:val="20"/>
          <w:lang w:val="en-US"/>
        </w:rPr>
        <w:t xml:space="preserve"> the existing </w:t>
      </w:r>
      <w:r w:rsidRPr="002A1DFC">
        <w:rPr>
          <w:sz w:val="20"/>
          <w:szCs w:val="20"/>
          <w:lang w:val="en-US"/>
        </w:rPr>
        <w:t xml:space="preserve">osteological </w:t>
      </w:r>
      <w:r w:rsidR="002467C5" w:rsidRPr="002A1DFC">
        <w:rPr>
          <w:sz w:val="20"/>
          <w:szCs w:val="20"/>
          <w:lang w:val="en-US"/>
        </w:rPr>
        <w:t>sex estimates</w:t>
      </w:r>
      <w:r w:rsidR="00E26895" w:rsidRPr="002A1DFC">
        <w:rPr>
          <w:sz w:val="20"/>
          <w:szCs w:val="20"/>
          <w:lang w:val="en-US"/>
        </w:rPr>
        <w:t xml:space="preserve"> (</w:t>
      </w:r>
      <w:proofErr w:type="spellStart"/>
      <w:r w:rsidR="00E26895" w:rsidRPr="002A1DFC">
        <w:rPr>
          <w:sz w:val="20"/>
          <w:szCs w:val="20"/>
          <w:lang w:val="en-US"/>
        </w:rPr>
        <w:t>Lantermann</w:t>
      </w:r>
      <w:proofErr w:type="spellEnd"/>
      <w:r w:rsidR="00E26895" w:rsidRPr="002A1DFC">
        <w:rPr>
          <w:sz w:val="20"/>
          <w:szCs w:val="20"/>
          <w:lang w:val="en-US"/>
        </w:rPr>
        <w:t>, Baum and Schultz)</w:t>
      </w:r>
      <w:r w:rsidR="002467C5" w:rsidRPr="002A1DFC">
        <w:rPr>
          <w:sz w:val="20"/>
          <w:szCs w:val="20"/>
          <w:lang w:val="en-US"/>
        </w:rPr>
        <w:t xml:space="preserve"> in the description of the single burials </w:t>
      </w:r>
      <w:r w:rsidR="005924C3" w:rsidRPr="002A1DFC">
        <w:rPr>
          <w:sz w:val="20"/>
          <w:szCs w:val="20"/>
          <w:lang w:val="en-US"/>
        </w:rPr>
        <w:t>within an</w:t>
      </w:r>
      <w:r w:rsidR="002467C5" w:rsidRPr="002A1DFC">
        <w:rPr>
          <w:sz w:val="20"/>
          <w:szCs w:val="20"/>
          <w:lang w:val="en-US"/>
        </w:rPr>
        <w:t xml:space="preserve"> </w:t>
      </w:r>
      <w:r w:rsidR="00603C04" w:rsidRPr="002A1DFC">
        <w:rPr>
          <w:sz w:val="20"/>
          <w:szCs w:val="20"/>
          <w:lang w:val="en-US"/>
        </w:rPr>
        <w:t>inventory</w:t>
      </w:r>
      <w:r w:rsidR="002467C5" w:rsidRPr="002A1DFC">
        <w:rPr>
          <w:sz w:val="20"/>
          <w:szCs w:val="20"/>
          <w:lang w:val="en-US"/>
        </w:rPr>
        <w:t xml:space="preserve">. Except for </w:t>
      </w:r>
      <w:r w:rsidR="001E78E5" w:rsidRPr="002A1DFC">
        <w:rPr>
          <w:sz w:val="20"/>
          <w:szCs w:val="20"/>
          <w:lang w:val="en-US"/>
        </w:rPr>
        <w:t xml:space="preserve">a short annex section </w:t>
      </w:r>
      <w:r w:rsidR="00407642" w:rsidRPr="002A1DFC">
        <w:rPr>
          <w:noProof/>
          <w:sz w:val="20"/>
          <w:szCs w:val="20"/>
          <w:lang w:val="en-US"/>
        </w:rPr>
        <w:t>(Carli-Thiele, W.-R. Teegen and M. Schultz in Nieszery 1995</w:t>
      </w:r>
      <w:r w:rsidR="001659E5" w:rsidRPr="002A1DFC">
        <w:rPr>
          <w:noProof/>
          <w:sz w:val="20"/>
          <w:szCs w:val="20"/>
          <w:lang w:val="en-US"/>
        </w:rPr>
        <w:t>,</w:t>
      </w:r>
      <w:r w:rsidR="00407642" w:rsidRPr="002A1DFC">
        <w:rPr>
          <w:noProof/>
          <w:sz w:val="20"/>
          <w:szCs w:val="20"/>
          <w:lang w:val="en-US"/>
        </w:rPr>
        <w:t xml:space="preserve"> 235-239)</w:t>
      </w:r>
      <w:r w:rsidR="001E78E5" w:rsidRPr="002A1DFC">
        <w:rPr>
          <w:sz w:val="20"/>
          <w:szCs w:val="20"/>
          <w:lang w:val="en-US"/>
        </w:rPr>
        <w:t xml:space="preserve"> regarding the pathological analyses of the skeletal collection, none of the </w:t>
      </w:r>
      <w:r w:rsidRPr="002A1DFC">
        <w:rPr>
          <w:sz w:val="20"/>
          <w:szCs w:val="20"/>
          <w:lang w:val="en-US"/>
        </w:rPr>
        <w:t xml:space="preserve">osteological </w:t>
      </w:r>
      <w:r w:rsidR="001E78E5" w:rsidRPr="002A1DFC">
        <w:rPr>
          <w:sz w:val="20"/>
          <w:szCs w:val="20"/>
          <w:lang w:val="en-US"/>
        </w:rPr>
        <w:t xml:space="preserve">analyses </w:t>
      </w:r>
      <w:r w:rsidR="00603C04" w:rsidRPr="002A1DFC">
        <w:rPr>
          <w:sz w:val="20"/>
          <w:szCs w:val="20"/>
          <w:lang w:val="en-US"/>
        </w:rPr>
        <w:t>and</w:t>
      </w:r>
      <w:r w:rsidR="001E78E5" w:rsidRPr="002A1DFC">
        <w:rPr>
          <w:sz w:val="20"/>
          <w:szCs w:val="20"/>
          <w:lang w:val="en-US"/>
        </w:rPr>
        <w:t xml:space="preserve"> raw data </w:t>
      </w:r>
      <w:r w:rsidR="00FB1998" w:rsidRPr="002A1DFC">
        <w:rPr>
          <w:sz w:val="20"/>
          <w:szCs w:val="20"/>
          <w:lang w:val="en-US"/>
        </w:rPr>
        <w:t>are</w:t>
      </w:r>
      <w:r w:rsidR="001E78E5" w:rsidRPr="002A1DFC">
        <w:rPr>
          <w:sz w:val="20"/>
          <w:szCs w:val="20"/>
          <w:lang w:val="en-US"/>
        </w:rPr>
        <w:t xml:space="preserve"> accessible. N. Baum’s analyses and raw data are elaborated in a separate publication </w:t>
      </w:r>
      <w:r w:rsidR="00407642" w:rsidRPr="002A1DFC">
        <w:rPr>
          <w:noProof/>
          <w:sz w:val="20"/>
          <w:szCs w:val="20"/>
          <w:lang w:val="en-US"/>
        </w:rPr>
        <w:t>(1990)</w:t>
      </w:r>
      <w:r w:rsidR="001E78E5" w:rsidRPr="002A1DFC">
        <w:rPr>
          <w:sz w:val="20"/>
          <w:szCs w:val="20"/>
          <w:lang w:val="en-US"/>
        </w:rPr>
        <w:t xml:space="preserve">. Given the new </w:t>
      </w:r>
      <w:proofErr w:type="spellStart"/>
      <w:r w:rsidR="001E78E5" w:rsidRPr="002A1DFC">
        <w:rPr>
          <w:sz w:val="20"/>
          <w:szCs w:val="20"/>
          <w:lang w:val="en-US"/>
        </w:rPr>
        <w:t>odontological</w:t>
      </w:r>
      <w:proofErr w:type="spellEnd"/>
      <w:r w:rsidR="001E78E5" w:rsidRPr="002A1DFC">
        <w:rPr>
          <w:sz w:val="20"/>
          <w:szCs w:val="20"/>
          <w:lang w:val="en-US"/>
        </w:rPr>
        <w:t xml:space="preserve"> </w:t>
      </w:r>
      <w:r w:rsidR="008F4666" w:rsidRPr="002A1DFC">
        <w:rPr>
          <w:sz w:val="20"/>
          <w:szCs w:val="20"/>
          <w:lang w:val="en-US"/>
        </w:rPr>
        <w:t>sex-determination</w:t>
      </w:r>
      <w:r w:rsidR="001E78E5" w:rsidRPr="002A1DFC">
        <w:rPr>
          <w:sz w:val="20"/>
          <w:szCs w:val="20"/>
          <w:lang w:val="en-US"/>
        </w:rPr>
        <w:t xml:space="preserve"> method </w:t>
      </w:r>
      <w:r w:rsidR="00851676">
        <w:rPr>
          <w:sz w:val="20"/>
          <w:szCs w:val="20"/>
          <w:lang w:val="en-US"/>
        </w:rPr>
        <w:t>(</w:t>
      </w:r>
      <w:r w:rsidR="001E78E5" w:rsidRPr="002A1DFC">
        <w:rPr>
          <w:sz w:val="20"/>
          <w:szCs w:val="20"/>
          <w:lang w:val="en-US"/>
        </w:rPr>
        <w:t>used by N. Baum</w:t>
      </w:r>
      <w:r w:rsidR="00851676">
        <w:rPr>
          <w:sz w:val="20"/>
          <w:szCs w:val="20"/>
          <w:lang w:val="en-US"/>
        </w:rPr>
        <w:t>)</w:t>
      </w:r>
      <w:r w:rsidR="001E78E5" w:rsidRPr="002A1DFC">
        <w:rPr>
          <w:sz w:val="20"/>
          <w:szCs w:val="20"/>
          <w:lang w:val="en-US"/>
        </w:rPr>
        <w:t xml:space="preserve"> had not been sufficiently tested on broader skeletal series, </w:t>
      </w:r>
      <w:proofErr w:type="spellStart"/>
      <w:r w:rsidR="001E78E5" w:rsidRPr="002A1DFC">
        <w:rPr>
          <w:sz w:val="20"/>
          <w:szCs w:val="20"/>
          <w:lang w:val="en-US"/>
        </w:rPr>
        <w:t>Nieszery</w:t>
      </w:r>
      <w:proofErr w:type="spellEnd"/>
      <w:r w:rsidR="001E78E5" w:rsidRPr="002A1DFC">
        <w:rPr>
          <w:sz w:val="20"/>
          <w:szCs w:val="20"/>
          <w:lang w:val="en-US"/>
        </w:rPr>
        <w:t xml:space="preserve"> did not </w:t>
      </w:r>
      <w:r w:rsidR="00C828DD" w:rsidRPr="002A1DFC">
        <w:rPr>
          <w:sz w:val="20"/>
          <w:szCs w:val="20"/>
          <w:lang w:val="en-US"/>
        </w:rPr>
        <w:t>take</w:t>
      </w:r>
      <w:r w:rsidR="001E78E5" w:rsidRPr="002A1DFC">
        <w:rPr>
          <w:sz w:val="20"/>
          <w:szCs w:val="20"/>
          <w:lang w:val="en-US"/>
        </w:rPr>
        <w:t xml:space="preserve"> these data </w:t>
      </w:r>
      <w:r w:rsidR="00C828DD" w:rsidRPr="002A1DFC">
        <w:rPr>
          <w:sz w:val="20"/>
          <w:szCs w:val="20"/>
          <w:lang w:val="en-US"/>
        </w:rPr>
        <w:t>in</w:t>
      </w:r>
      <w:r w:rsidR="00636B95" w:rsidRPr="002A1DFC">
        <w:rPr>
          <w:sz w:val="20"/>
          <w:szCs w:val="20"/>
          <w:lang w:val="en-US"/>
        </w:rPr>
        <w:t>to</w:t>
      </w:r>
      <w:r w:rsidR="00C828DD" w:rsidRPr="002A1DFC">
        <w:rPr>
          <w:sz w:val="20"/>
          <w:szCs w:val="20"/>
          <w:lang w:val="en-US"/>
        </w:rPr>
        <w:t xml:space="preserve"> account </w:t>
      </w:r>
      <w:r w:rsidR="001E78E5" w:rsidRPr="002A1DFC">
        <w:rPr>
          <w:sz w:val="20"/>
          <w:szCs w:val="20"/>
          <w:lang w:val="en-US"/>
        </w:rPr>
        <w:t>in</w:t>
      </w:r>
      <w:r w:rsidR="005924C3" w:rsidRPr="002A1DFC">
        <w:rPr>
          <w:sz w:val="20"/>
          <w:szCs w:val="20"/>
          <w:lang w:val="en-US"/>
        </w:rPr>
        <w:t xml:space="preserve"> the</w:t>
      </w:r>
      <w:r w:rsidR="001E78E5" w:rsidRPr="002A1DFC">
        <w:rPr>
          <w:sz w:val="20"/>
          <w:szCs w:val="20"/>
          <w:lang w:val="en-US"/>
        </w:rPr>
        <w:t xml:space="preserve"> analyses </w:t>
      </w:r>
      <w:r w:rsidR="00407642" w:rsidRPr="002A1DFC">
        <w:rPr>
          <w:noProof/>
          <w:sz w:val="20"/>
          <w:szCs w:val="20"/>
          <w:lang w:val="en-US"/>
        </w:rPr>
        <w:t>(Nieszery 1995</w:t>
      </w:r>
      <w:r w:rsidR="001659E5" w:rsidRPr="002A1DFC">
        <w:rPr>
          <w:noProof/>
          <w:sz w:val="20"/>
          <w:szCs w:val="20"/>
          <w:lang w:val="en-US"/>
        </w:rPr>
        <w:t>,</w:t>
      </w:r>
      <w:r w:rsidR="00407642" w:rsidRPr="002A1DFC">
        <w:rPr>
          <w:noProof/>
          <w:sz w:val="20"/>
          <w:szCs w:val="20"/>
          <w:lang w:val="en-US"/>
        </w:rPr>
        <w:t xml:space="preserve"> 91)</w:t>
      </w:r>
      <w:r w:rsidR="001E78E5" w:rsidRPr="002A1DFC">
        <w:rPr>
          <w:sz w:val="20"/>
          <w:szCs w:val="20"/>
          <w:lang w:val="en-US"/>
        </w:rPr>
        <w:t>.</w:t>
      </w:r>
      <w:r w:rsidR="00CE30BD" w:rsidRPr="002A1DFC">
        <w:rPr>
          <w:sz w:val="20"/>
          <w:szCs w:val="20"/>
          <w:lang w:val="en-US"/>
        </w:rPr>
        <w:t xml:space="preserve"> </w:t>
      </w:r>
      <w:r w:rsidR="00EE3181">
        <w:rPr>
          <w:sz w:val="20"/>
          <w:szCs w:val="20"/>
          <w:lang w:val="en-US"/>
        </w:rPr>
        <w:t>While</w:t>
      </w:r>
      <w:r w:rsidR="00CE30BD" w:rsidRPr="002A1DFC">
        <w:rPr>
          <w:sz w:val="20"/>
          <w:szCs w:val="20"/>
          <w:lang w:val="en-US"/>
        </w:rPr>
        <w:t xml:space="preserve"> </w:t>
      </w:r>
      <w:proofErr w:type="spellStart"/>
      <w:r w:rsidR="00CE30BD" w:rsidRPr="002A1DFC">
        <w:rPr>
          <w:sz w:val="20"/>
          <w:szCs w:val="20"/>
          <w:lang w:val="en-US"/>
        </w:rPr>
        <w:t>Nieszery</w:t>
      </w:r>
      <w:proofErr w:type="spellEnd"/>
      <w:r w:rsidR="00CE30BD" w:rsidRPr="002A1DFC">
        <w:rPr>
          <w:sz w:val="20"/>
          <w:szCs w:val="20"/>
          <w:lang w:val="en-US"/>
        </w:rPr>
        <w:t xml:space="preserve"> mainly uses </w:t>
      </w:r>
      <w:proofErr w:type="spellStart"/>
      <w:r w:rsidR="00CE30BD" w:rsidRPr="002A1DFC">
        <w:rPr>
          <w:sz w:val="20"/>
          <w:szCs w:val="20"/>
          <w:lang w:val="en-US"/>
        </w:rPr>
        <w:t>Lantermann’s</w:t>
      </w:r>
      <w:proofErr w:type="spellEnd"/>
      <w:r w:rsidR="00CE30BD" w:rsidRPr="002A1DFC">
        <w:rPr>
          <w:sz w:val="20"/>
          <w:szCs w:val="20"/>
          <w:lang w:val="en-US"/>
        </w:rPr>
        <w:t xml:space="preserve"> data (revised by </w:t>
      </w:r>
      <w:proofErr w:type="spellStart"/>
      <w:r w:rsidR="00CE30BD" w:rsidRPr="002A1DFC">
        <w:rPr>
          <w:sz w:val="20"/>
          <w:szCs w:val="20"/>
          <w:lang w:val="en-US"/>
        </w:rPr>
        <w:t>Schröter</w:t>
      </w:r>
      <w:proofErr w:type="spellEnd"/>
      <w:r w:rsidR="00CE30BD" w:rsidRPr="002A1DFC">
        <w:rPr>
          <w:sz w:val="20"/>
          <w:szCs w:val="20"/>
          <w:lang w:val="en-US"/>
        </w:rPr>
        <w:t>),</w:t>
      </w:r>
      <w:r w:rsidR="00EE3181">
        <w:rPr>
          <w:sz w:val="20"/>
          <w:szCs w:val="20"/>
          <w:lang w:val="en-US"/>
        </w:rPr>
        <w:t xml:space="preserve"> </w:t>
      </w:r>
      <w:r w:rsidR="00CB6B3E">
        <w:rPr>
          <w:sz w:val="20"/>
          <w:szCs w:val="20"/>
          <w:lang w:val="en-US"/>
        </w:rPr>
        <w:t xml:space="preserve">the study by </w:t>
      </w:r>
      <w:r w:rsidR="00EE3181" w:rsidRPr="002A1DFC">
        <w:rPr>
          <w:sz w:val="20"/>
          <w:szCs w:val="20"/>
          <w:lang w:val="en-US"/>
        </w:rPr>
        <w:t xml:space="preserve">Hofmann et al. </w:t>
      </w:r>
      <w:r w:rsidR="00EE3181" w:rsidRPr="002A1DFC">
        <w:rPr>
          <w:noProof/>
          <w:sz w:val="20"/>
          <w:szCs w:val="20"/>
          <w:lang w:val="en-US"/>
        </w:rPr>
        <w:t>(2013, 222-229</w:t>
      </w:r>
      <w:r w:rsidR="00CB6B3E">
        <w:rPr>
          <w:noProof/>
          <w:sz w:val="20"/>
          <w:szCs w:val="20"/>
          <w:lang w:val="en-US"/>
        </w:rPr>
        <w:t xml:space="preserve">, </w:t>
      </w:r>
      <w:proofErr w:type="spellStart"/>
      <w:r w:rsidR="00CB6B3E" w:rsidRPr="002A1DFC">
        <w:rPr>
          <w:sz w:val="20"/>
          <w:szCs w:val="20"/>
          <w:lang w:val="en-US"/>
        </w:rPr>
        <w:t>focus</w:t>
      </w:r>
      <w:r w:rsidR="00CB6B3E">
        <w:rPr>
          <w:sz w:val="20"/>
          <w:szCs w:val="20"/>
          <w:lang w:val="en-US"/>
        </w:rPr>
        <w:t>sing</w:t>
      </w:r>
      <w:proofErr w:type="spellEnd"/>
      <w:r w:rsidR="00CB6B3E" w:rsidRPr="002A1DFC">
        <w:rPr>
          <w:sz w:val="20"/>
          <w:szCs w:val="20"/>
          <w:lang w:val="en-US"/>
        </w:rPr>
        <w:t xml:space="preserve"> on stable isotope analyses</w:t>
      </w:r>
      <w:r w:rsidR="00EE3181" w:rsidRPr="002A1DFC">
        <w:rPr>
          <w:noProof/>
          <w:sz w:val="20"/>
          <w:szCs w:val="20"/>
          <w:lang w:val="en-US"/>
        </w:rPr>
        <w:t>)</w:t>
      </w:r>
      <w:r w:rsidR="00EE3181">
        <w:rPr>
          <w:noProof/>
          <w:sz w:val="20"/>
          <w:szCs w:val="20"/>
          <w:lang w:val="en-US"/>
        </w:rPr>
        <w:t xml:space="preserve"> use</w:t>
      </w:r>
      <w:r w:rsidR="00CB6B3E">
        <w:rPr>
          <w:noProof/>
          <w:sz w:val="20"/>
          <w:szCs w:val="20"/>
          <w:lang w:val="en-US"/>
        </w:rPr>
        <w:t>s</w:t>
      </w:r>
      <w:r w:rsidR="00EE3181">
        <w:rPr>
          <w:noProof/>
          <w:sz w:val="20"/>
          <w:szCs w:val="20"/>
          <w:lang w:val="en-US"/>
        </w:rPr>
        <w:t xml:space="preserve"> all</w:t>
      </w:r>
      <w:r w:rsidR="00CB6B3E">
        <w:rPr>
          <w:noProof/>
          <w:sz w:val="20"/>
          <w:szCs w:val="20"/>
          <w:lang w:val="en-US"/>
        </w:rPr>
        <w:t xml:space="preserve"> available determinations according to a ‘priority list’: they first use Lantermann’s data; if Lantermann did not provide a determination for a certain individuals, they use Baum and Schultz’s</w:t>
      </w:r>
      <w:r w:rsidR="00CB6B3E">
        <w:rPr>
          <w:sz w:val="20"/>
          <w:szCs w:val="20"/>
          <w:lang w:val="en-US"/>
        </w:rPr>
        <w:t>.</w:t>
      </w:r>
      <w:r w:rsidR="00CE30BD" w:rsidRPr="002A1DFC">
        <w:rPr>
          <w:sz w:val="20"/>
          <w:szCs w:val="20"/>
          <w:lang w:val="en-US"/>
        </w:rPr>
        <w:t xml:space="preserve"> </w:t>
      </w:r>
      <w:r w:rsidR="00CB6B3E">
        <w:rPr>
          <w:sz w:val="20"/>
          <w:szCs w:val="20"/>
          <w:lang w:val="en-US"/>
        </w:rPr>
        <w:t>Hofmann et al.</w:t>
      </w:r>
      <w:r w:rsidR="00CE30BD" w:rsidRPr="002A1DFC">
        <w:rPr>
          <w:sz w:val="20"/>
          <w:szCs w:val="20"/>
          <w:lang w:val="en-US"/>
        </w:rPr>
        <w:t xml:space="preserve"> further partially combine the existing estimates by adjusting the</w:t>
      </w:r>
      <w:r w:rsidR="00BD3793" w:rsidRPr="002A1DFC">
        <w:rPr>
          <w:sz w:val="20"/>
          <w:szCs w:val="20"/>
          <w:lang w:val="en-US"/>
        </w:rPr>
        <w:t>ir</w:t>
      </w:r>
      <w:r w:rsidR="00CE30BD" w:rsidRPr="002A1DFC">
        <w:rPr>
          <w:sz w:val="20"/>
          <w:szCs w:val="20"/>
          <w:lang w:val="en-US"/>
        </w:rPr>
        <w:t xml:space="preserve"> reliability </w:t>
      </w:r>
      <w:r w:rsidR="00AA1D7D" w:rsidRPr="002A1DFC">
        <w:rPr>
          <w:sz w:val="20"/>
          <w:szCs w:val="20"/>
          <w:lang w:val="en-US"/>
        </w:rPr>
        <w:t>categor</w:t>
      </w:r>
      <w:r w:rsidR="00BD3793" w:rsidRPr="002A1DFC">
        <w:rPr>
          <w:sz w:val="20"/>
          <w:szCs w:val="20"/>
          <w:lang w:val="en-US"/>
        </w:rPr>
        <w:t>ies</w:t>
      </w:r>
      <w:r w:rsidR="00AA1D7D" w:rsidRPr="002A1DFC">
        <w:rPr>
          <w:sz w:val="20"/>
          <w:szCs w:val="20"/>
          <w:lang w:val="en-US"/>
        </w:rPr>
        <w:t>.</w:t>
      </w:r>
      <w:r w:rsidR="00CE30BD" w:rsidRPr="002A1DFC">
        <w:rPr>
          <w:sz w:val="20"/>
          <w:szCs w:val="20"/>
          <w:lang w:val="en-US"/>
        </w:rPr>
        <w:t xml:space="preserve"> Burial </w:t>
      </w:r>
      <w:r w:rsidR="00BD3793" w:rsidRPr="002A1DFC">
        <w:rPr>
          <w:sz w:val="20"/>
          <w:szCs w:val="20"/>
          <w:lang w:val="en-US"/>
        </w:rPr>
        <w:t xml:space="preserve">no. </w:t>
      </w:r>
      <w:r w:rsidR="00CE30BD" w:rsidRPr="002A1DFC">
        <w:rPr>
          <w:sz w:val="20"/>
          <w:szCs w:val="20"/>
          <w:lang w:val="en-US"/>
        </w:rPr>
        <w:t>76 is a good example</w:t>
      </w:r>
      <w:r w:rsidR="00471B08" w:rsidRPr="002A1DFC">
        <w:rPr>
          <w:sz w:val="20"/>
          <w:szCs w:val="20"/>
          <w:lang w:val="en-US"/>
        </w:rPr>
        <w:t xml:space="preserve"> </w:t>
      </w:r>
      <w:r w:rsidR="009E2BE0" w:rsidRPr="002A1DFC">
        <w:rPr>
          <w:sz w:val="20"/>
          <w:szCs w:val="20"/>
          <w:lang w:val="en-US"/>
        </w:rPr>
        <w:t>for</w:t>
      </w:r>
      <w:r w:rsidR="00CE30BD" w:rsidRPr="002A1DFC">
        <w:rPr>
          <w:sz w:val="20"/>
          <w:szCs w:val="20"/>
          <w:lang w:val="en-US"/>
        </w:rPr>
        <w:t xml:space="preserve"> </w:t>
      </w:r>
      <w:r w:rsidR="00AA1D7D" w:rsidRPr="002A1DFC">
        <w:rPr>
          <w:sz w:val="20"/>
          <w:szCs w:val="20"/>
          <w:lang w:val="en-US"/>
        </w:rPr>
        <w:t>this procedure</w:t>
      </w:r>
      <w:r w:rsidR="00CE30BD" w:rsidRPr="002A1DFC">
        <w:rPr>
          <w:sz w:val="20"/>
          <w:szCs w:val="20"/>
          <w:lang w:val="en-US"/>
        </w:rPr>
        <w:t xml:space="preserve">: </w:t>
      </w:r>
      <w:proofErr w:type="spellStart"/>
      <w:r w:rsidR="00CE30BD" w:rsidRPr="002A1DFC">
        <w:rPr>
          <w:sz w:val="20"/>
          <w:szCs w:val="20"/>
          <w:lang w:val="en-US"/>
        </w:rPr>
        <w:t>Lantermann’s</w:t>
      </w:r>
      <w:proofErr w:type="spellEnd"/>
      <w:r w:rsidR="00CE30BD" w:rsidRPr="002A1DFC">
        <w:rPr>
          <w:sz w:val="20"/>
          <w:szCs w:val="20"/>
          <w:lang w:val="en-US"/>
        </w:rPr>
        <w:t xml:space="preserve"> </w:t>
      </w:r>
      <w:r w:rsidR="008F4666" w:rsidRPr="002A1DFC">
        <w:rPr>
          <w:sz w:val="20"/>
          <w:szCs w:val="20"/>
          <w:lang w:val="en-US"/>
        </w:rPr>
        <w:t>sex-determination</w:t>
      </w:r>
      <w:r w:rsidR="00CE30BD" w:rsidRPr="002A1DFC">
        <w:rPr>
          <w:sz w:val="20"/>
          <w:szCs w:val="20"/>
          <w:lang w:val="en-US"/>
        </w:rPr>
        <w:t xml:space="preserve"> resulted in </w:t>
      </w:r>
      <w:r w:rsidR="00BD3793" w:rsidRPr="002A1DFC">
        <w:rPr>
          <w:sz w:val="20"/>
          <w:szCs w:val="20"/>
          <w:lang w:val="en-US"/>
        </w:rPr>
        <w:t>‘</w:t>
      </w:r>
      <w:r w:rsidR="00CE30BD" w:rsidRPr="002A1DFC">
        <w:rPr>
          <w:sz w:val="20"/>
          <w:szCs w:val="20"/>
          <w:lang w:val="en-US"/>
        </w:rPr>
        <w:t>indeterminate</w:t>
      </w:r>
      <w:r w:rsidR="00BD3793" w:rsidRPr="002A1DFC">
        <w:rPr>
          <w:sz w:val="20"/>
          <w:szCs w:val="20"/>
          <w:lang w:val="en-US"/>
        </w:rPr>
        <w:t>’</w:t>
      </w:r>
      <w:r w:rsidR="00CE30BD" w:rsidRPr="002A1DFC">
        <w:rPr>
          <w:sz w:val="20"/>
          <w:szCs w:val="20"/>
          <w:lang w:val="en-US"/>
        </w:rPr>
        <w:t xml:space="preserve">, Baum’s in </w:t>
      </w:r>
      <w:r w:rsidR="00BD3793" w:rsidRPr="002A1DFC">
        <w:rPr>
          <w:sz w:val="20"/>
          <w:szCs w:val="20"/>
          <w:lang w:val="en-US"/>
        </w:rPr>
        <w:t>‘</w:t>
      </w:r>
      <w:r w:rsidR="00CE30BD" w:rsidRPr="002A1DFC">
        <w:rPr>
          <w:sz w:val="20"/>
          <w:szCs w:val="20"/>
          <w:lang w:val="en-US"/>
        </w:rPr>
        <w:t>female</w:t>
      </w:r>
      <w:r w:rsidR="00BD3793" w:rsidRPr="002A1DFC">
        <w:rPr>
          <w:sz w:val="20"/>
          <w:szCs w:val="20"/>
          <w:lang w:val="en-US"/>
        </w:rPr>
        <w:t>’</w:t>
      </w:r>
      <w:r w:rsidR="00CE30BD" w:rsidRPr="002A1DFC">
        <w:rPr>
          <w:sz w:val="20"/>
          <w:szCs w:val="20"/>
          <w:lang w:val="en-US"/>
        </w:rPr>
        <w:t xml:space="preserve">, Schultz’s in </w:t>
      </w:r>
      <w:r w:rsidR="00BD3793" w:rsidRPr="002A1DFC">
        <w:rPr>
          <w:sz w:val="20"/>
          <w:szCs w:val="20"/>
          <w:lang w:val="en-US"/>
        </w:rPr>
        <w:t>‘</w:t>
      </w:r>
      <w:r w:rsidR="00AA1D7D" w:rsidRPr="002A1DFC">
        <w:rPr>
          <w:sz w:val="20"/>
          <w:szCs w:val="20"/>
          <w:lang w:val="en-US"/>
        </w:rPr>
        <w:t>woman??</w:t>
      </w:r>
      <w:r w:rsidR="00BD3793" w:rsidRPr="002A1DFC">
        <w:rPr>
          <w:sz w:val="20"/>
          <w:szCs w:val="20"/>
          <w:lang w:val="en-US"/>
        </w:rPr>
        <w:t xml:space="preserve">’, and Hofmann et al. </w:t>
      </w:r>
      <w:r w:rsidR="00AA1D7D" w:rsidRPr="002A1DFC">
        <w:rPr>
          <w:sz w:val="20"/>
          <w:szCs w:val="20"/>
          <w:lang w:val="en-US"/>
        </w:rPr>
        <w:t xml:space="preserve">indicate </w:t>
      </w:r>
      <w:r w:rsidR="00BD3793" w:rsidRPr="002A1DFC">
        <w:rPr>
          <w:sz w:val="20"/>
          <w:szCs w:val="20"/>
          <w:lang w:val="en-US"/>
        </w:rPr>
        <w:t>‘</w:t>
      </w:r>
      <w:r w:rsidR="00AA1D7D" w:rsidRPr="002A1DFC">
        <w:rPr>
          <w:sz w:val="20"/>
          <w:szCs w:val="20"/>
          <w:lang w:val="en-US"/>
        </w:rPr>
        <w:t>F?</w:t>
      </w:r>
      <w:r w:rsidR="00BD3793" w:rsidRPr="002A1DFC">
        <w:rPr>
          <w:sz w:val="20"/>
          <w:szCs w:val="20"/>
          <w:lang w:val="en-US"/>
        </w:rPr>
        <w:t xml:space="preserve">’ </w:t>
      </w:r>
      <w:r w:rsidR="00407642" w:rsidRPr="002A1DFC">
        <w:rPr>
          <w:noProof/>
          <w:sz w:val="20"/>
          <w:szCs w:val="20"/>
          <w:lang w:val="en-US"/>
        </w:rPr>
        <w:t xml:space="preserve">(Hofmann </w:t>
      </w:r>
      <w:r w:rsidR="00407642" w:rsidRPr="00CA6877">
        <w:rPr>
          <w:i/>
          <w:noProof/>
          <w:sz w:val="20"/>
          <w:szCs w:val="20"/>
          <w:lang w:val="en-US"/>
        </w:rPr>
        <w:t>et al.</w:t>
      </w:r>
      <w:r w:rsidR="00407642" w:rsidRPr="002A1DFC">
        <w:rPr>
          <w:noProof/>
          <w:sz w:val="20"/>
          <w:szCs w:val="20"/>
          <w:lang w:val="en-US"/>
        </w:rPr>
        <w:t xml:space="preserve"> 2013</w:t>
      </w:r>
      <w:r w:rsidR="001659E5" w:rsidRPr="002A1DFC">
        <w:rPr>
          <w:noProof/>
          <w:sz w:val="20"/>
          <w:szCs w:val="20"/>
          <w:lang w:val="en-US"/>
        </w:rPr>
        <w:t>,</w:t>
      </w:r>
      <w:r w:rsidR="00407642" w:rsidRPr="002A1DFC">
        <w:rPr>
          <w:noProof/>
          <w:sz w:val="20"/>
          <w:szCs w:val="20"/>
          <w:lang w:val="en-US"/>
        </w:rPr>
        <w:t xml:space="preserve"> 224)</w:t>
      </w:r>
      <w:r w:rsidR="00AA1D7D" w:rsidRPr="002A1DFC">
        <w:rPr>
          <w:sz w:val="20"/>
          <w:szCs w:val="20"/>
          <w:lang w:val="en-US"/>
        </w:rPr>
        <w:t xml:space="preserve">. </w:t>
      </w:r>
    </w:p>
    <w:p w14:paraId="5DE64C12" w14:textId="72EA2137" w:rsidR="00B14FA6" w:rsidRPr="002A1DFC" w:rsidRDefault="008F4666" w:rsidP="00B26B70">
      <w:pPr>
        <w:jc w:val="both"/>
        <w:rPr>
          <w:sz w:val="20"/>
          <w:szCs w:val="20"/>
          <w:lang w:val="en-US"/>
        </w:rPr>
      </w:pPr>
      <w:r w:rsidRPr="002A1DFC">
        <w:rPr>
          <w:b/>
          <w:sz w:val="20"/>
          <w:szCs w:val="20"/>
          <w:lang w:val="en-US"/>
        </w:rPr>
        <w:t>Gender-determination</w:t>
      </w:r>
      <w:r w:rsidR="00862D4B" w:rsidRPr="002A1DFC">
        <w:rPr>
          <w:b/>
          <w:sz w:val="20"/>
          <w:szCs w:val="20"/>
          <w:lang w:val="en-US"/>
        </w:rPr>
        <w:t xml:space="preserve"> methods</w:t>
      </w:r>
      <w:r w:rsidR="00862D4B" w:rsidRPr="002A1DFC">
        <w:rPr>
          <w:sz w:val="20"/>
          <w:szCs w:val="20"/>
          <w:lang w:val="en-US"/>
        </w:rPr>
        <w:t>:</w:t>
      </w:r>
      <w:r w:rsidR="009B275A" w:rsidRPr="002A1DFC">
        <w:rPr>
          <w:sz w:val="20"/>
          <w:szCs w:val="20"/>
          <w:lang w:val="en-US"/>
        </w:rPr>
        <w:t xml:space="preserve"> </w:t>
      </w:r>
      <w:r w:rsidR="009E2BE0" w:rsidRPr="002A1DFC">
        <w:rPr>
          <w:sz w:val="20"/>
          <w:szCs w:val="20"/>
          <w:lang w:val="en-US"/>
        </w:rPr>
        <w:t>Seriations</w:t>
      </w:r>
      <w:r w:rsidR="006B1042" w:rsidRPr="002A1DFC">
        <w:rPr>
          <w:sz w:val="20"/>
          <w:szCs w:val="20"/>
          <w:lang w:val="en-US"/>
        </w:rPr>
        <w:t xml:space="preserve"> </w:t>
      </w:r>
      <w:r w:rsidR="009E2BE0" w:rsidRPr="002A1DFC">
        <w:rPr>
          <w:sz w:val="20"/>
          <w:szCs w:val="20"/>
          <w:lang w:val="en-US"/>
        </w:rPr>
        <w:t>of objects</w:t>
      </w:r>
      <w:r w:rsidR="00851676">
        <w:rPr>
          <w:sz w:val="20"/>
          <w:szCs w:val="20"/>
          <w:lang w:val="en-US"/>
        </w:rPr>
        <w:t xml:space="preserve"> </w:t>
      </w:r>
      <w:r w:rsidR="00851676" w:rsidRPr="002A1DFC">
        <w:rPr>
          <w:noProof/>
          <w:sz w:val="20"/>
          <w:szCs w:val="20"/>
          <w:lang w:val="en-US"/>
        </w:rPr>
        <w:t>(Nieszery 1995: fig. 63, 64)</w:t>
      </w:r>
      <w:r w:rsidR="009E2BE0" w:rsidRPr="002A1DFC">
        <w:rPr>
          <w:sz w:val="20"/>
          <w:szCs w:val="20"/>
          <w:lang w:val="en-US"/>
        </w:rPr>
        <w:t xml:space="preserve"> associated with sexed individuals resulted in </w:t>
      </w:r>
      <w:proofErr w:type="spellStart"/>
      <w:r w:rsidR="009E2BE0" w:rsidRPr="002A1DFC">
        <w:rPr>
          <w:sz w:val="20"/>
          <w:szCs w:val="20"/>
          <w:lang w:val="en-US"/>
        </w:rPr>
        <w:t>Nieszery’s</w:t>
      </w:r>
      <w:proofErr w:type="spellEnd"/>
      <w:r w:rsidR="009E2BE0" w:rsidRPr="002A1DFC">
        <w:rPr>
          <w:sz w:val="20"/>
          <w:szCs w:val="20"/>
          <w:lang w:val="en-US"/>
        </w:rPr>
        <w:t xml:space="preserve"> </w:t>
      </w:r>
      <w:r w:rsidR="00407642" w:rsidRPr="002A1DFC">
        <w:rPr>
          <w:noProof/>
          <w:sz w:val="20"/>
          <w:szCs w:val="20"/>
          <w:lang w:val="en-US"/>
        </w:rPr>
        <w:t>(1995: 110)</w:t>
      </w:r>
      <w:r w:rsidR="006B1042" w:rsidRPr="002A1DFC">
        <w:rPr>
          <w:sz w:val="20"/>
          <w:szCs w:val="20"/>
          <w:lang w:val="en-US"/>
        </w:rPr>
        <w:t xml:space="preserve"> </w:t>
      </w:r>
      <w:r w:rsidR="009E2BE0" w:rsidRPr="002A1DFC">
        <w:rPr>
          <w:sz w:val="20"/>
          <w:szCs w:val="20"/>
          <w:lang w:val="en-US"/>
        </w:rPr>
        <w:t>observation that ‘</w:t>
      </w:r>
      <w:r w:rsidR="009E2BE0" w:rsidRPr="002A1DFC">
        <w:rPr>
          <w:i/>
          <w:sz w:val="20"/>
          <w:szCs w:val="20"/>
          <w:lang w:val="en-US"/>
        </w:rPr>
        <w:t xml:space="preserve">specific objects are characteristic of one sex only </w:t>
      </w:r>
      <w:r w:rsidR="009E2BE0" w:rsidRPr="002A1DFC">
        <w:rPr>
          <w:i/>
          <w:sz w:val="20"/>
          <w:szCs w:val="20"/>
          <w:lang w:val="en-US"/>
        </w:rPr>
        <w:lastRenderedPageBreak/>
        <w:t xml:space="preserve">and that </w:t>
      </w:r>
      <w:r w:rsidR="006B1042" w:rsidRPr="002A1DFC">
        <w:rPr>
          <w:i/>
          <w:sz w:val="20"/>
          <w:szCs w:val="20"/>
          <w:lang w:val="en-US"/>
        </w:rPr>
        <w:t>they are not evidenced in burials of the other sex</w:t>
      </w:r>
      <w:r w:rsidR="006B1042" w:rsidRPr="002A1DFC">
        <w:rPr>
          <w:sz w:val="20"/>
          <w:szCs w:val="20"/>
          <w:lang w:val="en-US"/>
        </w:rPr>
        <w:t>’</w:t>
      </w:r>
      <w:r w:rsidR="006B1042" w:rsidRPr="002A1DFC">
        <w:rPr>
          <w:rStyle w:val="Funotenzeichen"/>
          <w:sz w:val="20"/>
          <w:szCs w:val="20"/>
        </w:rPr>
        <w:footnoteReference w:id="1"/>
      </w:r>
      <w:r w:rsidR="006B1042" w:rsidRPr="002A1DFC">
        <w:rPr>
          <w:sz w:val="20"/>
          <w:szCs w:val="20"/>
          <w:lang w:val="en-US"/>
        </w:rPr>
        <w:t xml:space="preserve">. </w:t>
      </w:r>
      <w:r w:rsidR="00C7042F" w:rsidRPr="002A1DFC">
        <w:rPr>
          <w:sz w:val="20"/>
          <w:szCs w:val="20"/>
          <w:lang w:val="en-US"/>
        </w:rPr>
        <w:t xml:space="preserve">As archaeological </w:t>
      </w:r>
      <w:r w:rsidRPr="002A1DFC">
        <w:rPr>
          <w:sz w:val="20"/>
          <w:szCs w:val="20"/>
          <w:lang w:val="en-US"/>
        </w:rPr>
        <w:t>gender-determination</w:t>
      </w:r>
      <w:r w:rsidR="00C7042F" w:rsidRPr="002A1DFC">
        <w:rPr>
          <w:sz w:val="20"/>
          <w:szCs w:val="20"/>
          <w:lang w:val="en-US"/>
        </w:rPr>
        <w:t xml:space="preserve">s are considered a cross-validation for </w:t>
      </w:r>
      <w:r w:rsidRPr="002A1DFC">
        <w:rPr>
          <w:sz w:val="20"/>
          <w:szCs w:val="20"/>
          <w:lang w:val="en-US"/>
        </w:rPr>
        <w:t>sex-determination</w:t>
      </w:r>
      <w:r w:rsidR="00C7042F" w:rsidRPr="002A1DFC">
        <w:rPr>
          <w:sz w:val="20"/>
          <w:szCs w:val="20"/>
          <w:lang w:val="en-US"/>
        </w:rPr>
        <w:t xml:space="preserve">s, </w:t>
      </w:r>
      <w:r w:rsidR="00EF4F61" w:rsidRPr="002A1DFC">
        <w:rPr>
          <w:sz w:val="20"/>
          <w:szCs w:val="20"/>
          <w:lang w:val="en-US"/>
        </w:rPr>
        <w:t>individuals</w:t>
      </w:r>
      <w:r w:rsidR="0045280F" w:rsidRPr="002A1DFC">
        <w:rPr>
          <w:sz w:val="20"/>
          <w:szCs w:val="20"/>
          <w:lang w:val="en-US"/>
        </w:rPr>
        <w:t xml:space="preserve"> of indeterminate sex associated with objects were sexed according</w:t>
      </w:r>
      <w:r w:rsidR="00EF4F61" w:rsidRPr="002A1DFC">
        <w:rPr>
          <w:sz w:val="20"/>
          <w:szCs w:val="20"/>
          <w:lang w:val="en-US"/>
        </w:rPr>
        <w:t xml:space="preserve"> to the archaeological gender (circular argumentation)</w:t>
      </w:r>
      <w:r w:rsidR="0045280F" w:rsidRPr="002A1DFC">
        <w:rPr>
          <w:sz w:val="20"/>
          <w:szCs w:val="20"/>
          <w:lang w:val="en-US"/>
        </w:rPr>
        <w:t>.</w:t>
      </w:r>
    </w:p>
    <w:p w14:paraId="53B5EB83" w14:textId="589DBB35" w:rsidR="008347A2" w:rsidRPr="002A1DFC" w:rsidRDefault="00B14FA6" w:rsidP="00944495">
      <w:pPr>
        <w:jc w:val="both"/>
        <w:rPr>
          <w:sz w:val="20"/>
          <w:szCs w:val="20"/>
          <w:lang w:val="en-US"/>
        </w:rPr>
      </w:pPr>
      <w:r w:rsidRPr="002A1DFC">
        <w:rPr>
          <w:b/>
          <w:sz w:val="20"/>
          <w:szCs w:val="20"/>
          <w:lang w:val="en-US"/>
        </w:rPr>
        <w:t>Gender</w:t>
      </w:r>
      <w:r w:rsidR="008F4666" w:rsidRPr="002A1DFC">
        <w:rPr>
          <w:b/>
          <w:sz w:val="20"/>
          <w:szCs w:val="20"/>
          <w:lang w:val="en-US"/>
        </w:rPr>
        <w:t>-</w:t>
      </w:r>
      <w:r w:rsidRPr="002A1DFC">
        <w:rPr>
          <w:b/>
          <w:sz w:val="20"/>
          <w:szCs w:val="20"/>
          <w:lang w:val="en-US"/>
        </w:rPr>
        <w:t>data</w:t>
      </w:r>
      <w:r w:rsidR="008F4666" w:rsidRPr="002A1DFC">
        <w:rPr>
          <w:b/>
          <w:sz w:val="20"/>
          <w:szCs w:val="20"/>
          <w:lang w:val="en-US"/>
        </w:rPr>
        <w:t xml:space="preserve"> </w:t>
      </w:r>
      <w:r w:rsidRPr="002A1DFC">
        <w:rPr>
          <w:b/>
          <w:sz w:val="20"/>
          <w:szCs w:val="20"/>
          <w:lang w:val="en-US"/>
        </w:rPr>
        <w:t>analyses:</w:t>
      </w:r>
      <w:r w:rsidRPr="002A1DFC">
        <w:rPr>
          <w:sz w:val="20"/>
          <w:szCs w:val="20"/>
          <w:lang w:val="en-US"/>
        </w:rPr>
        <w:t xml:space="preserve"> </w:t>
      </w:r>
      <w:r w:rsidR="00EF4F61" w:rsidRPr="002A1DFC">
        <w:rPr>
          <w:sz w:val="20"/>
          <w:szCs w:val="20"/>
          <w:lang w:val="en-US"/>
        </w:rPr>
        <w:t>B</w:t>
      </w:r>
      <w:r w:rsidR="0045280F" w:rsidRPr="002A1DFC">
        <w:rPr>
          <w:sz w:val="20"/>
          <w:szCs w:val="20"/>
          <w:lang w:val="en-US"/>
        </w:rPr>
        <w:t>ased on seriation analyses</w:t>
      </w:r>
      <w:r w:rsidR="003C10FD" w:rsidRPr="002A1DFC">
        <w:rPr>
          <w:sz w:val="20"/>
          <w:szCs w:val="20"/>
          <w:lang w:val="en-US"/>
        </w:rPr>
        <w:t xml:space="preserve"> of objects and </w:t>
      </w:r>
      <w:r w:rsidR="009D7719" w:rsidRPr="002A1DFC">
        <w:rPr>
          <w:sz w:val="20"/>
          <w:szCs w:val="20"/>
          <w:lang w:val="en-US"/>
        </w:rPr>
        <w:t xml:space="preserve">osteological </w:t>
      </w:r>
      <w:r w:rsidR="00BC59EA">
        <w:rPr>
          <w:sz w:val="20"/>
          <w:szCs w:val="20"/>
          <w:lang w:val="en-US"/>
        </w:rPr>
        <w:t>sex-estimates</w:t>
      </w:r>
      <w:r w:rsidR="0045280F" w:rsidRPr="002A1DFC">
        <w:rPr>
          <w:sz w:val="20"/>
          <w:szCs w:val="20"/>
          <w:lang w:val="en-US"/>
        </w:rPr>
        <w:t xml:space="preserve">, </w:t>
      </w:r>
      <w:proofErr w:type="spellStart"/>
      <w:r w:rsidR="00EF4F61" w:rsidRPr="002A1DFC">
        <w:rPr>
          <w:sz w:val="20"/>
          <w:szCs w:val="20"/>
          <w:lang w:val="en-US"/>
        </w:rPr>
        <w:t>Nieszery</w:t>
      </w:r>
      <w:proofErr w:type="spellEnd"/>
      <w:r w:rsidR="007629A1" w:rsidRPr="002A1DFC">
        <w:rPr>
          <w:sz w:val="20"/>
          <w:szCs w:val="20"/>
          <w:lang w:val="en-US"/>
        </w:rPr>
        <w:t xml:space="preserve"> </w:t>
      </w:r>
      <w:r w:rsidR="00407642" w:rsidRPr="002A1DFC">
        <w:rPr>
          <w:noProof/>
          <w:sz w:val="20"/>
          <w:szCs w:val="20"/>
          <w:lang w:val="en-US"/>
        </w:rPr>
        <w:t>(1995</w:t>
      </w:r>
      <w:r w:rsidR="001659E5" w:rsidRPr="002A1DFC">
        <w:rPr>
          <w:noProof/>
          <w:sz w:val="20"/>
          <w:szCs w:val="20"/>
          <w:lang w:val="en-US"/>
        </w:rPr>
        <w:t>,</w:t>
      </w:r>
      <w:r w:rsidR="00407642" w:rsidRPr="002A1DFC">
        <w:rPr>
          <w:noProof/>
          <w:sz w:val="20"/>
          <w:szCs w:val="20"/>
          <w:lang w:val="en-US"/>
        </w:rPr>
        <w:t xml:space="preserve"> 110-115, 262)</w:t>
      </w:r>
      <w:r w:rsidR="00107C5F" w:rsidRPr="002A1DFC">
        <w:rPr>
          <w:sz w:val="20"/>
          <w:szCs w:val="20"/>
          <w:lang w:val="en-US"/>
        </w:rPr>
        <w:t xml:space="preserve"> </w:t>
      </w:r>
      <w:r w:rsidR="0045280F" w:rsidRPr="002A1DFC">
        <w:rPr>
          <w:sz w:val="20"/>
          <w:szCs w:val="20"/>
          <w:lang w:val="en-US"/>
        </w:rPr>
        <w:t>defines</w:t>
      </w:r>
      <w:r w:rsidR="00FF3C4D">
        <w:rPr>
          <w:sz w:val="20"/>
          <w:szCs w:val="20"/>
          <w:lang w:val="en-US"/>
        </w:rPr>
        <w:t xml:space="preserve"> the</w:t>
      </w:r>
      <w:r w:rsidR="0045280F" w:rsidRPr="002A1DFC">
        <w:rPr>
          <w:sz w:val="20"/>
          <w:szCs w:val="20"/>
          <w:lang w:val="en-US"/>
        </w:rPr>
        <w:t xml:space="preserve"> following significant </w:t>
      </w:r>
      <w:r w:rsidR="00DB54AE" w:rsidRPr="002A1DFC">
        <w:rPr>
          <w:sz w:val="20"/>
          <w:szCs w:val="20"/>
          <w:lang w:val="en-US"/>
        </w:rPr>
        <w:t xml:space="preserve">masculine </w:t>
      </w:r>
      <w:r w:rsidR="0045280F" w:rsidRPr="002A1DFC">
        <w:rPr>
          <w:sz w:val="20"/>
          <w:szCs w:val="20"/>
          <w:lang w:val="en-US"/>
        </w:rPr>
        <w:t xml:space="preserve">attributes: adzes, v-shaped </w:t>
      </w:r>
      <w:proofErr w:type="spellStart"/>
      <w:r w:rsidR="0045280F" w:rsidRPr="002A1DFC">
        <w:rPr>
          <w:i/>
          <w:sz w:val="20"/>
          <w:szCs w:val="20"/>
          <w:lang w:val="en-US"/>
        </w:rPr>
        <w:t>spondylus</w:t>
      </w:r>
      <w:proofErr w:type="spellEnd"/>
      <w:r w:rsidR="0045280F" w:rsidRPr="002A1DFC">
        <w:rPr>
          <w:sz w:val="20"/>
          <w:szCs w:val="20"/>
          <w:lang w:val="en-US"/>
        </w:rPr>
        <w:t xml:space="preserve"> shells (considered a belt element), </w:t>
      </w:r>
      <w:proofErr w:type="spellStart"/>
      <w:r w:rsidR="0045280F" w:rsidRPr="002A1DFC">
        <w:rPr>
          <w:i/>
          <w:sz w:val="20"/>
          <w:szCs w:val="20"/>
          <w:lang w:val="en-US"/>
        </w:rPr>
        <w:t>spondylus</w:t>
      </w:r>
      <w:proofErr w:type="spellEnd"/>
      <w:r w:rsidR="0045280F" w:rsidRPr="002A1DFC">
        <w:rPr>
          <w:sz w:val="20"/>
          <w:szCs w:val="20"/>
          <w:lang w:val="en-US"/>
        </w:rPr>
        <w:t xml:space="preserve"> </w:t>
      </w:r>
      <w:proofErr w:type="spellStart"/>
      <w:r w:rsidR="0045280F" w:rsidRPr="002A1DFC">
        <w:rPr>
          <w:sz w:val="20"/>
          <w:szCs w:val="20"/>
          <w:lang w:val="en-US"/>
        </w:rPr>
        <w:t>armrings</w:t>
      </w:r>
      <w:proofErr w:type="spellEnd"/>
      <w:r w:rsidR="0045280F" w:rsidRPr="002A1DFC">
        <w:rPr>
          <w:sz w:val="20"/>
          <w:szCs w:val="20"/>
          <w:lang w:val="en-US"/>
        </w:rPr>
        <w:t xml:space="preserve">, </w:t>
      </w:r>
      <w:r w:rsidR="00EC31FE" w:rsidRPr="002A1DFC">
        <w:rPr>
          <w:sz w:val="20"/>
          <w:szCs w:val="20"/>
          <w:lang w:val="en-US"/>
        </w:rPr>
        <w:t xml:space="preserve">silex </w:t>
      </w:r>
      <w:r w:rsidR="0045280F" w:rsidRPr="002A1DFC">
        <w:rPr>
          <w:sz w:val="20"/>
          <w:szCs w:val="20"/>
          <w:lang w:val="en-US"/>
        </w:rPr>
        <w:t>blade</w:t>
      </w:r>
      <w:r w:rsidR="00EC31FE" w:rsidRPr="002A1DFC">
        <w:rPr>
          <w:sz w:val="20"/>
          <w:szCs w:val="20"/>
          <w:lang w:val="en-US"/>
        </w:rPr>
        <w:t>s</w:t>
      </w:r>
      <w:r w:rsidR="0045280F" w:rsidRPr="002A1DFC">
        <w:rPr>
          <w:sz w:val="20"/>
          <w:szCs w:val="20"/>
          <w:lang w:val="en-US"/>
        </w:rPr>
        <w:t xml:space="preserve">, silex arrowheads, antler </w:t>
      </w:r>
      <w:r w:rsidR="00026AE8" w:rsidRPr="002A1DFC">
        <w:rPr>
          <w:sz w:val="20"/>
          <w:szCs w:val="20"/>
          <w:lang w:val="en-US"/>
        </w:rPr>
        <w:t>toggles</w:t>
      </w:r>
      <w:r w:rsidR="00050CB6" w:rsidRPr="002A1DFC">
        <w:rPr>
          <w:sz w:val="20"/>
          <w:szCs w:val="20"/>
          <w:lang w:val="en-US"/>
        </w:rPr>
        <w:t xml:space="preserve"> (</w:t>
      </w:r>
      <w:proofErr w:type="spellStart"/>
      <w:r w:rsidR="00050CB6" w:rsidRPr="002A1DFC">
        <w:rPr>
          <w:sz w:val="20"/>
          <w:szCs w:val="20"/>
          <w:lang w:val="en-US"/>
        </w:rPr>
        <w:t>dt.</w:t>
      </w:r>
      <w:proofErr w:type="spellEnd"/>
      <w:r w:rsidR="00050CB6" w:rsidRPr="002A1DFC">
        <w:rPr>
          <w:sz w:val="20"/>
          <w:szCs w:val="20"/>
          <w:lang w:val="en-US"/>
        </w:rPr>
        <w:t xml:space="preserve"> </w:t>
      </w:r>
      <w:proofErr w:type="spellStart"/>
      <w:r w:rsidR="00050CB6" w:rsidRPr="002A1DFC">
        <w:rPr>
          <w:i/>
          <w:sz w:val="20"/>
          <w:szCs w:val="20"/>
          <w:lang w:val="en-US"/>
        </w:rPr>
        <w:t>Geweihknebel</w:t>
      </w:r>
      <w:proofErr w:type="spellEnd"/>
      <w:r w:rsidR="00050CB6" w:rsidRPr="002A1DFC">
        <w:rPr>
          <w:sz w:val="20"/>
          <w:szCs w:val="20"/>
          <w:lang w:val="en-US"/>
        </w:rPr>
        <w:t>)</w:t>
      </w:r>
      <w:r w:rsidR="0045280F" w:rsidRPr="002A1DFC">
        <w:rPr>
          <w:sz w:val="20"/>
          <w:szCs w:val="20"/>
          <w:lang w:val="en-US"/>
        </w:rPr>
        <w:t xml:space="preserve">, </w:t>
      </w:r>
      <w:proofErr w:type="spellStart"/>
      <w:r w:rsidR="00026AE8" w:rsidRPr="002A1DFC">
        <w:rPr>
          <w:sz w:val="20"/>
          <w:szCs w:val="20"/>
          <w:lang w:val="en-US"/>
        </w:rPr>
        <w:t>fire</w:t>
      </w:r>
      <w:r w:rsidR="00EF4F61" w:rsidRPr="002A1DFC">
        <w:rPr>
          <w:sz w:val="20"/>
          <w:szCs w:val="20"/>
          <w:lang w:val="en-US"/>
        </w:rPr>
        <w:t>lighting</w:t>
      </w:r>
      <w:proofErr w:type="spellEnd"/>
      <w:r w:rsidR="00EF4F61" w:rsidRPr="002A1DFC">
        <w:rPr>
          <w:sz w:val="20"/>
          <w:szCs w:val="20"/>
          <w:lang w:val="en-US"/>
        </w:rPr>
        <w:t xml:space="preserve"> kits</w:t>
      </w:r>
      <w:r w:rsidR="00226DED" w:rsidRPr="002A1DFC">
        <w:rPr>
          <w:sz w:val="20"/>
          <w:szCs w:val="20"/>
          <w:lang w:val="en-US"/>
        </w:rPr>
        <w:t xml:space="preserve"> (incl. pyrite </w:t>
      </w:r>
      <w:r w:rsidR="00226DED" w:rsidRPr="00EB495F">
        <w:rPr>
          <w:sz w:val="20"/>
          <w:szCs w:val="20"/>
          <w:lang w:val="en-US"/>
        </w:rPr>
        <w:t>or manganese and tools</w:t>
      </w:r>
      <w:r w:rsidR="00EB495F" w:rsidRPr="00EB495F">
        <w:rPr>
          <w:sz w:val="20"/>
          <w:szCs w:val="20"/>
          <w:lang w:val="en-US"/>
        </w:rPr>
        <w:t xml:space="preserve">, i.e. </w:t>
      </w:r>
      <w:r w:rsidR="00226DED" w:rsidRPr="00EB495F">
        <w:rPr>
          <w:sz w:val="20"/>
          <w:szCs w:val="20"/>
          <w:lang w:val="en-US"/>
        </w:rPr>
        <w:t>flint/bone awl</w:t>
      </w:r>
      <w:r w:rsidR="00226DED" w:rsidRPr="002A1DFC">
        <w:rPr>
          <w:sz w:val="20"/>
          <w:szCs w:val="20"/>
          <w:lang w:val="en-US"/>
        </w:rPr>
        <w:t>)</w:t>
      </w:r>
      <w:r w:rsidR="00EF4F61" w:rsidRPr="002A1DFC">
        <w:rPr>
          <w:sz w:val="20"/>
          <w:szCs w:val="20"/>
          <w:lang w:val="en-US"/>
        </w:rPr>
        <w:t xml:space="preserve">, bone </w:t>
      </w:r>
      <w:r w:rsidR="00703722" w:rsidRPr="002A1DFC">
        <w:rPr>
          <w:sz w:val="20"/>
          <w:szCs w:val="20"/>
          <w:lang w:val="en-US"/>
        </w:rPr>
        <w:t>rods</w:t>
      </w:r>
      <w:r w:rsidR="00050CB6" w:rsidRPr="002A1DFC">
        <w:rPr>
          <w:sz w:val="20"/>
          <w:szCs w:val="20"/>
          <w:lang w:val="en-US"/>
        </w:rPr>
        <w:t xml:space="preserve"> (</w:t>
      </w:r>
      <w:proofErr w:type="spellStart"/>
      <w:r w:rsidR="00050CB6" w:rsidRPr="002A1DFC">
        <w:rPr>
          <w:sz w:val="20"/>
          <w:szCs w:val="20"/>
          <w:lang w:val="en-US"/>
        </w:rPr>
        <w:t>dt.</w:t>
      </w:r>
      <w:proofErr w:type="spellEnd"/>
      <w:r w:rsidR="00050CB6" w:rsidRPr="002A1DFC">
        <w:rPr>
          <w:sz w:val="20"/>
          <w:szCs w:val="20"/>
          <w:lang w:val="en-US"/>
        </w:rPr>
        <w:t xml:space="preserve"> </w:t>
      </w:r>
      <w:proofErr w:type="spellStart"/>
      <w:r w:rsidR="00050CB6" w:rsidRPr="002A1DFC">
        <w:rPr>
          <w:i/>
          <w:sz w:val="20"/>
          <w:szCs w:val="20"/>
          <w:lang w:val="en-US"/>
        </w:rPr>
        <w:t>Knochenstäbe</w:t>
      </w:r>
      <w:proofErr w:type="spellEnd"/>
      <w:r w:rsidR="00050CB6" w:rsidRPr="002A1DFC">
        <w:rPr>
          <w:sz w:val="20"/>
          <w:szCs w:val="20"/>
          <w:lang w:val="en-US"/>
        </w:rPr>
        <w:t>)</w:t>
      </w:r>
      <w:r w:rsidR="00703722" w:rsidRPr="002A1DFC">
        <w:rPr>
          <w:sz w:val="20"/>
          <w:szCs w:val="20"/>
          <w:lang w:val="en-US"/>
        </w:rPr>
        <w:t>,</w:t>
      </w:r>
      <w:r w:rsidR="00EF4F61" w:rsidRPr="002A1DFC">
        <w:rPr>
          <w:sz w:val="20"/>
          <w:szCs w:val="20"/>
          <w:lang w:val="en-US"/>
        </w:rPr>
        <w:t xml:space="preserve"> animal bones (considered food offering</w:t>
      </w:r>
      <w:r w:rsidR="00AE797B" w:rsidRPr="002A1DFC">
        <w:rPr>
          <w:sz w:val="20"/>
          <w:szCs w:val="20"/>
          <w:lang w:val="en-US"/>
        </w:rPr>
        <w:t>s</w:t>
      </w:r>
      <w:r w:rsidR="00EF4F61" w:rsidRPr="002A1DFC">
        <w:rPr>
          <w:sz w:val="20"/>
          <w:szCs w:val="20"/>
          <w:lang w:val="en-US"/>
        </w:rPr>
        <w:t>)</w:t>
      </w:r>
      <w:r w:rsidR="00EC31FE" w:rsidRPr="002A1DFC">
        <w:rPr>
          <w:sz w:val="20"/>
          <w:szCs w:val="20"/>
          <w:lang w:val="en-US"/>
        </w:rPr>
        <w:t>, fox mandibles and ochre.</w:t>
      </w:r>
      <w:r w:rsidR="00B57CC4" w:rsidRPr="002A1DFC">
        <w:rPr>
          <w:sz w:val="20"/>
          <w:szCs w:val="20"/>
          <w:lang w:val="en-US"/>
        </w:rPr>
        <w:t xml:space="preserve"> </w:t>
      </w:r>
      <w:proofErr w:type="spellStart"/>
      <w:r w:rsidR="00FF3C4D" w:rsidRPr="002A1DFC">
        <w:rPr>
          <w:sz w:val="20"/>
          <w:szCs w:val="20"/>
          <w:lang w:val="en-US"/>
        </w:rPr>
        <w:t>Nieszery</w:t>
      </w:r>
      <w:proofErr w:type="spellEnd"/>
      <w:r w:rsidR="00FF3C4D" w:rsidRPr="002A1DFC">
        <w:rPr>
          <w:sz w:val="20"/>
          <w:szCs w:val="20"/>
          <w:lang w:val="en-US"/>
        </w:rPr>
        <w:t xml:space="preserve"> </w:t>
      </w:r>
      <w:r w:rsidR="00373382" w:rsidRPr="002A1DFC">
        <w:rPr>
          <w:sz w:val="20"/>
          <w:szCs w:val="20"/>
          <w:lang w:val="en-US"/>
        </w:rPr>
        <w:t>further considers silex flakes</w:t>
      </w:r>
      <w:r w:rsidRPr="002A1DFC">
        <w:rPr>
          <w:sz w:val="20"/>
          <w:szCs w:val="20"/>
          <w:lang w:val="en-US"/>
        </w:rPr>
        <w:t xml:space="preserve">, </w:t>
      </w:r>
      <w:r w:rsidR="00373382" w:rsidRPr="002A1DFC">
        <w:rPr>
          <w:sz w:val="20"/>
          <w:szCs w:val="20"/>
          <w:lang w:val="en-US"/>
        </w:rPr>
        <w:t>silex blade fragments</w:t>
      </w:r>
      <w:r w:rsidRPr="002A1DFC">
        <w:rPr>
          <w:sz w:val="20"/>
          <w:szCs w:val="20"/>
          <w:lang w:val="en-US"/>
        </w:rPr>
        <w:t xml:space="preserve"> and silex </w:t>
      </w:r>
      <w:r w:rsidR="00550F46" w:rsidRPr="002A1DFC">
        <w:rPr>
          <w:sz w:val="20"/>
          <w:szCs w:val="20"/>
          <w:lang w:val="en-US"/>
        </w:rPr>
        <w:t>hammerstones</w:t>
      </w:r>
      <w:r w:rsidR="00B16FD3" w:rsidRPr="002A1DFC">
        <w:rPr>
          <w:sz w:val="20"/>
          <w:szCs w:val="20"/>
          <w:lang w:val="en-US"/>
        </w:rPr>
        <w:t xml:space="preserve"> </w:t>
      </w:r>
      <w:r w:rsidR="00373382" w:rsidRPr="002A1DFC">
        <w:rPr>
          <w:sz w:val="20"/>
          <w:szCs w:val="20"/>
          <w:lang w:val="en-US"/>
        </w:rPr>
        <w:t xml:space="preserve">‘rather </w:t>
      </w:r>
      <w:r w:rsidR="00DB54AE" w:rsidRPr="002A1DFC">
        <w:rPr>
          <w:sz w:val="20"/>
          <w:szCs w:val="20"/>
          <w:lang w:val="en-US"/>
        </w:rPr>
        <w:t>masculine’</w:t>
      </w:r>
      <w:r w:rsidR="00373382" w:rsidRPr="002A1DFC">
        <w:rPr>
          <w:sz w:val="20"/>
          <w:szCs w:val="20"/>
          <w:lang w:val="en-US"/>
        </w:rPr>
        <w:t xml:space="preserve">-attributes. </w:t>
      </w:r>
      <w:r w:rsidRPr="002A1DFC">
        <w:rPr>
          <w:sz w:val="20"/>
          <w:szCs w:val="20"/>
          <w:lang w:val="en-US"/>
        </w:rPr>
        <w:t xml:space="preserve">A round, double perforated </w:t>
      </w:r>
      <w:proofErr w:type="spellStart"/>
      <w:r w:rsidRPr="002A1DFC">
        <w:rPr>
          <w:i/>
          <w:sz w:val="20"/>
          <w:szCs w:val="20"/>
          <w:lang w:val="en-US"/>
        </w:rPr>
        <w:t>spondylus</w:t>
      </w:r>
      <w:proofErr w:type="spellEnd"/>
      <w:r w:rsidRPr="002A1DFC">
        <w:rPr>
          <w:sz w:val="20"/>
          <w:szCs w:val="20"/>
          <w:lang w:val="en-US"/>
        </w:rPr>
        <w:t xml:space="preserve"> shell (interpreted as belt element) represents, </w:t>
      </w:r>
      <w:r w:rsidR="00C828DD" w:rsidRPr="002A1DFC">
        <w:rPr>
          <w:sz w:val="20"/>
          <w:szCs w:val="20"/>
          <w:lang w:val="en-US"/>
        </w:rPr>
        <w:t xml:space="preserve">according to </w:t>
      </w:r>
      <w:proofErr w:type="spellStart"/>
      <w:r w:rsidR="00FF3C4D" w:rsidRPr="002A1DFC">
        <w:rPr>
          <w:sz w:val="20"/>
          <w:szCs w:val="20"/>
          <w:lang w:val="en-US"/>
        </w:rPr>
        <w:t>Nieszery</w:t>
      </w:r>
      <w:proofErr w:type="spellEnd"/>
      <w:r w:rsidRPr="002A1DFC">
        <w:rPr>
          <w:sz w:val="20"/>
          <w:szCs w:val="20"/>
          <w:lang w:val="en-US"/>
        </w:rPr>
        <w:t xml:space="preserve">, the only secure </w:t>
      </w:r>
      <w:r w:rsidR="00DB54AE" w:rsidRPr="002A1DFC">
        <w:rPr>
          <w:sz w:val="20"/>
          <w:szCs w:val="20"/>
          <w:lang w:val="en-US"/>
        </w:rPr>
        <w:t xml:space="preserve">feminine </w:t>
      </w:r>
      <w:r w:rsidRPr="002A1DFC">
        <w:rPr>
          <w:sz w:val="20"/>
          <w:szCs w:val="20"/>
          <w:lang w:val="en-US"/>
        </w:rPr>
        <w:t>attribute</w:t>
      </w:r>
      <w:r w:rsidR="00420321" w:rsidRPr="002A1DFC">
        <w:rPr>
          <w:sz w:val="20"/>
          <w:szCs w:val="20"/>
          <w:lang w:val="en-US"/>
        </w:rPr>
        <w:t xml:space="preserve"> as it is never found in combination with secure </w:t>
      </w:r>
      <w:r w:rsidR="00DB54AE" w:rsidRPr="002A1DFC">
        <w:rPr>
          <w:sz w:val="20"/>
          <w:szCs w:val="20"/>
          <w:lang w:val="en-US"/>
        </w:rPr>
        <w:t xml:space="preserve">masculine </w:t>
      </w:r>
      <w:r w:rsidR="00420321" w:rsidRPr="002A1DFC">
        <w:rPr>
          <w:sz w:val="20"/>
          <w:szCs w:val="20"/>
          <w:lang w:val="en-US"/>
        </w:rPr>
        <w:t>attributes</w:t>
      </w:r>
      <w:r w:rsidRPr="002A1DFC">
        <w:rPr>
          <w:sz w:val="20"/>
          <w:szCs w:val="20"/>
          <w:lang w:val="en-US"/>
        </w:rPr>
        <w:t xml:space="preserve">. </w:t>
      </w:r>
      <w:r w:rsidR="00BA1432" w:rsidRPr="002A1DFC">
        <w:rPr>
          <w:sz w:val="20"/>
          <w:szCs w:val="20"/>
          <w:lang w:val="en-US"/>
        </w:rPr>
        <w:t xml:space="preserve">Grinding stones, </w:t>
      </w:r>
      <w:r w:rsidR="00107C5F" w:rsidRPr="002A1DFC">
        <w:rPr>
          <w:sz w:val="20"/>
          <w:szCs w:val="20"/>
          <w:lang w:val="en-US"/>
        </w:rPr>
        <w:t xml:space="preserve">green stone beads, antler combs and ceramic are associated with both sexes and therefore cannot serve as archaeological </w:t>
      </w:r>
      <w:r w:rsidR="006F1644" w:rsidRPr="002A1DFC">
        <w:rPr>
          <w:sz w:val="20"/>
          <w:szCs w:val="20"/>
          <w:lang w:val="en-US"/>
        </w:rPr>
        <w:t>gender</w:t>
      </w:r>
      <w:r w:rsidR="00107C5F" w:rsidRPr="002A1DFC">
        <w:rPr>
          <w:sz w:val="20"/>
          <w:szCs w:val="20"/>
          <w:lang w:val="en-US"/>
        </w:rPr>
        <w:t xml:space="preserve"> indicators. </w:t>
      </w:r>
      <w:r w:rsidR="00BF4423" w:rsidRPr="002A1DFC">
        <w:rPr>
          <w:sz w:val="20"/>
          <w:szCs w:val="20"/>
          <w:lang w:val="en-US"/>
        </w:rPr>
        <w:t xml:space="preserve">As a rule, the presence of a single significant </w:t>
      </w:r>
      <w:r w:rsidR="00DB54AE" w:rsidRPr="002A1DFC">
        <w:rPr>
          <w:sz w:val="20"/>
          <w:szCs w:val="20"/>
          <w:lang w:val="en-US"/>
        </w:rPr>
        <w:t xml:space="preserve">masculine </w:t>
      </w:r>
      <w:r w:rsidR="00BF4423" w:rsidRPr="002A1DFC">
        <w:rPr>
          <w:sz w:val="20"/>
          <w:szCs w:val="20"/>
          <w:lang w:val="en-US"/>
        </w:rPr>
        <w:t xml:space="preserve">or </w:t>
      </w:r>
      <w:r w:rsidR="00DB54AE" w:rsidRPr="002A1DFC">
        <w:rPr>
          <w:sz w:val="20"/>
          <w:szCs w:val="20"/>
          <w:lang w:val="en-US"/>
        </w:rPr>
        <w:t xml:space="preserve">feminine </w:t>
      </w:r>
      <w:r w:rsidR="00BF4423" w:rsidRPr="002A1DFC">
        <w:rPr>
          <w:sz w:val="20"/>
          <w:szCs w:val="20"/>
          <w:lang w:val="en-US"/>
        </w:rPr>
        <w:t xml:space="preserve">attribute justifies the archeological </w:t>
      </w:r>
      <w:r w:rsidR="008F4666" w:rsidRPr="002A1DFC">
        <w:rPr>
          <w:sz w:val="20"/>
          <w:szCs w:val="20"/>
          <w:lang w:val="en-US"/>
        </w:rPr>
        <w:t>gender-determination</w:t>
      </w:r>
      <w:r w:rsidR="007629A1" w:rsidRPr="002A1DFC">
        <w:rPr>
          <w:sz w:val="20"/>
          <w:szCs w:val="20"/>
          <w:lang w:val="en-US"/>
        </w:rPr>
        <w:t xml:space="preserve"> </w:t>
      </w:r>
      <w:r w:rsidR="00407642" w:rsidRPr="002A1DFC">
        <w:rPr>
          <w:noProof/>
          <w:sz w:val="20"/>
          <w:szCs w:val="20"/>
          <w:lang w:val="en-US"/>
        </w:rPr>
        <w:t>(Nieszery 1995</w:t>
      </w:r>
      <w:r w:rsidR="001659E5" w:rsidRPr="002A1DFC">
        <w:rPr>
          <w:noProof/>
          <w:sz w:val="20"/>
          <w:szCs w:val="20"/>
          <w:lang w:val="en-US"/>
        </w:rPr>
        <w:t>,</w:t>
      </w:r>
      <w:r w:rsidR="00407642" w:rsidRPr="002A1DFC">
        <w:rPr>
          <w:noProof/>
          <w:sz w:val="20"/>
          <w:szCs w:val="20"/>
          <w:lang w:val="en-US"/>
        </w:rPr>
        <w:t xml:space="preserve"> 112)</w:t>
      </w:r>
      <w:r w:rsidR="00BF4423" w:rsidRPr="002A1DFC">
        <w:rPr>
          <w:sz w:val="20"/>
          <w:szCs w:val="20"/>
          <w:lang w:val="en-US"/>
        </w:rPr>
        <w:t xml:space="preserve">. </w:t>
      </w:r>
      <w:r w:rsidRPr="002A1DFC">
        <w:rPr>
          <w:sz w:val="20"/>
          <w:szCs w:val="20"/>
          <w:lang w:val="en-US"/>
        </w:rPr>
        <w:t xml:space="preserve">The </w:t>
      </w:r>
      <w:r w:rsidR="0048212D" w:rsidRPr="002A1DFC">
        <w:rPr>
          <w:sz w:val="20"/>
          <w:szCs w:val="20"/>
          <w:lang w:val="en-US"/>
        </w:rPr>
        <w:t>number of grave goods</w:t>
      </w:r>
      <w:r w:rsidR="00BA1432" w:rsidRPr="002A1DFC">
        <w:rPr>
          <w:sz w:val="20"/>
          <w:szCs w:val="20"/>
          <w:lang w:val="en-US"/>
        </w:rPr>
        <w:t xml:space="preserve"> and the</w:t>
      </w:r>
      <w:r w:rsidR="001F13A2">
        <w:rPr>
          <w:sz w:val="20"/>
          <w:szCs w:val="20"/>
          <w:lang w:val="en-US"/>
        </w:rPr>
        <w:t>ir position in the grave may</w:t>
      </w:r>
      <w:r w:rsidRPr="002A1DFC">
        <w:rPr>
          <w:sz w:val="20"/>
          <w:szCs w:val="20"/>
          <w:lang w:val="en-US"/>
        </w:rPr>
        <w:t xml:space="preserve"> be </w:t>
      </w:r>
      <w:r w:rsidR="0048212D" w:rsidRPr="002A1DFC">
        <w:rPr>
          <w:sz w:val="20"/>
          <w:szCs w:val="20"/>
          <w:lang w:val="en-US"/>
        </w:rPr>
        <w:t>further</w:t>
      </w:r>
      <w:r w:rsidRPr="002A1DFC">
        <w:rPr>
          <w:sz w:val="20"/>
          <w:szCs w:val="20"/>
          <w:lang w:val="en-US"/>
        </w:rPr>
        <w:t xml:space="preserve"> indicator</w:t>
      </w:r>
      <w:r w:rsidR="00A570AE" w:rsidRPr="002A1DFC">
        <w:rPr>
          <w:sz w:val="20"/>
          <w:szCs w:val="20"/>
          <w:lang w:val="en-US"/>
        </w:rPr>
        <w:t>s</w:t>
      </w:r>
      <w:r w:rsidRPr="002A1DFC">
        <w:rPr>
          <w:sz w:val="20"/>
          <w:szCs w:val="20"/>
          <w:lang w:val="en-US"/>
        </w:rPr>
        <w:t xml:space="preserve"> of archaeological</w:t>
      </w:r>
      <w:r w:rsidR="0048212D" w:rsidRPr="002A1DFC">
        <w:rPr>
          <w:sz w:val="20"/>
          <w:szCs w:val="20"/>
          <w:lang w:val="en-US"/>
        </w:rPr>
        <w:t xml:space="preserve"> </w:t>
      </w:r>
      <w:r w:rsidR="003E6490" w:rsidRPr="002A1DFC">
        <w:rPr>
          <w:sz w:val="20"/>
          <w:szCs w:val="20"/>
          <w:lang w:val="en-US"/>
        </w:rPr>
        <w:t>gender</w:t>
      </w:r>
      <w:r w:rsidR="0048212D" w:rsidRPr="002A1DFC">
        <w:rPr>
          <w:sz w:val="20"/>
          <w:szCs w:val="20"/>
          <w:lang w:val="en-US"/>
        </w:rPr>
        <w:t>,</w:t>
      </w:r>
      <w:r w:rsidR="00BA1432" w:rsidRPr="002A1DFC">
        <w:rPr>
          <w:sz w:val="20"/>
          <w:szCs w:val="20"/>
          <w:lang w:val="en-US"/>
        </w:rPr>
        <w:t xml:space="preserve"> as </w:t>
      </w:r>
      <w:r w:rsidR="00CF2859" w:rsidRPr="002A1DFC">
        <w:rPr>
          <w:sz w:val="20"/>
          <w:szCs w:val="20"/>
          <w:lang w:val="en-US"/>
        </w:rPr>
        <w:t xml:space="preserve">biologically </w:t>
      </w:r>
      <w:r w:rsidR="00BA1432" w:rsidRPr="002A1DFC">
        <w:rPr>
          <w:sz w:val="20"/>
          <w:szCs w:val="20"/>
          <w:lang w:val="en-US"/>
        </w:rPr>
        <w:t xml:space="preserve">male burials tend to feature more objects, </w:t>
      </w:r>
      <w:r w:rsidR="00CF2859" w:rsidRPr="002A1DFC">
        <w:rPr>
          <w:sz w:val="20"/>
          <w:szCs w:val="20"/>
          <w:lang w:val="en-US"/>
        </w:rPr>
        <w:t xml:space="preserve">while </w:t>
      </w:r>
      <w:r w:rsidR="0048212D" w:rsidRPr="002A1DFC">
        <w:rPr>
          <w:sz w:val="20"/>
          <w:szCs w:val="20"/>
          <w:lang w:val="en-US"/>
        </w:rPr>
        <w:t>elaborate headdresses made</w:t>
      </w:r>
      <w:r w:rsidR="00107C5F" w:rsidRPr="002A1DFC">
        <w:rPr>
          <w:sz w:val="20"/>
          <w:szCs w:val="20"/>
          <w:lang w:val="en-US"/>
        </w:rPr>
        <w:t xml:space="preserve"> </w:t>
      </w:r>
      <w:r w:rsidR="0048212D" w:rsidRPr="002A1DFC">
        <w:rPr>
          <w:sz w:val="20"/>
          <w:szCs w:val="20"/>
          <w:lang w:val="en-US"/>
        </w:rPr>
        <w:t>of snail shells</w:t>
      </w:r>
      <w:r w:rsidR="00BA1432" w:rsidRPr="002A1DFC">
        <w:rPr>
          <w:sz w:val="20"/>
          <w:szCs w:val="20"/>
          <w:lang w:val="en-US"/>
        </w:rPr>
        <w:t xml:space="preserve"> are more frequently associated with biological</w:t>
      </w:r>
      <w:r w:rsidR="00DB54AE" w:rsidRPr="002A1DFC">
        <w:rPr>
          <w:sz w:val="20"/>
          <w:szCs w:val="20"/>
          <w:lang w:val="en-US"/>
        </w:rPr>
        <w:t>ly</w:t>
      </w:r>
      <w:r w:rsidR="00BA1432" w:rsidRPr="002A1DFC">
        <w:rPr>
          <w:sz w:val="20"/>
          <w:szCs w:val="20"/>
          <w:lang w:val="en-US"/>
        </w:rPr>
        <w:t xml:space="preserve"> female individuals. </w:t>
      </w:r>
      <w:proofErr w:type="spellStart"/>
      <w:r w:rsidR="00C828DD" w:rsidRPr="002A1DFC">
        <w:rPr>
          <w:sz w:val="20"/>
          <w:szCs w:val="20"/>
          <w:lang w:val="en-US"/>
        </w:rPr>
        <w:t>Nieszery</w:t>
      </w:r>
      <w:proofErr w:type="spellEnd"/>
      <w:r w:rsidR="00B57CC4" w:rsidRPr="002A1DFC">
        <w:rPr>
          <w:sz w:val="20"/>
          <w:szCs w:val="20"/>
          <w:lang w:val="en-US"/>
        </w:rPr>
        <w:t xml:space="preserve"> admits that a total of six biological</w:t>
      </w:r>
      <w:r w:rsidR="00CF2859" w:rsidRPr="00AC3978">
        <w:rPr>
          <w:sz w:val="20"/>
          <w:szCs w:val="20"/>
          <w:lang w:val="en-US"/>
        </w:rPr>
        <w:t>ly</w:t>
      </w:r>
      <w:r w:rsidR="00B57CC4" w:rsidRPr="002A1DFC">
        <w:rPr>
          <w:sz w:val="20"/>
          <w:szCs w:val="20"/>
          <w:lang w:val="en-US"/>
        </w:rPr>
        <w:t xml:space="preserve"> female burials</w:t>
      </w:r>
      <w:r w:rsidR="006E73E0" w:rsidRPr="002A1DFC">
        <w:rPr>
          <w:sz w:val="20"/>
          <w:szCs w:val="20"/>
          <w:lang w:val="en-US"/>
        </w:rPr>
        <w:t xml:space="preserve"> (he refers specifically to the burials n</w:t>
      </w:r>
      <w:r w:rsidR="000F4C97" w:rsidRPr="002A1DFC">
        <w:rPr>
          <w:sz w:val="20"/>
          <w:szCs w:val="20"/>
          <w:lang w:val="en-US"/>
        </w:rPr>
        <w:t>o.</w:t>
      </w:r>
      <w:r w:rsidR="006E73E0" w:rsidRPr="002A1DFC">
        <w:rPr>
          <w:sz w:val="20"/>
          <w:szCs w:val="20"/>
          <w:lang w:val="en-US"/>
        </w:rPr>
        <w:t xml:space="preserve"> 19a, 55, 137, 139, 158 and 159)</w:t>
      </w:r>
      <w:r w:rsidR="00B57CC4" w:rsidRPr="002A1DFC">
        <w:rPr>
          <w:sz w:val="20"/>
          <w:szCs w:val="20"/>
          <w:lang w:val="en-US"/>
        </w:rPr>
        <w:t xml:space="preserve"> are indeed associated with </w:t>
      </w:r>
      <w:r w:rsidR="001F13A2">
        <w:rPr>
          <w:sz w:val="20"/>
          <w:szCs w:val="20"/>
          <w:lang w:val="en-US"/>
        </w:rPr>
        <w:t>‘</w:t>
      </w:r>
      <w:r w:rsidR="00B57CC4" w:rsidRPr="002A1DFC">
        <w:rPr>
          <w:sz w:val="20"/>
          <w:szCs w:val="20"/>
          <w:lang w:val="en-US"/>
        </w:rPr>
        <w:t>secure</w:t>
      </w:r>
      <w:r w:rsidR="001F13A2">
        <w:rPr>
          <w:sz w:val="20"/>
          <w:szCs w:val="20"/>
          <w:lang w:val="en-US"/>
        </w:rPr>
        <w:t>’</w:t>
      </w:r>
      <w:r w:rsidR="00B57CC4" w:rsidRPr="002A1DFC">
        <w:rPr>
          <w:sz w:val="20"/>
          <w:szCs w:val="20"/>
          <w:lang w:val="en-US"/>
        </w:rPr>
        <w:t xml:space="preserve"> </w:t>
      </w:r>
      <w:r w:rsidR="00B76CCE" w:rsidRPr="002A1DFC">
        <w:rPr>
          <w:sz w:val="20"/>
          <w:szCs w:val="20"/>
          <w:lang w:val="en-US"/>
        </w:rPr>
        <w:t xml:space="preserve">masculine </w:t>
      </w:r>
      <w:r w:rsidR="00B57CC4" w:rsidRPr="002A1DFC">
        <w:rPr>
          <w:sz w:val="20"/>
          <w:szCs w:val="20"/>
          <w:lang w:val="en-US"/>
        </w:rPr>
        <w:t>attributes</w:t>
      </w:r>
      <w:r w:rsidR="00B16FD3" w:rsidRPr="002A1DFC">
        <w:rPr>
          <w:sz w:val="20"/>
          <w:szCs w:val="20"/>
          <w:lang w:val="en-US"/>
        </w:rPr>
        <w:t>.</w:t>
      </w:r>
      <w:r w:rsidR="00B57CC4" w:rsidRPr="002A1DFC">
        <w:rPr>
          <w:sz w:val="20"/>
          <w:szCs w:val="20"/>
          <w:lang w:val="en-US"/>
        </w:rPr>
        <w:t xml:space="preserve"> </w:t>
      </w:r>
      <w:r w:rsidR="00944495" w:rsidRPr="002A1DFC">
        <w:rPr>
          <w:sz w:val="20"/>
          <w:szCs w:val="20"/>
          <w:lang w:val="en-US"/>
        </w:rPr>
        <w:t xml:space="preserve">Given the </w:t>
      </w:r>
      <w:r w:rsidR="008F4666" w:rsidRPr="002A1DFC">
        <w:rPr>
          <w:sz w:val="20"/>
          <w:szCs w:val="20"/>
          <w:lang w:val="en-US"/>
        </w:rPr>
        <w:t>sex-determination</w:t>
      </w:r>
      <w:r w:rsidR="00944495" w:rsidRPr="002A1DFC">
        <w:rPr>
          <w:sz w:val="20"/>
          <w:szCs w:val="20"/>
          <w:lang w:val="en-US"/>
        </w:rPr>
        <w:t xml:space="preserve">s of these individuals were categorized ‘rather female’, therefore insecure determinations, </w:t>
      </w:r>
      <w:proofErr w:type="spellStart"/>
      <w:r w:rsidR="00944495" w:rsidRPr="002A1DFC">
        <w:rPr>
          <w:sz w:val="20"/>
          <w:szCs w:val="20"/>
          <w:lang w:val="en-US"/>
        </w:rPr>
        <w:t>Nieszery</w:t>
      </w:r>
      <w:proofErr w:type="spellEnd"/>
      <w:r w:rsidR="00944495" w:rsidRPr="002A1DFC">
        <w:rPr>
          <w:sz w:val="20"/>
          <w:szCs w:val="20"/>
          <w:lang w:val="en-US"/>
        </w:rPr>
        <w:t xml:space="preserve"> doubts the validity of the former. </w:t>
      </w:r>
      <w:r w:rsidR="00113BD1" w:rsidRPr="002A1DFC">
        <w:rPr>
          <w:sz w:val="20"/>
          <w:szCs w:val="20"/>
          <w:lang w:val="en-US"/>
        </w:rPr>
        <w:t xml:space="preserve">The indications in </w:t>
      </w:r>
      <w:r w:rsidR="005924C3" w:rsidRPr="002A1DFC">
        <w:rPr>
          <w:sz w:val="20"/>
          <w:szCs w:val="20"/>
          <w:lang w:val="en-US"/>
        </w:rPr>
        <w:t>the</w:t>
      </w:r>
      <w:r w:rsidR="00113BD1" w:rsidRPr="002A1DFC">
        <w:rPr>
          <w:sz w:val="20"/>
          <w:szCs w:val="20"/>
          <w:lang w:val="en-US"/>
        </w:rPr>
        <w:t xml:space="preserve"> </w:t>
      </w:r>
      <w:r w:rsidR="00944495" w:rsidRPr="002A1DFC">
        <w:rPr>
          <w:sz w:val="20"/>
          <w:szCs w:val="20"/>
          <w:lang w:val="en-US"/>
        </w:rPr>
        <w:t>grave inventory</w:t>
      </w:r>
      <w:r w:rsidR="00113BD1" w:rsidRPr="002A1DFC">
        <w:rPr>
          <w:sz w:val="20"/>
          <w:szCs w:val="20"/>
          <w:lang w:val="en-US"/>
        </w:rPr>
        <w:t xml:space="preserve">, however, feature ‘secure’ female determinations. It is therefore unclear based on what indication the author decided to classify these burials as ‘rather female’. </w:t>
      </w:r>
      <w:r w:rsidR="00373382" w:rsidRPr="002A1DFC">
        <w:rPr>
          <w:sz w:val="20"/>
          <w:szCs w:val="20"/>
          <w:lang w:val="en-US"/>
        </w:rPr>
        <w:t>A supra-regional comparison of contemporaneous burials would</w:t>
      </w:r>
      <w:r w:rsidR="00113BD1" w:rsidRPr="002A1DFC">
        <w:rPr>
          <w:sz w:val="20"/>
          <w:szCs w:val="20"/>
          <w:lang w:val="en-US"/>
        </w:rPr>
        <w:t xml:space="preserve">, in </w:t>
      </w:r>
      <w:r w:rsidR="005924C3" w:rsidRPr="002A1DFC">
        <w:rPr>
          <w:sz w:val="20"/>
          <w:szCs w:val="20"/>
          <w:lang w:val="en-US"/>
        </w:rPr>
        <w:t xml:space="preserve">the author’s </w:t>
      </w:r>
      <w:r w:rsidR="00113BD1" w:rsidRPr="002A1DFC">
        <w:rPr>
          <w:sz w:val="20"/>
          <w:szCs w:val="20"/>
          <w:lang w:val="en-US"/>
        </w:rPr>
        <w:t>view,</w:t>
      </w:r>
      <w:r w:rsidR="00373382" w:rsidRPr="002A1DFC">
        <w:rPr>
          <w:sz w:val="20"/>
          <w:szCs w:val="20"/>
          <w:lang w:val="en-US"/>
        </w:rPr>
        <w:t xml:space="preserve"> finally support</w:t>
      </w:r>
      <w:r w:rsidR="005924C3" w:rsidRPr="002A1DFC">
        <w:rPr>
          <w:sz w:val="20"/>
          <w:szCs w:val="20"/>
          <w:lang w:val="en-US"/>
        </w:rPr>
        <w:t xml:space="preserve"> the</w:t>
      </w:r>
      <w:r w:rsidR="00373382" w:rsidRPr="002A1DFC">
        <w:rPr>
          <w:sz w:val="20"/>
          <w:szCs w:val="20"/>
          <w:lang w:val="en-US"/>
        </w:rPr>
        <w:t xml:space="preserve"> argumentation and allow </w:t>
      </w:r>
      <w:r w:rsidR="005924C3" w:rsidRPr="002A1DFC">
        <w:rPr>
          <w:sz w:val="20"/>
          <w:szCs w:val="20"/>
          <w:lang w:val="en-US"/>
        </w:rPr>
        <w:t>the latter</w:t>
      </w:r>
      <w:r w:rsidR="00373382" w:rsidRPr="002A1DFC">
        <w:rPr>
          <w:sz w:val="20"/>
          <w:szCs w:val="20"/>
          <w:lang w:val="en-US"/>
        </w:rPr>
        <w:t xml:space="preserve"> to reject the </w:t>
      </w:r>
      <w:r w:rsidR="009D7719" w:rsidRPr="002A1DFC">
        <w:rPr>
          <w:sz w:val="20"/>
          <w:szCs w:val="20"/>
          <w:lang w:val="en-US"/>
        </w:rPr>
        <w:t xml:space="preserve">osteological </w:t>
      </w:r>
      <w:r w:rsidR="00373382" w:rsidRPr="002A1DFC">
        <w:rPr>
          <w:sz w:val="20"/>
          <w:szCs w:val="20"/>
          <w:lang w:val="en-US"/>
        </w:rPr>
        <w:t>determination</w:t>
      </w:r>
      <w:r w:rsidR="00A570AE" w:rsidRPr="002A1DFC">
        <w:rPr>
          <w:sz w:val="20"/>
          <w:szCs w:val="20"/>
          <w:lang w:val="en-US"/>
        </w:rPr>
        <w:t xml:space="preserve">s of the </w:t>
      </w:r>
      <w:r w:rsidR="009D7719" w:rsidRPr="002A1DFC">
        <w:rPr>
          <w:sz w:val="20"/>
          <w:szCs w:val="20"/>
          <w:lang w:val="en-US"/>
        </w:rPr>
        <w:t>‘</w:t>
      </w:r>
      <w:r w:rsidR="00A570AE" w:rsidRPr="002A1DFC">
        <w:rPr>
          <w:sz w:val="20"/>
          <w:szCs w:val="20"/>
          <w:lang w:val="en-US"/>
        </w:rPr>
        <w:t>mismatches</w:t>
      </w:r>
      <w:r w:rsidR="009D7719" w:rsidRPr="002A1DFC">
        <w:rPr>
          <w:sz w:val="20"/>
          <w:szCs w:val="20"/>
          <w:lang w:val="en-US"/>
        </w:rPr>
        <w:t>’</w:t>
      </w:r>
      <w:r w:rsidR="00373382" w:rsidRPr="002A1DFC">
        <w:rPr>
          <w:sz w:val="20"/>
          <w:szCs w:val="20"/>
          <w:lang w:val="en-US"/>
        </w:rPr>
        <w:t>.</w:t>
      </w:r>
      <w:r w:rsidR="00107C5F" w:rsidRPr="002A1DFC">
        <w:rPr>
          <w:sz w:val="20"/>
          <w:szCs w:val="20"/>
          <w:lang w:val="en-US"/>
        </w:rPr>
        <w:t xml:space="preserve"> </w:t>
      </w:r>
      <w:r w:rsidR="00A570AE" w:rsidRPr="002A1DFC">
        <w:rPr>
          <w:sz w:val="20"/>
          <w:szCs w:val="20"/>
          <w:lang w:val="en-US"/>
        </w:rPr>
        <w:t>While statistics are recurrently referred t</w:t>
      </w:r>
      <w:r w:rsidR="00420321" w:rsidRPr="002A1DFC">
        <w:rPr>
          <w:sz w:val="20"/>
          <w:szCs w:val="20"/>
          <w:lang w:val="en-US"/>
        </w:rPr>
        <w:t xml:space="preserve">o in order to argue the mentioned 6 female </w:t>
      </w:r>
      <w:r w:rsidR="00B76CCE" w:rsidRPr="002A1DFC">
        <w:rPr>
          <w:sz w:val="20"/>
          <w:szCs w:val="20"/>
          <w:lang w:val="en-US"/>
        </w:rPr>
        <w:t xml:space="preserve">osteological </w:t>
      </w:r>
      <w:r w:rsidR="00420321" w:rsidRPr="002A1DFC">
        <w:rPr>
          <w:sz w:val="20"/>
          <w:szCs w:val="20"/>
          <w:lang w:val="en-US"/>
        </w:rPr>
        <w:t xml:space="preserve">and male archaeological </w:t>
      </w:r>
      <w:r w:rsidR="00B76CCE" w:rsidRPr="002A1DFC">
        <w:rPr>
          <w:sz w:val="20"/>
          <w:szCs w:val="20"/>
          <w:lang w:val="en-US"/>
        </w:rPr>
        <w:t>‘</w:t>
      </w:r>
      <w:r w:rsidR="00420321" w:rsidRPr="002A1DFC">
        <w:rPr>
          <w:sz w:val="20"/>
          <w:szCs w:val="20"/>
          <w:lang w:val="en-US"/>
        </w:rPr>
        <w:t>mismatches</w:t>
      </w:r>
      <w:r w:rsidR="00B76CCE" w:rsidRPr="002A1DFC">
        <w:rPr>
          <w:sz w:val="20"/>
          <w:szCs w:val="20"/>
          <w:lang w:val="en-US"/>
        </w:rPr>
        <w:t>’</w:t>
      </w:r>
      <w:r w:rsidR="00420321" w:rsidRPr="002A1DFC">
        <w:rPr>
          <w:sz w:val="20"/>
          <w:szCs w:val="20"/>
          <w:lang w:val="en-US"/>
        </w:rPr>
        <w:t xml:space="preserve"> as </w:t>
      </w:r>
      <w:r w:rsidR="009D7719" w:rsidRPr="002A1DFC">
        <w:rPr>
          <w:sz w:val="20"/>
          <w:szCs w:val="20"/>
          <w:lang w:val="en-US"/>
        </w:rPr>
        <w:t xml:space="preserve">determination </w:t>
      </w:r>
      <w:r w:rsidR="00420321" w:rsidRPr="002A1DFC">
        <w:rPr>
          <w:sz w:val="20"/>
          <w:szCs w:val="20"/>
          <w:lang w:val="en-US"/>
        </w:rPr>
        <w:t xml:space="preserve">errors, the reverse case of the snail shell headdresses, with which 8 biological female and 2 (albeit) secure male individuals were associated, leads the author to the conclusion that headdresses may </w:t>
      </w:r>
      <w:r w:rsidR="002D77CC" w:rsidRPr="002A1DFC">
        <w:rPr>
          <w:sz w:val="20"/>
          <w:szCs w:val="20"/>
          <w:lang w:val="en-US"/>
        </w:rPr>
        <w:t xml:space="preserve">rather </w:t>
      </w:r>
      <w:r w:rsidR="00420321" w:rsidRPr="002A1DFC">
        <w:rPr>
          <w:sz w:val="20"/>
          <w:szCs w:val="20"/>
          <w:lang w:val="en-US"/>
        </w:rPr>
        <w:t xml:space="preserve">not be a secure indicator of </w:t>
      </w:r>
      <w:r w:rsidR="00B76CCE" w:rsidRPr="002A1DFC">
        <w:rPr>
          <w:sz w:val="20"/>
          <w:szCs w:val="20"/>
          <w:lang w:val="en-US"/>
        </w:rPr>
        <w:t xml:space="preserve">feminine </w:t>
      </w:r>
      <w:r w:rsidR="00420321" w:rsidRPr="002A1DFC">
        <w:rPr>
          <w:sz w:val="20"/>
          <w:szCs w:val="20"/>
          <w:lang w:val="en-US"/>
        </w:rPr>
        <w:t xml:space="preserve">archaeological gender. </w:t>
      </w:r>
      <w:r w:rsidR="00107C5F" w:rsidRPr="002A1DFC">
        <w:rPr>
          <w:sz w:val="20"/>
          <w:szCs w:val="20"/>
          <w:lang w:val="en-US"/>
        </w:rPr>
        <w:t xml:space="preserve">Nonetheless, in the case the </w:t>
      </w:r>
      <w:r w:rsidR="009D7719" w:rsidRPr="002A1DFC">
        <w:rPr>
          <w:sz w:val="20"/>
          <w:szCs w:val="20"/>
          <w:lang w:val="en-US"/>
        </w:rPr>
        <w:t xml:space="preserve">osteological </w:t>
      </w:r>
      <w:r w:rsidR="00107C5F" w:rsidRPr="002A1DFC">
        <w:rPr>
          <w:sz w:val="20"/>
          <w:szCs w:val="20"/>
          <w:lang w:val="en-US"/>
        </w:rPr>
        <w:t xml:space="preserve">determinations were, in the end, correct, the author </w:t>
      </w:r>
      <w:r w:rsidR="00C61E86" w:rsidRPr="002A1DFC">
        <w:rPr>
          <w:sz w:val="20"/>
          <w:szCs w:val="20"/>
          <w:lang w:val="en-US"/>
        </w:rPr>
        <w:t xml:space="preserve">cautiously </w:t>
      </w:r>
      <w:r w:rsidR="00BA1C10" w:rsidRPr="002A1DFC">
        <w:rPr>
          <w:sz w:val="20"/>
          <w:szCs w:val="20"/>
          <w:lang w:val="en-US"/>
        </w:rPr>
        <w:t xml:space="preserve">takes other </w:t>
      </w:r>
      <w:r w:rsidR="00107C5F" w:rsidRPr="002A1DFC">
        <w:rPr>
          <w:sz w:val="20"/>
          <w:szCs w:val="20"/>
          <w:lang w:val="en-US"/>
        </w:rPr>
        <w:t>possibilit</w:t>
      </w:r>
      <w:r w:rsidR="00BA1C10" w:rsidRPr="002A1DFC">
        <w:rPr>
          <w:sz w:val="20"/>
          <w:szCs w:val="20"/>
          <w:lang w:val="en-US"/>
        </w:rPr>
        <w:t>ies into consideration, e.g.</w:t>
      </w:r>
      <w:r w:rsidR="00107C5F" w:rsidRPr="002A1DFC">
        <w:rPr>
          <w:sz w:val="20"/>
          <w:szCs w:val="20"/>
          <w:lang w:val="en-US"/>
        </w:rPr>
        <w:t xml:space="preserve"> cases of intersexuality</w:t>
      </w:r>
      <w:r w:rsidR="005515A1" w:rsidRPr="002A1DFC">
        <w:rPr>
          <w:sz w:val="20"/>
          <w:szCs w:val="20"/>
          <w:lang w:val="en-US"/>
        </w:rPr>
        <w:t xml:space="preserve">, </w:t>
      </w:r>
      <w:r w:rsidR="00C61E86" w:rsidRPr="002A1DFC">
        <w:rPr>
          <w:sz w:val="20"/>
          <w:szCs w:val="20"/>
          <w:lang w:val="en-US"/>
        </w:rPr>
        <w:t xml:space="preserve">bisexuality, </w:t>
      </w:r>
      <w:proofErr w:type="spellStart"/>
      <w:r w:rsidR="00C61E86" w:rsidRPr="002A1DFC">
        <w:rPr>
          <w:sz w:val="20"/>
          <w:szCs w:val="20"/>
          <w:lang w:val="en-US"/>
        </w:rPr>
        <w:t>transvestism</w:t>
      </w:r>
      <w:proofErr w:type="spellEnd"/>
      <w:r w:rsidR="00C61E86" w:rsidRPr="002A1DFC">
        <w:rPr>
          <w:sz w:val="20"/>
          <w:szCs w:val="20"/>
          <w:lang w:val="en-US"/>
        </w:rPr>
        <w:t>, transsexuality and androgyny, which are</w:t>
      </w:r>
      <w:r w:rsidR="00107C5F" w:rsidRPr="002A1DFC">
        <w:rPr>
          <w:sz w:val="20"/>
          <w:szCs w:val="20"/>
          <w:lang w:val="en-US"/>
        </w:rPr>
        <w:t xml:space="preserve"> </w:t>
      </w:r>
      <w:r w:rsidR="00C61E86" w:rsidRPr="002A1DFC">
        <w:rPr>
          <w:sz w:val="20"/>
          <w:szCs w:val="20"/>
          <w:lang w:val="en-US"/>
        </w:rPr>
        <w:t>frequently associated with</w:t>
      </w:r>
      <w:r w:rsidR="00107C5F" w:rsidRPr="002A1DFC">
        <w:rPr>
          <w:sz w:val="20"/>
          <w:szCs w:val="20"/>
          <w:lang w:val="en-US"/>
        </w:rPr>
        <w:t xml:space="preserve"> shaman</w:t>
      </w:r>
      <w:r w:rsidR="00C61E86" w:rsidRPr="002A1DFC">
        <w:rPr>
          <w:sz w:val="20"/>
          <w:szCs w:val="20"/>
          <w:lang w:val="en-US"/>
        </w:rPr>
        <w:t>i</w:t>
      </w:r>
      <w:r w:rsidR="00107C5F" w:rsidRPr="002A1DFC">
        <w:rPr>
          <w:sz w:val="20"/>
          <w:szCs w:val="20"/>
          <w:lang w:val="en-US"/>
        </w:rPr>
        <w:t>s</w:t>
      </w:r>
      <w:r w:rsidR="00C61E86" w:rsidRPr="002A1DFC">
        <w:rPr>
          <w:sz w:val="20"/>
          <w:szCs w:val="20"/>
          <w:lang w:val="en-US"/>
        </w:rPr>
        <w:t xml:space="preserve">m </w:t>
      </w:r>
      <w:r w:rsidR="00113BD1" w:rsidRPr="002A1DFC">
        <w:rPr>
          <w:sz w:val="20"/>
          <w:szCs w:val="20"/>
          <w:lang w:val="en-US"/>
        </w:rPr>
        <w:t>among</w:t>
      </w:r>
      <w:r w:rsidR="00C61E86" w:rsidRPr="002A1DFC">
        <w:rPr>
          <w:sz w:val="20"/>
          <w:szCs w:val="20"/>
          <w:lang w:val="en-US"/>
        </w:rPr>
        <w:t xml:space="preserve"> </w:t>
      </w:r>
      <w:r w:rsidR="00944495" w:rsidRPr="002A1DFC">
        <w:rPr>
          <w:sz w:val="20"/>
          <w:szCs w:val="20"/>
          <w:lang w:val="en-US"/>
        </w:rPr>
        <w:t>‘</w:t>
      </w:r>
      <w:r w:rsidR="00C61E86" w:rsidRPr="002A1DFC">
        <w:rPr>
          <w:sz w:val="20"/>
          <w:szCs w:val="20"/>
          <w:lang w:val="en-US"/>
        </w:rPr>
        <w:t>primitive people</w:t>
      </w:r>
      <w:r w:rsidR="00944495" w:rsidRPr="002A1DFC">
        <w:rPr>
          <w:sz w:val="20"/>
          <w:szCs w:val="20"/>
          <w:lang w:val="en-US"/>
        </w:rPr>
        <w:t>’</w:t>
      </w:r>
      <w:r w:rsidR="00107C5F" w:rsidRPr="002A1DFC">
        <w:rPr>
          <w:sz w:val="20"/>
          <w:szCs w:val="20"/>
          <w:lang w:val="en-US"/>
        </w:rPr>
        <w:t xml:space="preserve">. </w:t>
      </w:r>
      <w:r w:rsidR="00BF4423" w:rsidRPr="002A1DFC">
        <w:rPr>
          <w:sz w:val="20"/>
          <w:szCs w:val="20"/>
          <w:lang w:val="en-US"/>
        </w:rPr>
        <w:t xml:space="preserve">Based on combined </w:t>
      </w:r>
      <w:r w:rsidR="00050CB6" w:rsidRPr="002A1DFC">
        <w:rPr>
          <w:sz w:val="20"/>
          <w:szCs w:val="20"/>
          <w:lang w:val="en-US"/>
        </w:rPr>
        <w:t>‘</w:t>
      </w:r>
      <w:proofErr w:type="spellStart"/>
      <w:r w:rsidR="00BF4423" w:rsidRPr="002A1DFC">
        <w:rPr>
          <w:sz w:val="20"/>
          <w:szCs w:val="20"/>
          <w:lang w:val="en-US"/>
        </w:rPr>
        <w:t>archaeo</w:t>
      </w:r>
      <w:proofErr w:type="spellEnd"/>
      <w:r w:rsidR="00BF4423" w:rsidRPr="002A1DFC">
        <w:rPr>
          <w:sz w:val="20"/>
          <w:szCs w:val="20"/>
          <w:lang w:val="en-US"/>
        </w:rPr>
        <w:t>-anthropological</w:t>
      </w:r>
      <w:r w:rsidR="00050CB6" w:rsidRPr="002A1DFC">
        <w:rPr>
          <w:sz w:val="20"/>
          <w:szCs w:val="20"/>
          <w:lang w:val="en-US"/>
        </w:rPr>
        <w:t>’</w:t>
      </w:r>
      <w:r w:rsidR="00BF4423" w:rsidRPr="002A1DFC">
        <w:rPr>
          <w:sz w:val="20"/>
          <w:szCs w:val="20"/>
          <w:lang w:val="en-US"/>
        </w:rPr>
        <w:t xml:space="preserve"> analyses, </w:t>
      </w:r>
      <w:proofErr w:type="spellStart"/>
      <w:r w:rsidR="00BF4423" w:rsidRPr="002A1DFC">
        <w:rPr>
          <w:sz w:val="20"/>
          <w:szCs w:val="20"/>
          <w:lang w:val="en-US"/>
        </w:rPr>
        <w:t>Nieszery</w:t>
      </w:r>
      <w:proofErr w:type="spellEnd"/>
      <w:r w:rsidR="00BF4423" w:rsidRPr="002A1DFC">
        <w:rPr>
          <w:sz w:val="20"/>
          <w:szCs w:val="20"/>
          <w:lang w:val="en-US"/>
        </w:rPr>
        <w:t xml:space="preserve"> </w:t>
      </w:r>
      <w:r w:rsidR="00407642" w:rsidRPr="002A1DFC">
        <w:rPr>
          <w:noProof/>
          <w:sz w:val="20"/>
          <w:szCs w:val="20"/>
          <w:lang w:val="en-US"/>
        </w:rPr>
        <w:t>(1995</w:t>
      </w:r>
      <w:r w:rsidR="001659E5" w:rsidRPr="002A1DFC">
        <w:rPr>
          <w:noProof/>
          <w:sz w:val="20"/>
          <w:szCs w:val="20"/>
          <w:lang w:val="en-US"/>
        </w:rPr>
        <w:t>,</w:t>
      </w:r>
      <w:r w:rsidR="00407642" w:rsidRPr="002A1DFC">
        <w:rPr>
          <w:noProof/>
          <w:sz w:val="20"/>
          <w:szCs w:val="20"/>
          <w:lang w:val="en-US"/>
        </w:rPr>
        <w:t xml:space="preserve"> 112)</w:t>
      </w:r>
      <w:r w:rsidR="00BF4423" w:rsidRPr="002A1DFC">
        <w:rPr>
          <w:sz w:val="20"/>
          <w:szCs w:val="20"/>
          <w:lang w:val="en-US"/>
        </w:rPr>
        <w:t xml:space="preserve"> </w:t>
      </w:r>
      <w:r w:rsidR="00944495" w:rsidRPr="002A1DFC">
        <w:rPr>
          <w:sz w:val="20"/>
          <w:szCs w:val="20"/>
          <w:lang w:val="en-US"/>
        </w:rPr>
        <w:t xml:space="preserve">states that the number of </w:t>
      </w:r>
      <w:r w:rsidR="00BF4423" w:rsidRPr="002A1DFC">
        <w:rPr>
          <w:sz w:val="20"/>
          <w:szCs w:val="20"/>
          <w:lang w:val="en-US"/>
        </w:rPr>
        <w:t xml:space="preserve">male individuals </w:t>
      </w:r>
      <w:r w:rsidR="00944495" w:rsidRPr="002A1DFC">
        <w:rPr>
          <w:sz w:val="20"/>
          <w:szCs w:val="20"/>
          <w:lang w:val="en-US"/>
        </w:rPr>
        <w:t xml:space="preserve">in </w:t>
      </w:r>
      <w:proofErr w:type="spellStart"/>
      <w:r w:rsidR="00944495" w:rsidRPr="002A1DFC">
        <w:rPr>
          <w:sz w:val="20"/>
          <w:szCs w:val="20"/>
          <w:lang w:val="en-US"/>
        </w:rPr>
        <w:t>Aiterhofen</w:t>
      </w:r>
      <w:proofErr w:type="spellEnd"/>
      <w:r w:rsidR="00944495" w:rsidRPr="002A1DFC">
        <w:rPr>
          <w:sz w:val="20"/>
          <w:szCs w:val="20"/>
          <w:lang w:val="en-US"/>
        </w:rPr>
        <w:t xml:space="preserve"> predominates that of </w:t>
      </w:r>
      <w:r w:rsidR="00BF4423" w:rsidRPr="002A1DFC">
        <w:rPr>
          <w:sz w:val="20"/>
          <w:szCs w:val="20"/>
          <w:lang w:val="en-US"/>
        </w:rPr>
        <w:t xml:space="preserve">female individuals. </w:t>
      </w:r>
    </w:p>
    <w:p w14:paraId="16C3CAC3" w14:textId="2C5312BE" w:rsidR="005A58CE" w:rsidRPr="002A1DFC" w:rsidRDefault="00605888" w:rsidP="00944495">
      <w:pPr>
        <w:jc w:val="both"/>
        <w:rPr>
          <w:bCs/>
          <w:sz w:val="20"/>
          <w:szCs w:val="20"/>
          <w:lang w:val="en-US"/>
        </w:rPr>
      </w:pPr>
      <w:r w:rsidRPr="002A1DFC">
        <w:rPr>
          <w:b/>
          <w:sz w:val="20"/>
          <w:szCs w:val="20"/>
          <w:lang w:val="en-US"/>
        </w:rPr>
        <w:t>Data use and reconstruction for this article</w:t>
      </w:r>
      <w:r w:rsidR="005A58CE" w:rsidRPr="002A1DFC">
        <w:rPr>
          <w:b/>
          <w:sz w:val="20"/>
          <w:szCs w:val="20"/>
          <w:lang w:val="en-US"/>
        </w:rPr>
        <w:t xml:space="preserve">: </w:t>
      </w:r>
      <w:r w:rsidR="00D37C81" w:rsidRPr="002A1DFC">
        <w:rPr>
          <w:bCs/>
          <w:sz w:val="20"/>
          <w:szCs w:val="20"/>
          <w:lang w:val="en-US"/>
        </w:rPr>
        <w:t xml:space="preserve">The collected </w:t>
      </w:r>
      <w:r w:rsidR="008F4666" w:rsidRPr="002A1DFC">
        <w:rPr>
          <w:bCs/>
          <w:sz w:val="20"/>
          <w:szCs w:val="20"/>
          <w:lang w:val="en-US"/>
        </w:rPr>
        <w:t>gender-data</w:t>
      </w:r>
      <w:r w:rsidR="00D37C81" w:rsidRPr="002A1DFC">
        <w:rPr>
          <w:bCs/>
          <w:sz w:val="20"/>
          <w:szCs w:val="20"/>
          <w:lang w:val="en-US"/>
        </w:rPr>
        <w:t xml:space="preserve"> is based on </w:t>
      </w:r>
      <w:proofErr w:type="spellStart"/>
      <w:r w:rsidR="00D37C81" w:rsidRPr="002A1DFC">
        <w:rPr>
          <w:bCs/>
          <w:sz w:val="20"/>
          <w:szCs w:val="20"/>
          <w:lang w:val="en-US"/>
        </w:rPr>
        <w:t>Nieszery’s</w:t>
      </w:r>
      <w:proofErr w:type="spellEnd"/>
      <w:r w:rsidR="00D37C81" w:rsidRPr="002A1DFC">
        <w:rPr>
          <w:bCs/>
          <w:sz w:val="20"/>
          <w:szCs w:val="20"/>
          <w:lang w:val="en-US"/>
        </w:rPr>
        <w:t xml:space="preserve"> indications, which are either indicated in the grave inventories </w:t>
      </w:r>
      <w:r w:rsidR="00407642" w:rsidRPr="002A1DFC">
        <w:rPr>
          <w:sz w:val="20"/>
          <w:lang w:val="en-US"/>
        </w:rPr>
        <w:t>(1995</w:t>
      </w:r>
      <w:r w:rsidR="001659E5" w:rsidRPr="002A1DFC">
        <w:rPr>
          <w:sz w:val="20"/>
          <w:lang w:val="en-US"/>
        </w:rPr>
        <w:t>,</w:t>
      </w:r>
      <w:r w:rsidR="00407642" w:rsidRPr="002A1DFC">
        <w:rPr>
          <w:sz w:val="20"/>
          <w:lang w:val="en-US"/>
        </w:rPr>
        <w:t xml:space="preserve"> 264-296, under the section “</w:t>
      </w:r>
      <w:proofErr w:type="spellStart"/>
      <w:r w:rsidR="00407642" w:rsidRPr="002A1DFC">
        <w:rPr>
          <w:i/>
          <w:sz w:val="20"/>
          <w:lang w:val="en-US"/>
        </w:rPr>
        <w:t>archäo-anthropologischer</w:t>
      </w:r>
      <w:proofErr w:type="spellEnd"/>
      <w:r w:rsidR="00407642" w:rsidRPr="002A1DFC">
        <w:rPr>
          <w:i/>
          <w:sz w:val="20"/>
          <w:lang w:val="en-US"/>
        </w:rPr>
        <w:t xml:space="preserve"> </w:t>
      </w:r>
      <w:proofErr w:type="spellStart"/>
      <w:r w:rsidR="00407642" w:rsidRPr="002A1DFC">
        <w:rPr>
          <w:i/>
          <w:sz w:val="20"/>
          <w:lang w:val="en-US"/>
        </w:rPr>
        <w:t>Befund</w:t>
      </w:r>
      <w:proofErr w:type="spellEnd"/>
      <w:r w:rsidR="00407642" w:rsidRPr="002A1DFC">
        <w:rPr>
          <w:sz w:val="20"/>
          <w:lang w:val="en-US"/>
        </w:rPr>
        <w:t>”)</w:t>
      </w:r>
      <w:r w:rsidR="00D37C81" w:rsidRPr="002A1DFC">
        <w:rPr>
          <w:bCs/>
          <w:sz w:val="20"/>
          <w:szCs w:val="20"/>
          <w:lang w:val="en-US"/>
        </w:rPr>
        <w:t xml:space="preserve"> or in the seriation table </w:t>
      </w:r>
      <w:r w:rsidR="00407642" w:rsidRPr="002A1DFC">
        <w:rPr>
          <w:bCs/>
          <w:noProof/>
          <w:sz w:val="20"/>
          <w:szCs w:val="20"/>
          <w:lang w:val="en-US"/>
        </w:rPr>
        <w:t>(1995</w:t>
      </w:r>
      <w:r w:rsidR="001659E5" w:rsidRPr="002A1DFC">
        <w:rPr>
          <w:bCs/>
          <w:noProof/>
          <w:sz w:val="20"/>
          <w:szCs w:val="20"/>
          <w:lang w:val="en-US"/>
        </w:rPr>
        <w:t>,</w:t>
      </w:r>
      <w:r w:rsidR="00407642" w:rsidRPr="002A1DFC">
        <w:rPr>
          <w:bCs/>
          <w:noProof/>
          <w:sz w:val="20"/>
          <w:szCs w:val="20"/>
          <w:lang w:val="en-US"/>
        </w:rPr>
        <w:t xml:space="preserve"> 110-111, fig. 63)</w:t>
      </w:r>
      <w:r w:rsidR="00D37C81" w:rsidRPr="002A1DFC">
        <w:rPr>
          <w:bCs/>
          <w:sz w:val="20"/>
          <w:szCs w:val="20"/>
          <w:lang w:val="en-US"/>
        </w:rPr>
        <w:t>. The collected sex</w:t>
      </w:r>
      <w:r w:rsidR="00FF2637" w:rsidRPr="002A1DFC">
        <w:rPr>
          <w:bCs/>
          <w:sz w:val="20"/>
          <w:szCs w:val="20"/>
          <w:lang w:val="en-US"/>
        </w:rPr>
        <w:t>/age</w:t>
      </w:r>
      <w:r w:rsidR="00D37C81" w:rsidRPr="002A1DFC">
        <w:rPr>
          <w:bCs/>
          <w:sz w:val="20"/>
          <w:szCs w:val="20"/>
          <w:lang w:val="en-US"/>
        </w:rPr>
        <w:t>-data is based on all datasets generated by three different anthropologists (</w:t>
      </w:r>
      <w:proofErr w:type="spellStart"/>
      <w:r w:rsidR="00D37C81" w:rsidRPr="002A1DFC">
        <w:rPr>
          <w:bCs/>
          <w:sz w:val="20"/>
          <w:szCs w:val="20"/>
          <w:lang w:val="en-US"/>
        </w:rPr>
        <w:t>Lantermann</w:t>
      </w:r>
      <w:proofErr w:type="spellEnd"/>
      <w:r w:rsidR="00D37C81" w:rsidRPr="002A1DFC">
        <w:rPr>
          <w:bCs/>
          <w:sz w:val="20"/>
          <w:szCs w:val="20"/>
          <w:lang w:val="en-US"/>
        </w:rPr>
        <w:t xml:space="preserve">, Baum and Schultz). </w:t>
      </w:r>
      <w:proofErr w:type="spellStart"/>
      <w:r w:rsidR="00D37C81" w:rsidRPr="002A1DFC">
        <w:rPr>
          <w:bCs/>
          <w:sz w:val="20"/>
          <w:szCs w:val="20"/>
          <w:lang w:val="en-US"/>
        </w:rPr>
        <w:t>Lantermann’s</w:t>
      </w:r>
      <w:proofErr w:type="spellEnd"/>
      <w:r w:rsidR="00D37C81" w:rsidRPr="002A1DFC">
        <w:rPr>
          <w:bCs/>
          <w:sz w:val="20"/>
          <w:szCs w:val="20"/>
          <w:lang w:val="en-US"/>
        </w:rPr>
        <w:t xml:space="preserve"> determinations were applied whenever other </w:t>
      </w:r>
      <w:r w:rsidR="009D7719" w:rsidRPr="002A1DFC">
        <w:rPr>
          <w:bCs/>
          <w:sz w:val="20"/>
          <w:szCs w:val="20"/>
          <w:lang w:val="en-US"/>
        </w:rPr>
        <w:t xml:space="preserve">osteological </w:t>
      </w:r>
      <w:r w:rsidR="00D37C81" w:rsidRPr="002A1DFC">
        <w:rPr>
          <w:bCs/>
          <w:sz w:val="20"/>
          <w:szCs w:val="20"/>
          <w:lang w:val="en-US"/>
        </w:rPr>
        <w:t xml:space="preserve">results are indeterminate or non-existent. In the case of contradictions between the datasets, </w:t>
      </w:r>
      <w:r w:rsidR="003C10FD" w:rsidRPr="002A1DFC">
        <w:rPr>
          <w:bCs/>
          <w:sz w:val="20"/>
          <w:szCs w:val="20"/>
          <w:lang w:val="en-US"/>
        </w:rPr>
        <w:t xml:space="preserve">the principle of ‘the majority wins’ was applied. </w:t>
      </w:r>
    </w:p>
    <w:p w14:paraId="1B344A8F" w14:textId="1D61A3A2" w:rsidR="003C10FD" w:rsidRPr="002A1DFC" w:rsidRDefault="00944495" w:rsidP="00862D4B">
      <w:pPr>
        <w:rPr>
          <w:bCs/>
          <w:sz w:val="20"/>
          <w:szCs w:val="20"/>
          <w:lang w:val="en-US"/>
        </w:rPr>
      </w:pPr>
      <w:r w:rsidRPr="002A1DFC">
        <w:rPr>
          <w:b/>
          <w:sz w:val="20"/>
          <w:szCs w:val="20"/>
          <w:lang w:val="en-US"/>
        </w:rPr>
        <w:t>S</w:t>
      </w:r>
      <w:r w:rsidR="00CA3F4F" w:rsidRPr="002A1DFC">
        <w:rPr>
          <w:b/>
          <w:sz w:val="20"/>
          <w:szCs w:val="20"/>
          <w:lang w:val="en-US"/>
        </w:rPr>
        <w:t>ex and gender associations</w:t>
      </w:r>
      <w:r w:rsidR="003C10FD" w:rsidRPr="002A1DFC">
        <w:rPr>
          <w:b/>
          <w:sz w:val="20"/>
          <w:szCs w:val="20"/>
          <w:lang w:val="en-US"/>
        </w:rPr>
        <w:t>:</w:t>
      </w:r>
      <w:r w:rsidR="003C10FD" w:rsidRPr="002A1DFC">
        <w:rPr>
          <w:bCs/>
          <w:sz w:val="20"/>
          <w:szCs w:val="20"/>
          <w:lang w:val="en-US"/>
        </w:rPr>
        <w:t xml:space="preserve"> </w:t>
      </w:r>
      <w:r w:rsidR="003417C5" w:rsidRPr="002A1DFC">
        <w:rPr>
          <w:bCs/>
          <w:sz w:val="20"/>
          <w:szCs w:val="20"/>
          <w:lang w:val="en-US"/>
        </w:rPr>
        <w:t>m</w:t>
      </w:r>
      <w:r w:rsidR="003C10FD" w:rsidRPr="002A1DFC">
        <w:rPr>
          <w:bCs/>
          <w:sz w:val="20"/>
          <w:szCs w:val="20"/>
          <w:lang w:val="en-US"/>
        </w:rPr>
        <w:t xml:space="preserve">atch </w:t>
      </w:r>
      <w:r w:rsidR="00715C88" w:rsidRPr="002A1DFC">
        <w:rPr>
          <w:bCs/>
          <w:sz w:val="20"/>
          <w:szCs w:val="20"/>
          <w:lang w:val="en-US"/>
        </w:rPr>
        <w:t>(</w:t>
      </w:r>
      <w:r w:rsidR="003C10FD" w:rsidRPr="002A1DFC">
        <w:rPr>
          <w:bCs/>
          <w:sz w:val="20"/>
          <w:szCs w:val="20"/>
          <w:lang w:val="en-US"/>
        </w:rPr>
        <w:t>n</w:t>
      </w:r>
      <w:r w:rsidR="00715C88" w:rsidRPr="002A1DFC">
        <w:rPr>
          <w:bCs/>
          <w:sz w:val="20"/>
          <w:szCs w:val="20"/>
          <w:lang w:val="en-US"/>
        </w:rPr>
        <w:t>)</w:t>
      </w:r>
      <w:r w:rsidR="003C10FD" w:rsidRPr="002A1DFC">
        <w:rPr>
          <w:bCs/>
          <w:sz w:val="20"/>
          <w:szCs w:val="20"/>
          <w:lang w:val="en-US"/>
        </w:rPr>
        <w:t xml:space="preserve"> = 35</w:t>
      </w:r>
      <w:r w:rsidR="005C58D2" w:rsidRPr="002A1DFC">
        <w:rPr>
          <w:bCs/>
          <w:sz w:val="20"/>
          <w:szCs w:val="20"/>
          <w:lang w:val="en-US"/>
        </w:rPr>
        <w:t xml:space="preserve">, opposite </w:t>
      </w:r>
      <w:r w:rsidR="00715C88" w:rsidRPr="002A1DFC">
        <w:rPr>
          <w:bCs/>
          <w:sz w:val="20"/>
          <w:szCs w:val="20"/>
          <w:lang w:val="en-US"/>
        </w:rPr>
        <w:t>(</w:t>
      </w:r>
      <w:r w:rsidR="005C58D2" w:rsidRPr="002A1DFC">
        <w:rPr>
          <w:bCs/>
          <w:sz w:val="20"/>
          <w:szCs w:val="20"/>
          <w:lang w:val="en-US"/>
        </w:rPr>
        <w:t>n</w:t>
      </w:r>
      <w:r w:rsidR="00715C88" w:rsidRPr="002A1DFC">
        <w:rPr>
          <w:bCs/>
          <w:sz w:val="20"/>
          <w:szCs w:val="20"/>
          <w:lang w:val="en-US"/>
        </w:rPr>
        <w:t xml:space="preserve">) </w:t>
      </w:r>
      <w:r w:rsidR="005C58D2" w:rsidRPr="002A1DFC">
        <w:rPr>
          <w:bCs/>
          <w:sz w:val="20"/>
          <w:szCs w:val="20"/>
          <w:lang w:val="en-US"/>
        </w:rPr>
        <w:t xml:space="preserve">= 10, </w:t>
      </w:r>
      <w:r w:rsidR="00BA0BCD" w:rsidRPr="002A1DFC">
        <w:rPr>
          <w:bCs/>
          <w:sz w:val="20"/>
          <w:szCs w:val="20"/>
          <w:lang w:val="en-US"/>
        </w:rPr>
        <w:t>partial</w:t>
      </w:r>
      <w:r w:rsidR="005C58D2" w:rsidRPr="002A1DFC">
        <w:rPr>
          <w:bCs/>
          <w:sz w:val="20"/>
          <w:szCs w:val="20"/>
          <w:lang w:val="en-US"/>
        </w:rPr>
        <w:t xml:space="preserve"> </w:t>
      </w:r>
      <w:r w:rsidR="00715C88" w:rsidRPr="002A1DFC">
        <w:rPr>
          <w:bCs/>
          <w:sz w:val="20"/>
          <w:szCs w:val="20"/>
          <w:lang w:val="en-US"/>
        </w:rPr>
        <w:t>(</w:t>
      </w:r>
      <w:r w:rsidR="005C58D2" w:rsidRPr="002A1DFC">
        <w:rPr>
          <w:bCs/>
          <w:sz w:val="20"/>
          <w:szCs w:val="20"/>
          <w:lang w:val="en-US"/>
        </w:rPr>
        <w:t>n</w:t>
      </w:r>
      <w:r w:rsidR="00715C88" w:rsidRPr="002A1DFC">
        <w:rPr>
          <w:bCs/>
          <w:sz w:val="20"/>
          <w:szCs w:val="20"/>
          <w:lang w:val="en-US"/>
        </w:rPr>
        <w:t>)</w:t>
      </w:r>
      <w:r w:rsidR="005C58D2" w:rsidRPr="002A1DFC">
        <w:rPr>
          <w:bCs/>
          <w:sz w:val="20"/>
          <w:szCs w:val="20"/>
          <w:lang w:val="en-US"/>
        </w:rPr>
        <w:t xml:space="preserve"> = 71, </w:t>
      </w:r>
      <w:r w:rsidR="00BA0BCD" w:rsidRPr="002A1DFC">
        <w:rPr>
          <w:bCs/>
          <w:sz w:val="20"/>
          <w:szCs w:val="20"/>
          <w:lang w:val="en-US"/>
        </w:rPr>
        <w:t>no data</w:t>
      </w:r>
      <w:r w:rsidR="005C58D2" w:rsidRPr="002A1DFC">
        <w:rPr>
          <w:bCs/>
          <w:sz w:val="20"/>
          <w:szCs w:val="20"/>
          <w:lang w:val="en-US"/>
        </w:rPr>
        <w:t xml:space="preserve"> </w:t>
      </w:r>
      <w:r w:rsidR="00715C88" w:rsidRPr="002A1DFC">
        <w:rPr>
          <w:bCs/>
          <w:sz w:val="20"/>
          <w:szCs w:val="20"/>
          <w:lang w:val="en-US"/>
        </w:rPr>
        <w:t>(</w:t>
      </w:r>
      <w:r w:rsidR="005C58D2" w:rsidRPr="002A1DFC">
        <w:rPr>
          <w:bCs/>
          <w:sz w:val="20"/>
          <w:szCs w:val="20"/>
          <w:lang w:val="en-US"/>
        </w:rPr>
        <w:t>n</w:t>
      </w:r>
      <w:r w:rsidR="00715C88" w:rsidRPr="002A1DFC">
        <w:rPr>
          <w:bCs/>
          <w:sz w:val="20"/>
          <w:szCs w:val="20"/>
          <w:lang w:val="en-US"/>
        </w:rPr>
        <w:t>)</w:t>
      </w:r>
      <w:r w:rsidR="005C58D2" w:rsidRPr="002A1DFC">
        <w:rPr>
          <w:bCs/>
          <w:sz w:val="20"/>
          <w:szCs w:val="20"/>
          <w:lang w:val="en-US"/>
        </w:rPr>
        <w:t xml:space="preserve"> = 57. </w:t>
      </w:r>
    </w:p>
    <w:p w14:paraId="1F254605" w14:textId="0A02C6FD" w:rsidR="00050CB6" w:rsidRPr="002A1DFC" w:rsidRDefault="00B013E6" w:rsidP="00657B4B">
      <w:pPr>
        <w:rPr>
          <w:b/>
          <w:sz w:val="20"/>
          <w:szCs w:val="20"/>
        </w:rPr>
      </w:pPr>
      <w:r w:rsidRPr="002A1DFC">
        <w:rPr>
          <w:b/>
          <w:sz w:val="20"/>
          <w:szCs w:val="20"/>
        </w:rPr>
        <w:t xml:space="preserve">General site references: </w:t>
      </w:r>
      <w:r w:rsidR="00407642" w:rsidRPr="002A1DFC">
        <w:rPr>
          <w:noProof/>
          <w:sz w:val="20"/>
          <w:szCs w:val="20"/>
        </w:rPr>
        <w:t xml:space="preserve">Nieszery 1995; Baum 1990; Hofmann </w:t>
      </w:r>
      <w:r w:rsidR="00407642" w:rsidRPr="00CA6877">
        <w:rPr>
          <w:i/>
          <w:noProof/>
          <w:sz w:val="20"/>
          <w:szCs w:val="20"/>
        </w:rPr>
        <w:t>et al.</w:t>
      </w:r>
      <w:r w:rsidR="00407642" w:rsidRPr="002A1DFC">
        <w:rPr>
          <w:noProof/>
          <w:sz w:val="20"/>
          <w:szCs w:val="20"/>
        </w:rPr>
        <w:t xml:space="preserve"> 2013</w:t>
      </w:r>
      <w:r w:rsidR="001659E5" w:rsidRPr="002A1DFC">
        <w:rPr>
          <w:noProof/>
          <w:sz w:val="20"/>
          <w:szCs w:val="20"/>
        </w:rPr>
        <w:t>,</w:t>
      </w:r>
      <w:r w:rsidR="00407642" w:rsidRPr="002A1DFC">
        <w:rPr>
          <w:noProof/>
          <w:sz w:val="20"/>
          <w:szCs w:val="20"/>
        </w:rPr>
        <w:t xml:space="preserve"> 219-24</w:t>
      </w:r>
      <w:r w:rsidR="00F77D6B" w:rsidRPr="002A1DFC">
        <w:rPr>
          <w:noProof/>
          <w:sz w:val="20"/>
          <w:szCs w:val="20"/>
        </w:rPr>
        <w:t>1.</w:t>
      </w:r>
    </w:p>
    <w:p w14:paraId="246E6459" w14:textId="77777777" w:rsidR="00050CB6" w:rsidRPr="002A1DFC" w:rsidRDefault="00050CB6" w:rsidP="00657B4B">
      <w:pPr>
        <w:rPr>
          <w:b/>
        </w:rPr>
      </w:pPr>
    </w:p>
    <w:p w14:paraId="7CC2DDD3" w14:textId="7941D576" w:rsidR="00657B4B" w:rsidRPr="002A1DFC" w:rsidRDefault="00657B4B" w:rsidP="00657B4B">
      <w:pPr>
        <w:rPr>
          <w:b/>
        </w:rPr>
      </w:pPr>
      <w:r w:rsidRPr="002A1DFC">
        <w:rPr>
          <w:b/>
        </w:rPr>
        <w:t>Trebur</w:t>
      </w:r>
      <w:r w:rsidR="009E31C9" w:rsidRPr="002A1DFC">
        <w:rPr>
          <w:b/>
        </w:rPr>
        <w:t xml:space="preserve"> ‘Im Rühchen’</w:t>
      </w:r>
      <w:r w:rsidR="00773F2A" w:rsidRPr="002A1DFC">
        <w:rPr>
          <w:b/>
        </w:rPr>
        <w:t xml:space="preserve"> (Germany)</w:t>
      </w:r>
    </w:p>
    <w:p w14:paraId="0F2C19D3" w14:textId="5731F2B0" w:rsidR="00862D4B" w:rsidRPr="002A1DFC" w:rsidRDefault="00862D4B" w:rsidP="00E8334B">
      <w:pPr>
        <w:jc w:val="both"/>
        <w:rPr>
          <w:sz w:val="20"/>
          <w:szCs w:val="20"/>
        </w:rPr>
      </w:pPr>
      <w:r w:rsidRPr="002A1DFC">
        <w:rPr>
          <w:b/>
          <w:sz w:val="20"/>
          <w:szCs w:val="20"/>
        </w:rPr>
        <w:t>Location</w:t>
      </w:r>
      <w:r w:rsidRPr="002A1DFC">
        <w:rPr>
          <w:sz w:val="20"/>
          <w:szCs w:val="20"/>
        </w:rPr>
        <w:t xml:space="preserve">: </w:t>
      </w:r>
      <w:r w:rsidR="001408CA" w:rsidRPr="002A1DFC">
        <w:rPr>
          <w:sz w:val="20"/>
          <w:szCs w:val="20"/>
        </w:rPr>
        <w:t xml:space="preserve">Kreis Groß-Gerau, </w:t>
      </w:r>
      <w:r w:rsidR="00981314" w:rsidRPr="002A1DFC">
        <w:rPr>
          <w:sz w:val="20"/>
          <w:szCs w:val="20"/>
        </w:rPr>
        <w:t>Hessia</w:t>
      </w:r>
      <w:r w:rsidR="00773F2A" w:rsidRPr="002A1DFC">
        <w:rPr>
          <w:sz w:val="20"/>
          <w:szCs w:val="20"/>
        </w:rPr>
        <w:t>.</w:t>
      </w:r>
    </w:p>
    <w:p w14:paraId="29E75A51" w14:textId="79623F9A" w:rsidR="00862D4B" w:rsidRPr="002A1DFC" w:rsidRDefault="00862D4B" w:rsidP="00E8334B">
      <w:pPr>
        <w:jc w:val="both"/>
        <w:rPr>
          <w:sz w:val="20"/>
          <w:szCs w:val="20"/>
          <w:lang w:val="en-US"/>
        </w:rPr>
      </w:pPr>
      <w:r w:rsidRPr="002A1DFC">
        <w:rPr>
          <w:b/>
          <w:sz w:val="20"/>
          <w:szCs w:val="20"/>
          <w:lang w:val="en-US"/>
        </w:rPr>
        <w:t>Excavation</w:t>
      </w:r>
      <w:r w:rsidRPr="002A1DFC">
        <w:rPr>
          <w:sz w:val="20"/>
          <w:szCs w:val="20"/>
          <w:lang w:val="en-US"/>
        </w:rPr>
        <w:t xml:space="preserve">: </w:t>
      </w:r>
      <w:r w:rsidR="00981314" w:rsidRPr="002A1DFC">
        <w:rPr>
          <w:sz w:val="20"/>
          <w:szCs w:val="20"/>
          <w:lang w:val="en-US"/>
        </w:rPr>
        <w:t>1939-1940 (graves 1-4), 1971, 1975 (graves 5-9), complete excavation: 1988-1989 (graves 10-137</w:t>
      </w:r>
      <w:r w:rsidR="00476F19" w:rsidRPr="002A1DFC">
        <w:rPr>
          <w:sz w:val="20"/>
          <w:szCs w:val="20"/>
          <w:lang w:val="en-US"/>
        </w:rPr>
        <w:t xml:space="preserve">; H. </w:t>
      </w:r>
      <w:proofErr w:type="spellStart"/>
      <w:r w:rsidR="00476F19" w:rsidRPr="002A1DFC">
        <w:rPr>
          <w:sz w:val="20"/>
          <w:szCs w:val="20"/>
          <w:lang w:val="en-US"/>
        </w:rPr>
        <w:t>Göldner</w:t>
      </w:r>
      <w:proofErr w:type="spellEnd"/>
      <w:r w:rsidR="00476F19" w:rsidRPr="002A1DFC">
        <w:rPr>
          <w:sz w:val="20"/>
          <w:szCs w:val="20"/>
          <w:lang w:val="en-US"/>
        </w:rPr>
        <w:t xml:space="preserve">, </w:t>
      </w:r>
      <w:proofErr w:type="spellStart"/>
      <w:r w:rsidR="00476F19" w:rsidRPr="002A1DFC">
        <w:rPr>
          <w:sz w:val="20"/>
          <w:szCs w:val="20"/>
          <w:lang w:val="en-US"/>
        </w:rPr>
        <w:t>Landesamt</w:t>
      </w:r>
      <w:proofErr w:type="spellEnd"/>
      <w:r w:rsidR="00476F19" w:rsidRPr="002A1DFC">
        <w:rPr>
          <w:sz w:val="20"/>
          <w:szCs w:val="20"/>
          <w:lang w:val="en-US"/>
        </w:rPr>
        <w:t xml:space="preserve"> </w:t>
      </w:r>
      <w:proofErr w:type="spellStart"/>
      <w:r w:rsidR="00476F19" w:rsidRPr="002A1DFC">
        <w:rPr>
          <w:sz w:val="20"/>
          <w:szCs w:val="20"/>
          <w:lang w:val="en-US"/>
        </w:rPr>
        <w:t>für</w:t>
      </w:r>
      <w:proofErr w:type="spellEnd"/>
      <w:r w:rsidR="00476F19" w:rsidRPr="002A1DFC">
        <w:rPr>
          <w:sz w:val="20"/>
          <w:szCs w:val="20"/>
          <w:lang w:val="en-US"/>
        </w:rPr>
        <w:t xml:space="preserve"> </w:t>
      </w:r>
      <w:proofErr w:type="spellStart"/>
      <w:r w:rsidR="00476F19" w:rsidRPr="002A1DFC">
        <w:rPr>
          <w:sz w:val="20"/>
          <w:szCs w:val="20"/>
          <w:lang w:val="en-US"/>
        </w:rPr>
        <w:t>Denkmalpflege</w:t>
      </w:r>
      <w:proofErr w:type="spellEnd"/>
      <w:r w:rsidR="00476F19" w:rsidRPr="002A1DFC">
        <w:rPr>
          <w:sz w:val="20"/>
          <w:szCs w:val="20"/>
          <w:lang w:val="en-US"/>
        </w:rPr>
        <w:t xml:space="preserve"> Hessen, with the support of R. </w:t>
      </w:r>
      <w:proofErr w:type="spellStart"/>
      <w:r w:rsidR="00476F19" w:rsidRPr="002A1DFC">
        <w:rPr>
          <w:sz w:val="20"/>
          <w:szCs w:val="20"/>
          <w:lang w:val="en-US"/>
        </w:rPr>
        <w:t>Klausmann</w:t>
      </w:r>
      <w:proofErr w:type="spellEnd"/>
      <w:r w:rsidR="00981314" w:rsidRPr="002A1DFC">
        <w:rPr>
          <w:sz w:val="20"/>
          <w:szCs w:val="20"/>
          <w:lang w:val="en-US"/>
        </w:rPr>
        <w:t>)</w:t>
      </w:r>
      <w:r w:rsidR="00476F19" w:rsidRPr="002A1DFC">
        <w:rPr>
          <w:sz w:val="20"/>
          <w:szCs w:val="20"/>
          <w:lang w:val="en-US"/>
        </w:rPr>
        <w:t>.</w:t>
      </w:r>
      <w:r w:rsidR="00981314" w:rsidRPr="002A1DFC">
        <w:rPr>
          <w:sz w:val="20"/>
          <w:szCs w:val="20"/>
          <w:lang w:val="en-US"/>
        </w:rPr>
        <w:t xml:space="preserve"> </w:t>
      </w:r>
    </w:p>
    <w:p w14:paraId="013E277C" w14:textId="20FE5EE7" w:rsidR="00862D4B" w:rsidRPr="002A1DFC" w:rsidRDefault="00862D4B" w:rsidP="00E8334B">
      <w:pPr>
        <w:jc w:val="both"/>
        <w:rPr>
          <w:sz w:val="20"/>
          <w:szCs w:val="20"/>
          <w:lang w:val="en-US"/>
        </w:rPr>
      </w:pPr>
      <w:r w:rsidRPr="002A1DFC">
        <w:rPr>
          <w:b/>
          <w:sz w:val="20"/>
          <w:szCs w:val="20"/>
          <w:lang w:val="en-US"/>
        </w:rPr>
        <w:t>Chronology</w:t>
      </w:r>
      <w:r w:rsidRPr="002A1DFC">
        <w:rPr>
          <w:sz w:val="20"/>
          <w:szCs w:val="20"/>
          <w:lang w:val="en-US"/>
        </w:rPr>
        <w:t xml:space="preserve">: </w:t>
      </w:r>
      <w:r w:rsidR="00690EA7" w:rsidRPr="002A1DFC">
        <w:rPr>
          <w:sz w:val="20"/>
          <w:szCs w:val="20"/>
          <w:lang w:val="en-US"/>
        </w:rPr>
        <w:t>Middle Neolithic (</w:t>
      </w:r>
      <w:r w:rsidR="00E2498F" w:rsidRPr="002A1DFC">
        <w:rPr>
          <w:sz w:val="20"/>
          <w:szCs w:val="20"/>
          <w:lang w:val="en-US"/>
        </w:rPr>
        <w:t xml:space="preserve">corresponding to the German </w:t>
      </w:r>
      <w:proofErr w:type="spellStart"/>
      <w:r w:rsidR="00690EA7" w:rsidRPr="002A1DFC">
        <w:rPr>
          <w:i/>
          <w:sz w:val="20"/>
          <w:szCs w:val="20"/>
          <w:lang w:val="en-US"/>
        </w:rPr>
        <w:t>Mittelneolithikum</w:t>
      </w:r>
      <w:proofErr w:type="spellEnd"/>
      <w:r w:rsidR="00E2498F" w:rsidRPr="002A1DFC">
        <w:rPr>
          <w:i/>
          <w:sz w:val="20"/>
          <w:szCs w:val="20"/>
          <w:lang w:val="en-US"/>
        </w:rPr>
        <w:t xml:space="preserve">: c. </w:t>
      </w:r>
      <w:r w:rsidR="00E2498F" w:rsidRPr="002A1DFC">
        <w:rPr>
          <w:sz w:val="20"/>
          <w:szCs w:val="20"/>
          <w:lang w:val="en-US"/>
        </w:rPr>
        <w:t>first half of the 5</w:t>
      </w:r>
      <w:r w:rsidR="00E2498F" w:rsidRPr="002A1DFC">
        <w:rPr>
          <w:sz w:val="20"/>
          <w:szCs w:val="20"/>
          <w:vertAlign w:val="superscript"/>
          <w:lang w:val="en-US"/>
        </w:rPr>
        <w:t>th</w:t>
      </w:r>
      <w:r w:rsidR="00E2498F" w:rsidRPr="002A1DFC">
        <w:rPr>
          <w:sz w:val="20"/>
          <w:szCs w:val="20"/>
          <w:lang w:val="en-US"/>
        </w:rPr>
        <w:t xml:space="preserve"> millennium BC</w:t>
      </w:r>
      <w:r w:rsidR="00690EA7" w:rsidRPr="002A1DFC">
        <w:rPr>
          <w:sz w:val="20"/>
          <w:szCs w:val="20"/>
          <w:lang w:val="en-US"/>
        </w:rPr>
        <w:t>)</w:t>
      </w:r>
      <w:r w:rsidR="00E2498F" w:rsidRPr="002A1DFC">
        <w:rPr>
          <w:sz w:val="20"/>
          <w:szCs w:val="20"/>
          <w:lang w:val="en-US"/>
        </w:rPr>
        <w:t>.</w:t>
      </w:r>
      <w:r w:rsidR="00690EA7" w:rsidRPr="002A1DFC">
        <w:rPr>
          <w:sz w:val="20"/>
          <w:szCs w:val="20"/>
          <w:lang w:val="en-US"/>
        </w:rPr>
        <w:t xml:space="preserve"> </w:t>
      </w:r>
    </w:p>
    <w:p w14:paraId="33702CC1" w14:textId="61F607CE" w:rsidR="00862D4B" w:rsidRPr="002A1DFC" w:rsidRDefault="00862D4B" w:rsidP="002138E0">
      <w:pPr>
        <w:jc w:val="both"/>
        <w:rPr>
          <w:sz w:val="20"/>
          <w:szCs w:val="20"/>
          <w:lang w:val="en-US"/>
        </w:rPr>
      </w:pPr>
      <w:r w:rsidRPr="002A1DFC">
        <w:rPr>
          <w:b/>
          <w:sz w:val="20"/>
          <w:szCs w:val="20"/>
          <w:lang w:val="en-US"/>
        </w:rPr>
        <w:t>Material culture</w:t>
      </w:r>
      <w:r w:rsidRPr="002A1DFC">
        <w:rPr>
          <w:sz w:val="20"/>
          <w:szCs w:val="20"/>
          <w:lang w:val="en-US"/>
        </w:rPr>
        <w:t xml:space="preserve">: </w:t>
      </w:r>
      <w:proofErr w:type="spellStart"/>
      <w:r w:rsidR="00690EA7" w:rsidRPr="002A1DFC">
        <w:rPr>
          <w:sz w:val="20"/>
          <w:szCs w:val="20"/>
          <w:lang w:val="en-US"/>
        </w:rPr>
        <w:t>Hinkelstein</w:t>
      </w:r>
      <w:proofErr w:type="spellEnd"/>
      <w:r w:rsidR="00690EA7" w:rsidRPr="002A1DFC">
        <w:rPr>
          <w:sz w:val="20"/>
          <w:szCs w:val="20"/>
          <w:lang w:val="en-US"/>
        </w:rPr>
        <w:t xml:space="preserve"> </w:t>
      </w:r>
      <w:r w:rsidR="00A97335" w:rsidRPr="002A1DFC">
        <w:rPr>
          <w:sz w:val="20"/>
          <w:szCs w:val="20"/>
          <w:lang w:val="en-US"/>
        </w:rPr>
        <w:t xml:space="preserve">Culture </w:t>
      </w:r>
      <w:r w:rsidR="00690EA7" w:rsidRPr="002A1DFC">
        <w:rPr>
          <w:sz w:val="20"/>
          <w:szCs w:val="20"/>
          <w:lang w:val="en-US"/>
        </w:rPr>
        <w:t xml:space="preserve">and </w:t>
      </w:r>
      <w:proofErr w:type="spellStart"/>
      <w:r w:rsidR="00690EA7" w:rsidRPr="002A1DFC">
        <w:rPr>
          <w:sz w:val="20"/>
          <w:szCs w:val="20"/>
          <w:lang w:val="en-US"/>
        </w:rPr>
        <w:t>Großgartach</w:t>
      </w:r>
      <w:proofErr w:type="spellEnd"/>
      <w:r w:rsidR="00690EA7" w:rsidRPr="002A1DFC">
        <w:rPr>
          <w:sz w:val="20"/>
          <w:szCs w:val="20"/>
          <w:lang w:val="en-US"/>
        </w:rPr>
        <w:t xml:space="preserve"> </w:t>
      </w:r>
      <w:r w:rsidR="00A97335" w:rsidRPr="002A1DFC">
        <w:rPr>
          <w:sz w:val="20"/>
          <w:szCs w:val="20"/>
          <w:lang w:val="en-US"/>
        </w:rPr>
        <w:t>Culture</w:t>
      </w:r>
      <w:r w:rsidR="005C58D2" w:rsidRPr="002A1DFC">
        <w:rPr>
          <w:sz w:val="20"/>
          <w:szCs w:val="20"/>
          <w:lang w:val="en-US"/>
        </w:rPr>
        <w:t>.</w:t>
      </w:r>
    </w:p>
    <w:p w14:paraId="487D7492" w14:textId="25E0DBA7" w:rsidR="00862D4B" w:rsidRPr="002A1DFC" w:rsidRDefault="00862D4B" w:rsidP="002138E0">
      <w:pPr>
        <w:jc w:val="both"/>
        <w:rPr>
          <w:sz w:val="20"/>
          <w:szCs w:val="20"/>
          <w:lang w:val="en-US"/>
        </w:rPr>
      </w:pPr>
      <w:r w:rsidRPr="002A1DFC">
        <w:rPr>
          <w:b/>
          <w:sz w:val="20"/>
          <w:szCs w:val="20"/>
          <w:lang w:val="en-US"/>
        </w:rPr>
        <w:t>Use duration</w:t>
      </w:r>
      <w:r w:rsidRPr="002A1DFC">
        <w:rPr>
          <w:sz w:val="20"/>
          <w:szCs w:val="20"/>
          <w:lang w:val="en-US"/>
        </w:rPr>
        <w:t xml:space="preserve">: </w:t>
      </w:r>
      <w:proofErr w:type="spellStart"/>
      <w:r w:rsidR="00981314" w:rsidRPr="002A1DFC">
        <w:rPr>
          <w:sz w:val="20"/>
          <w:szCs w:val="20"/>
          <w:lang w:val="en-US"/>
        </w:rPr>
        <w:t>Hinkelstein</w:t>
      </w:r>
      <w:proofErr w:type="spellEnd"/>
      <w:r w:rsidR="00981314" w:rsidRPr="002A1DFC">
        <w:rPr>
          <w:sz w:val="20"/>
          <w:szCs w:val="20"/>
          <w:lang w:val="en-US"/>
        </w:rPr>
        <w:t xml:space="preserve"> phase I-II and </w:t>
      </w:r>
      <w:r w:rsidR="00D66D6B" w:rsidRPr="002A1DFC">
        <w:rPr>
          <w:sz w:val="20"/>
          <w:szCs w:val="20"/>
          <w:lang w:val="en-US"/>
        </w:rPr>
        <w:t xml:space="preserve">older phase of </w:t>
      </w:r>
      <w:proofErr w:type="spellStart"/>
      <w:r w:rsidR="00981314" w:rsidRPr="002A1DFC">
        <w:rPr>
          <w:sz w:val="20"/>
          <w:szCs w:val="20"/>
          <w:lang w:val="en-US"/>
        </w:rPr>
        <w:t>Großgartach</w:t>
      </w:r>
      <w:proofErr w:type="spellEnd"/>
      <w:r w:rsidR="00D66D6B" w:rsidRPr="002A1DFC">
        <w:rPr>
          <w:sz w:val="20"/>
          <w:szCs w:val="20"/>
          <w:lang w:val="en-US"/>
        </w:rPr>
        <w:t xml:space="preserve"> Culture (</w:t>
      </w:r>
      <w:proofErr w:type="spellStart"/>
      <w:r w:rsidR="00D66D6B" w:rsidRPr="002A1DFC">
        <w:rPr>
          <w:sz w:val="20"/>
          <w:szCs w:val="20"/>
          <w:lang w:val="en-US"/>
        </w:rPr>
        <w:t>mGG</w:t>
      </w:r>
      <w:proofErr w:type="spellEnd"/>
      <w:r w:rsidR="00D66D6B" w:rsidRPr="002A1DFC">
        <w:rPr>
          <w:sz w:val="20"/>
          <w:szCs w:val="20"/>
          <w:lang w:val="en-US"/>
        </w:rPr>
        <w:t xml:space="preserve"> A</w:t>
      </w:r>
      <w:r w:rsidR="00E8334B" w:rsidRPr="002A1DFC">
        <w:rPr>
          <w:sz w:val="20"/>
          <w:szCs w:val="20"/>
          <w:lang w:val="en-US"/>
        </w:rPr>
        <w:t xml:space="preserve"> after </w:t>
      </w:r>
      <w:proofErr w:type="spellStart"/>
      <w:r w:rsidR="00E8334B" w:rsidRPr="002A1DFC">
        <w:rPr>
          <w:sz w:val="20"/>
          <w:szCs w:val="20"/>
          <w:lang w:val="en-US"/>
        </w:rPr>
        <w:t>Spatz</w:t>
      </w:r>
      <w:proofErr w:type="spellEnd"/>
      <w:r w:rsidR="00E8334B" w:rsidRPr="002A1DFC">
        <w:rPr>
          <w:sz w:val="20"/>
          <w:szCs w:val="20"/>
          <w:lang w:val="en-US"/>
        </w:rPr>
        <w:t xml:space="preserve"> 1999</w:t>
      </w:r>
      <w:r w:rsidR="00D66D6B" w:rsidRPr="002A1DFC">
        <w:rPr>
          <w:sz w:val="20"/>
          <w:szCs w:val="20"/>
          <w:lang w:val="en-US"/>
        </w:rPr>
        <w:t>).</w:t>
      </w:r>
    </w:p>
    <w:p w14:paraId="0FEDEB8C" w14:textId="0605AC05" w:rsidR="00862D4B" w:rsidRPr="002A1DFC" w:rsidRDefault="00862D4B" w:rsidP="002138E0">
      <w:pPr>
        <w:jc w:val="both"/>
        <w:rPr>
          <w:sz w:val="20"/>
          <w:szCs w:val="20"/>
          <w:lang w:val="en-US"/>
        </w:rPr>
      </w:pPr>
      <w:r w:rsidRPr="002A1DFC">
        <w:rPr>
          <w:b/>
          <w:sz w:val="20"/>
          <w:szCs w:val="20"/>
          <w:lang w:val="en-US"/>
        </w:rPr>
        <w:t>Preservation</w:t>
      </w:r>
      <w:r w:rsidRPr="002A1DFC">
        <w:rPr>
          <w:sz w:val="20"/>
          <w:szCs w:val="20"/>
          <w:lang w:val="en-US"/>
        </w:rPr>
        <w:t xml:space="preserve">: </w:t>
      </w:r>
      <w:r w:rsidR="00F11280" w:rsidRPr="002A1DFC">
        <w:rPr>
          <w:sz w:val="20"/>
          <w:szCs w:val="20"/>
          <w:lang w:val="en-US"/>
        </w:rPr>
        <w:t xml:space="preserve">Many of the graves may have been disturbed by plowing activities, as they lie within or just below the plough-horizon. </w:t>
      </w:r>
      <w:r w:rsidR="00E2498F" w:rsidRPr="002A1DFC">
        <w:rPr>
          <w:sz w:val="20"/>
          <w:szCs w:val="20"/>
          <w:lang w:val="en-US"/>
        </w:rPr>
        <w:t>The s</w:t>
      </w:r>
      <w:r w:rsidR="00F11280" w:rsidRPr="002A1DFC">
        <w:rPr>
          <w:sz w:val="20"/>
          <w:szCs w:val="20"/>
          <w:lang w:val="en-US"/>
        </w:rPr>
        <w:t>keletal preservation</w:t>
      </w:r>
      <w:r w:rsidR="009E31C9" w:rsidRPr="002A1DFC">
        <w:rPr>
          <w:sz w:val="20"/>
          <w:szCs w:val="20"/>
          <w:lang w:val="en-US"/>
        </w:rPr>
        <w:t xml:space="preserve"> is considered </w:t>
      </w:r>
      <w:r w:rsidR="003116BB" w:rsidRPr="002A1DFC">
        <w:rPr>
          <w:sz w:val="20"/>
          <w:szCs w:val="20"/>
          <w:lang w:val="en-US"/>
        </w:rPr>
        <w:t>relatively</w:t>
      </w:r>
      <w:r w:rsidR="009E31C9" w:rsidRPr="002A1DFC">
        <w:rPr>
          <w:sz w:val="20"/>
          <w:szCs w:val="20"/>
          <w:lang w:val="en-US"/>
        </w:rPr>
        <w:t xml:space="preserve"> good, likely due to the </w:t>
      </w:r>
      <w:r w:rsidR="009E30CC" w:rsidRPr="002A1DFC">
        <w:rPr>
          <w:sz w:val="20"/>
          <w:szCs w:val="20"/>
          <w:lang w:val="en-US"/>
        </w:rPr>
        <w:t>calcareous soil</w:t>
      </w:r>
      <w:r w:rsidR="009E31C9" w:rsidRPr="002A1DFC">
        <w:rPr>
          <w:sz w:val="20"/>
          <w:szCs w:val="20"/>
          <w:lang w:val="en-US"/>
        </w:rPr>
        <w:t xml:space="preserve"> of the region.</w:t>
      </w:r>
      <w:r w:rsidR="003116BB" w:rsidRPr="002A1DFC">
        <w:rPr>
          <w:sz w:val="20"/>
          <w:szCs w:val="20"/>
          <w:lang w:val="en-US"/>
        </w:rPr>
        <w:t xml:space="preserve"> Some bones had occasionally fused in calcified blocks</w:t>
      </w:r>
      <w:r w:rsidR="009E30CC" w:rsidRPr="002A1DFC">
        <w:rPr>
          <w:sz w:val="20"/>
          <w:szCs w:val="20"/>
          <w:lang w:val="en-US"/>
        </w:rPr>
        <w:t xml:space="preserve">, which needed to be isolated before the analyses. Lime crusts further impeded e.g. on the assessment of the endocranial sutures. </w:t>
      </w:r>
    </w:p>
    <w:p w14:paraId="72375C44" w14:textId="7A0FA2B7" w:rsidR="00862D4B" w:rsidRPr="002A1DFC" w:rsidRDefault="00862D4B" w:rsidP="002138E0">
      <w:pPr>
        <w:jc w:val="both"/>
        <w:rPr>
          <w:sz w:val="20"/>
          <w:szCs w:val="20"/>
          <w:lang w:val="en-US"/>
        </w:rPr>
      </w:pPr>
      <w:r w:rsidRPr="002A1DFC">
        <w:rPr>
          <w:b/>
          <w:sz w:val="20"/>
          <w:szCs w:val="20"/>
          <w:lang w:val="en-US"/>
        </w:rPr>
        <w:t>Burial structures</w:t>
      </w:r>
      <w:r w:rsidRPr="002A1DFC">
        <w:rPr>
          <w:sz w:val="20"/>
          <w:szCs w:val="20"/>
          <w:lang w:val="en-US"/>
        </w:rPr>
        <w:t xml:space="preserve">: </w:t>
      </w:r>
      <w:r w:rsidR="00F11280" w:rsidRPr="002A1DFC">
        <w:rPr>
          <w:sz w:val="20"/>
          <w:szCs w:val="20"/>
          <w:lang w:val="en-US"/>
        </w:rPr>
        <w:t>137</w:t>
      </w:r>
    </w:p>
    <w:p w14:paraId="50DB9988" w14:textId="7DABDDA4" w:rsidR="00862D4B" w:rsidRPr="002A1DFC" w:rsidRDefault="00862D4B" w:rsidP="002138E0">
      <w:pPr>
        <w:jc w:val="both"/>
        <w:rPr>
          <w:sz w:val="20"/>
          <w:szCs w:val="20"/>
          <w:lang w:val="en-US"/>
        </w:rPr>
      </w:pPr>
      <w:r w:rsidRPr="002A1DFC">
        <w:rPr>
          <w:b/>
          <w:sz w:val="20"/>
          <w:szCs w:val="20"/>
          <w:lang w:val="en-US"/>
        </w:rPr>
        <w:t>Burial practice</w:t>
      </w:r>
      <w:r w:rsidRPr="002A1DFC">
        <w:rPr>
          <w:sz w:val="20"/>
          <w:szCs w:val="20"/>
          <w:lang w:val="en-US"/>
        </w:rPr>
        <w:t xml:space="preserve">: </w:t>
      </w:r>
      <w:r w:rsidR="00FC6D51" w:rsidRPr="002A1DFC">
        <w:rPr>
          <w:sz w:val="20"/>
          <w:szCs w:val="20"/>
          <w:lang w:val="en-US"/>
        </w:rPr>
        <w:t xml:space="preserve">131 </w:t>
      </w:r>
      <w:r w:rsidR="00ED20DA" w:rsidRPr="002A1DFC">
        <w:rPr>
          <w:sz w:val="20"/>
          <w:szCs w:val="20"/>
          <w:lang w:val="en-US"/>
        </w:rPr>
        <w:t>inhumation</w:t>
      </w:r>
      <w:r w:rsidR="00FC6D51" w:rsidRPr="002A1DFC">
        <w:rPr>
          <w:sz w:val="20"/>
          <w:szCs w:val="20"/>
          <w:lang w:val="en-US"/>
        </w:rPr>
        <w:t>s</w:t>
      </w:r>
      <w:r w:rsidR="00F11280" w:rsidRPr="002A1DFC">
        <w:rPr>
          <w:sz w:val="20"/>
          <w:szCs w:val="20"/>
          <w:lang w:val="en-US"/>
        </w:rPr>
        <w:t xml:space="preserve">, </w:t>
      </w:r>
      <w:r w:rsidR="00FC6D51" w:rsidRPr="002A1DFC">
        <w:rPr>
          <w:sz w:val="20"/>
          <w:szCs w:val="20"/>
          <w:lang w:val="en-US"/>
        </w:rPr>
        <w:t xml:space="preserve">3 </w:t>
      </w:r>
      <w:r w:rsidR="00F11280" w:rsidRPr="002A1DFC">
        <w:rPr>
          <w:sz w:val="20"/>
          <w:szCs w:val="20"/>
          <w:lang w:val="en-US"/>
        </w:rPr>
        <w:t>cremation</w:t>
      </w:r>
      <w:r w:rsidR="00FC6D51" w:rsidRPr="002A1DFC">
        <w:rPr>
          <w:sz w:val="20"/>
          <w:szCs w:val="20"/>
          <w:lang w:val="en-US"/>
        </w:rPr>
        <w:t>s</w:t>
      </w:r>
      <w:r w:rsidR="00F11280" w:rsidRPr="002A1DFC">
        <w:rPr>
          <w:sz w:val="20"/>
          <w:szCs w:val="20"/>
          <w:lang w:val="en-US"/>
        </w:rPr>
        <w:t xml:space="preserve">, </w:t>
      </w:r>
      <w:r w:rsidR="00FC6D51" w:rsidRPr="002A1DFC">
        <w:rPr>
          <w:sz w:val="20"/>
          <w:szCs w:val="20"/>
          <w:lang w:val="en-US"/>
        </w:rPr>
        <w:t>3 ‘</w:t>
      </w:r>
      <w:r w:rsidR="00F11280" w:rsidRPr="002A1DFC">
        <w:rPr>
          <w:sz w:val="20"/>
          <w:szCs w:val="20"/>
          <w:lang w:val="en-US"/>
        </w:rPr>
        <w:t>cenotaphs</w:t>
      </w:r>
      <w:r w:rsidR="00FC6D51" w:rsidRPr="002A1DFC">
        <w:rPr>
          <w:sz w:val="20"/>
          <w:szCs w:val="20"/>
          <w:lang w:val="en-US"/>
        </w:rPr>
        <w:t>’</w:t>
      </w:r>
      <w:r w:rsidR="00F11280" w:rsidRPr="002A1DFC">
        <w:rPr>
          <w:sz w:val="20"/>
          <w:szCs w:val="20"/>
          <w:lang w:val="en-US"/>
        </w:rPr>
        <w:t xml:space="preserve">. </w:t>
      </w:r>
    </w:p>
    <w:p w14:paraId="139DE7ED" w14:textId="7133E336" w:rsidR="00862D4B" w:rsidRPr="002A1DFC" w:rsidRDefault="00862D4B" w:rsidP="002138E0">
      <w:pPr>
        <w:jc w:val="both"/>
        <w:rPr>
          <w:sz w:val="20"/>
          <w:szCs w:val="20"/>
          <w:lang w:val="en-US"/>
        </w:rPr>
      </w:pPr>
      <w:r w:rsidRPr="002A1DFC">
        <w:rPr>
          <w:b/>
          <w:sz w:val="20"/>
          <w:szCs w:val="20"/>
          <w:lang w:val="en-US"/>
        </w:rPr>
        <w:t>Minimum number of individuals</w:t>
      </w:r>
      <w:r w:rsidRPr="002A1DFC">
        <w:rPr>
          <w:sz w:val="20"/>
          <w:szCs w:val="20"/>
          <w:lang w:val="en-US"/>
        </w:rPr>
        <w:t xml:space="preserve">: </w:t>
      </w:r>
      <w:r w:rsidR="009E31C9" w:rsidRPr="002A1DFC">
        <w:rPr>
          <w:sz w:val="20"/>
          <w:szCs w:val="20"/>
          <w:lang w:val="en-US"/>
        </w:rPr>
        <w:t>129</w:t>
      </w:r>
      <w:r w:rsidR="00F3373A" w:rsidRPr="002A1DFC">
        <w:rPr>
          <w:sz w:val="20"/>
          <w:szCs w:val="20"/>
          <w:lang w:val="en-US"/>
        </w:rPr>
        <w:t xml:space="preserve">, </w:t>
      </w:r>
      <w:r w:rsidR="00C027B9" w:rsidRPr="002A1DFC">
        <w:rPr>
          <w:sz w:val="20"/>
          <w:szCs w:val="20"/>
          <w:lang w:val="en-US"/>
        </w:rPr>
        <w:t xml:space="preserve">of which </w:t>
      </w:r>
      <w:r w:rsidR="009E31C9" w:rsidRPr="002A1DFC">
        <w:rPr>
          <w:sz w:val="20"/>
          <w:szCs w:val="20"/>
          <w:lang w:val="en-US"/>
        </w:rPr>
        <w:t xml:space="preserve">78 </w:t>
      </w:r>
      <w:r w:rsidR="00FC6D51" w:rsidRPr="002A1DFC">
        <w:rPr>
          <w:sz w:val="20"/>
          <w:szCs w:val="20"/>
          <w:lang w:val="en-US"/>
        </w:rPr>
        <w:t>individuals are</w:t>
      </w:r>
      <w:r w:rsidR="009E31C9" w:rsidRPr="002A1DFC">
        <w:rPr>
          <w:sz w:val="20"/>
          <w:szCs w:val="20"/>
          <w:lang w:val="en-US"/>
        </w:rPr>
        <w:t xml:space="preserve"> </w:t>
      </w:r>
      <w:r w:rsidR="0052045B" w:rsidRPr="002A1DFC">
        <w:rPr>
          <w:sz w:val="20"/>
          <w:szCs w:val="20"/>
          <w:lang w:val="en-US"/>
        </w:rPr>
        <w:t>considered affiliated with</w:t>
      </w:r>
      <w:r w:rsidR="009E31C9" w:rsidRPr="002A1DFC">
        <w:rPr>
          <w:sz w:val="20"/>
          <w:szCs w:val="20"/>
          <w:lang w:val="en-US"/>
        </w:rPr>
        <w:t xml:space="preserve"> </w:t>
      </w:r>
      <w:r w:rsidR="00E8334B" w:rsidRPr="002A1DFC">
        <w:rPr>
          <w:sz w:val="20"/>
          <w:szCs w:val="20"/>
          <w:lang w:val="en-US"/>
        </w:rPr>
        <w:t xml:space="preserve">the </w:t>
      </w:r>
      <w:proofErr w:type="spellStart"/>
      <w:r w:rsidR="009E31C9" w:rsidRPr="002A1DFC">
        <w:rPr>
          <w:sz w:val="20"/>
          <w:szCs w:val="20"/>
          <w:lang w:val="en-US"/>
        </w:rPr>
        <w:t>Hinkelstein</w:t>
      </w:r>
      <w:proofErr w:type="spellEnd"/>
      <w:r w:rsidR="009E31C9" w:rsidRPr="002A1DFC">
        <w:rPr>
          <w:sz w:val="20"/>
          <w:szCs w:val="20"/>
          <w:lang w:val="en-US"/>
        </w:rPr>
        <w:t xml:space="preserve"> Culture and 51 </w:t>
      </w:r>
      <w:r w:rsidR="0052045B" w:rsidRPr="002A1DFC">
        <w:rPr>
          <w:sz w:val="20"/>
          <w:szCs w:val="20"/>
          <w:lang w:val="en-US"/>
        </w:rPr>
        <w:t>individuals</w:t>
      </w:r>
      <w:r w:rsidR="009E31C9" w:rsidRPr="002A1DFC">
        <w:rPr>
          <w:sz w:val="20"/>
          <w:szCs w:val="20"/>
          <w:lang w:val="en-US"/>
        </w:rPr>
        <w:t xml:space="preserve"> </w:t>
      </w:r>
      <w:r w:rsidR="0052045B" w:rsidRPr="002A1DFC">
        <w:rPr>
          <w:sz w:val="20"/>
          <w:szCs w:val="20"/>
          <w:lang w:val="en-US"/>
        </w:rPr>
        <w:t xml:space="preserve">affiliated with </w:t>
      </w:r>
      <w:r w:rsidR="009E31C9" w:rsidRPr="002A1DFC">
        <w:rPr>
          <w:sz w:val="20"/>
          <w:szCs w:val="20"/>
          <w:lang w:val="en-US"/>
        </w:rPr>
        <w:t xml:space="preserve">the </w:t>
      </w:r>
      <w:proofErr w:type="spellStart"/>
      <w:r w:rsidR="009E31C9" w:rsidRPr="002A1DFC">
        <w:rPr>
          <w:sz w:val="20"/>
          <w:szCs w:val="20"/>
          <w:lang w:val="en-US"/>
        </w:rPr>
        <w:t>Großgartach</w:t>
      </w:r>
      <w:proofErr w:type="spellEnd"/>
      <w:r w:rsidR="009E31C9" w:rsidRPr="002A1DFC">
        <w:rPr>
          <w:sz w:val="20"/>
          <w:szCs w:val="20"/>
          <w:lang w:val="en-US"/>
        </w:rPr>
        <w:t xml:space="preserve"> Culture. </w:t>
      </w:r>
    </w:p>
    <w:p w14:paraId="30105CF5" w14:textId="36965B6E" w:rsidR="009E31C9" w:rsidRPr="002A1DFC" w:rsidRDefault="009E31C9" w:rsidP="002138E0">
      <w:pPr>
        <w:jc w:val="both"/>
        <w:rPr>
          <w:sz w:val="20"/>
          <w:szCs w:val="20"/>
          <w:lang w:val="en-US"/>
        </w:rPr>
      </w:pPr>
      <w:r w:rsidRPr="002A1DFC">
        <w:rPr>
          <w:b/>
          <w:sz w:val="20"/>
          <w:szCs w:val="20"/>
          <w:lang w:val="en-US"/>
        </w:rPr>
        <w:t>Anthropologists</w:t>
      </w:r>
      <w:r w:rsidRPr="002A1DFC">
        <w:rPr>
          <w:sz w:val="20"/>
          <w:szCs w:val="20"/>
          <w:lang w:val="en-US"/>
        </w:rPr>
        <w:t xml:space="preserve">: B. </w:t>
      </w:r>
      <w:proofErr w:type="spellStart"/>
      <w:r w:rsidRPr="002A1DFC">
        <w:rPr>
          <w:sz w:val="20"/>
          <w:szCs w:val="20"/>
          <w:lang w:val="en-US"/>
        </w:rPr>
        <w:t>Jacobshagen</w:t>
      </w:r>
      <w:proofErr w:type="spellEnd"/>
      <w:r w:rsidRPr="002A1DFC">
        <w:rPr>
          <w:sz w:val="20"/>
          <w:szCs w:val="20"/>
          <w:lang w:val="en-US"/>
        </w:rPr>
        <w:t xml:space="preserve"> and M. </w:t>
      </w:r>
      <w:proofErr w:type="spellStart"/>
      <w:r w:rsidRPr="002A1DFC">
        <w:rPr>
          <w:sz w:val="20"/>
          <w:szCs w:val="20"/>
          <w:lang w:val="en-US"/>
        </w:rPr>
        <w:t>Kunter</w:t>
      </w:r>
      <w:proofErr w:type="spellEnd"/>
      <w:r w:rsidR="005C58D2" w:rsidRPr="002A1DFC">
        <w:rPr>
          <w:sz w:val="20"/>
          <w:szCs w:val="20"/>
          <w:lang w:val="en-US"/>
        </w:rPr>
        <w:t>.</w:t>
      </w:r>
    </w:p>
    <w:p w14:paraId="1C9F9D0F" w14:textId="65090323" w:rsidR="00E26895" w:rsidRPr="002A1DFC" w:rsidRDefault="008F4666" w:rsidP="00A31ADB">
      <w:pPr>
        <w:jc w:val="both"/>
        <w:rPr>
          <w:sz w:val="20"/>
          <w:szCs w:val="20"/>
          <w:lang w:val="en-US"/>
        </w:rPr>
      </w:pPr>
      <w:r w:rsidRPr="002A1DFC">
        <w:rPr>
          <w:b/>
          <w:sz w:val="20"/>
          <w:szCs w:val="20"/>
          <w:lang w:val="en-US"/>
        </w:rPr>
        <w:lastRenderedPageBreak/>
        <w:t>Sex-determination</w:t>
      </w:r>
      <w:r w:rsidR="00862D4B" w:rsidRPr="002A1DFC">
        <w:rPr>
          <w:b/>
          <w:sz w:val="20"/>
          <w:szCs w:val="20"/>
          <w:lang w:val="en-US"/>
        </w:rPr>
        <w:t xml:space="preserve"> methods:</w:t>
      </w:r>
      <w:r w:rsidR="00862D4B" w:rsidRPr="002A1DFC">
        <w:rPr>
          <w:sz w:val="20"/>
          <w:szCs w:val="20"/>
          <w:lang w:val="en-US"/>
        </w:rPr>
        <w:t xml:space="preserve"> </w:t>
      </w:r>
      <w:r w:rsidR="00765964" w:rsidRPr="002A1DFC">
        <w:rPr>
          <w:sz w:val="20"/>
          <w:szCs w:val="20"/>
          <w:lang w:val="en-US"/>
        </w:rPr>
        <w:t xml:space="preserve">Based on </w:t>
      </w:r>
      <w:r w:rsidR="00E8334B" w:rsidRPr="002A1DFC">
        <w:rPr>
          <w:sz w:val="20"/>
          <w:szCs w:val="20"/>
          <w:lang w:val="en-US"/>
        </w:rPr>
        <w:t>‘</w:t>
      </w:r>
      <w:r w:rsidR="00765964" w:rsidRPr="002A1DFC">
        <w:rPr>
          <w:sz w:val="20"/>
          <w:szCs w:val="20"/>
          <w:lang w:val="en-US"/>
        </w:rPr>
        <w:t>conventional morphological methods</w:t>
      </w:r>
      <w:r w:rsidR="00E8334B" w:rsidRPr="002A1DFC">
        <w:rPr>
          <w:sz w:val="20"/>
          <w:szCs w:val="20"/>
          <w:lang w:val="en-US"/>
        </w:rPr>
        <w:t>’</w:t>
      </w:r>
      <w:r w:rsidR="00765964" w:rsidRPr="002A1DFC">
        <w:rPr>
          <w:sz w:val="20"/>
          <w:szCs w:val="20"/>
          <w:lang w:val="en-US"/>
        </w:rPr>
        <w:t xml:space="preserve"> </w:t>
      </w:r>
      <w:r w:rsidR="00CF543E" w:rsidRPr="002A1DFC">
        <w:rPr>
          <w:sz w:val="20"/>
          <w:szCs w:val="20"/>
          <w:lang w:val="en-US"/>
        </w:rPr>
        <w:t>with reference to</w:t>
      </w:r>
      <w:r w:rsidR="00765964" w:rsidRPr="002A1DFC">
        <w:rPr>
          <w:sz w:val="20"/>
          <w:szCs w:val="20"/>
          <w:lang w:val="en-US"/>
        </w:rPr>
        <w:t xml:space="preserve"> </w:t>
      </w:r>
      <w:proofErr w:type="spellStart"/>
      <w:r w:rsidR="00E8334B" w:rsidRPr="002A1DFC">
        <w:rPr>
          <w:sz w:val="20"/>
          <w:szCs w:val="20"/>
          <w:lang w:val="en-US"/>
        </w:rPr>
        <w:t>Sjovold</w:t>
      </w:r>
      <w:proofErr w:type="spellEnd"/>
      <w:r w:rsidR="00E8334B" w:rsidRPr="002A1DFC">
        <w:rPr>
          <w:sz w:val="20"/>
          <w:szCs w:val="20"/>
          <w:lang w:val="en-US"/>
        </w:rPr>
        <w:t xml:space="preserve"> </w:t>
      </w:r>
      <w:r w:rsidR="00407642" w:rsidRPr="002A1DFC">
        <w:rPr>
          <w:noProof/>
          <w:sz w:val="20"/>
          <w:szCs w:val="20"/>
          <w:lang w:val="en-US"/>
        </w:rPr>
        <w:t>(1988)</w:t>
      </w:r>
      <w:r w:rsidR="00E8334B" w:rsidRPr="002A1DFC">
        <w:rPr>
          <w:sz w:val="20"/>
          <w:szCs w:val="20"/>
          <w:lang w:val="en-US"/>
        </w:rPr>
        <w:t xml:space="preserve">, which </w:t>
      </w:r>
      <w:r w:rsidR="00765964" w:rsidRPr="002A1DFC">
        <w:rPr>
          <w:sz w:val="20"/>
          <w:szCs w:val="20"/>
          <w:lang w:val="en-US"/>
        </w:rPr>
        <w:t>includ</w:t>
      </w:r>
      <w:r w:rsidR="00E8334B" w:rsidRPr="002A1DFC">
        <w:rPr>
          <w:sz w:val="20"/>
          <w:szCs w:val="20"/>
          <w:lang w:val="en-US"/>
        </w:rPr>
        <w:t>es</w:t>
      </w:r>
      <w:r w:rsidR="00765964" w:rsidRPr="002A1DFC">
        <w:rPr>
          <w:sz w:val="20"/>
          <w:szCs w:val="20"/>
          <w:lang w:val="en-US"/>
        </w:rPr>
        <w:t xml:space="preserve"> the assessment hip bones, </w:t>
      </w:r>
      <w:r w:rsidR="00E8334B" w:rsidRPr="002A1DFC">
        <w:rPr>
          <w:sz w:val="20"/>
          <w:szCs w:val="20"/>
          <w:lang w:val="en-US"/>
        </w:rPr>
        <w:t>cranium</w:t>
      </w:r>
      <w:r w:rsidR="00765964" w:rsidRPr="002A1DFC">
        <w:rPr>
          <w:sz w:val="20"/>
          <w:szCs w:val="20"/>
          <w:lang w:val="en-US"/>
        </w:rPr>
        <w:t xml:space="preserve"> and t</w:t>
      </w:r>
      <w:r w:rsidR="00E53545">
        <w:rPr>
          <w:sz w:val="20"/>
          <w:szCs w:val="20"/>
          <w:lang w:val="en-US"/>
        </w:rPr>
        <w:t>h</w:t>
      </w:r>
      <w:r w:rsidR="00765964" w:rsidRPr="002A1DFC">
        <w:rPr>
          <w:sz w:val="20"/>
          <w:szCs w:val="20"/>
          <w:lang w:val="en-US"/>
        </w:rPr>
        <w:t xml:space="preserve">e </w:t>
      </w:r>
      <w:proofErr w:type="spellStart"/>
      <w:r w:rsidR="00765964" w:rsidRPr="002A1DFC">
        <w:rPr>
          <w:sz w:val="20"/>
          <w:szCs w:val="20"/>
          <w:lang w:val="en-US"/>
        </w:rPr>
        <w:t>robusticity</w:t>
      </w:r>
      <w:proofErr w:type="spellEnd"/>
      <w:r w:rsidR="00765964" w:rsidRPr="002A1DFC">
        <w:rPr>
          <w:sz w:val="20"/>
          <w:szCs w:val="20"/>
          <w:lang w:val="en-US"/>
        </w:rPr>
        <w:t xml:space="preserve"> markers of the remaining skeletal elements. Whenever present, the assessment of the hip bones w</w:t>
      </w:r>
      <w:r w:rsidR="00CF543E" w:rsidRPr="002A1DFC">
        <w:rPr>
          <w:sz w:val="20"/>
          <w:szCs w:val="20"/>
          <w:lang w:val="en-US"/>
        </w:rPr>
        <w:t>as</w:t>
      </w:r>
      <w:r w:rsidR="00765964" w:rsidRPr="002A1DFC">
        <w:rPr>
          <w:sz w:val="20"/>
          <w:szCs w:val="20"/>
          <w:lang w:val="en-US"/>
        </w:rPr>
        <w:t xml:space="preserve"> prioritized. Discriminant analytical </w:t>
      </w:r>
      <w:r w:rsidR="00E26895" w:rsidRPr="002A1DFC">
        <w:rPr>
          <w:sz w:val="20"/>
          <w:szCs w:val="20"/>
          <w:lang w:val="en-US"/>
        </w:rPr>
        <w:t>methods were not applied, as the anthropologists consider using modern reference data</w:t>
      </w:r>
      <w:r w:rsidR="00765964" w:rsidRPr="002A1DFC">
        <w:rPr>
          <w:sz w:val="20"/>
          <w:szCs w:val="20"/>
          <w:lang w:val="en-US"/>
        </w:rPr>
        <w:t xml:space="preserve"> </w:t>
      </w:r>
      <w:r w:rsidR="00E26895" w:rsidRPr="002A1DFC">
        <w:rPr>
          <w:sz w:val="20"/>
          <w:szCs w:val="20"/>
          <w:lang w:val="en-US"/>
        </w:rPr>
        <w:t xml:space="preserve">for the analysis of Neolithic skeletal series problematic </w:t>
      </w:r>
      <w:r w:rsidR="00407642" w:rsidRPr="002A1DFC">
        <w:rPr>
          <w:noProof/>
          <w:sz w:val="20"/>
          <w:szCs w:val="20"/>
          <w:lang w:val="en-US"/>
        </w:rPr>
        <w:t>(Jacobshagen</w:t>
      </w:r>
      <w:r w:rsidR="00F77D6B" w:rsidRPr="002A1DFC">
        <w:rPr>
          <w:noProof/>
          <w:sz w:val="20"/>
          <w:szCs w:val="20"/>
          <w:lang w:val="en-US"/>
        </w:rPr>
        <w:t xml:space="preserve"> and</w:t>
      </w:r>
      <w:r w:rsidR="00407642" w:rsidRPr="002A1DFC">
        <w:rPr>
          <w:noProof/>
          <w:sz w:val="20"/>
          <w:szCs w:val="20"/>
          <w:lang w:val="en-US"/>
        </w:rPr>
        <w:t xml:space="preserve"> Kunter in Spatz 1999</w:t>
      </w:r>
      <w:r w:rsidR="001659E5" w:rsidRPr="002A1DFC">
        <w:rPr>
          <w:noProof/>
          <w:sz w:val="20"/>
          <w:szCs w:val="20"/>
          <w:lang w:val="en-US"/>
        </w:rPr>
        <w:t>,</w:t>
      </w:r>
      <w:r w:rsidR="00407642" w:rsidRPr="002A1DFC">
        <w:rPr>
          <w:noProof/>
          <w:sz w:val="20"/>
          <w:szCs w:val="20"/>
          <w:lang w:val="en-US"/>
        </w:rPr>
        <w:t xml:space="preserve"> 282)</w:t>
      </w:r>
      <w:r w:rsidR="00E26895" w:rsidRPr="002A1DFC">
        <w:rPr>
          <w:sz w:val="20"/>
          <w:szCs w:val="20"/>
          <w:lang w:val="en-US"/>
        </w:rPr>
        <w:t>.</w:t>
      </w:r>
      <w:r w:rsidR="00F72EE2" w:rsidRPr="002A1DFC">
        <w:rPr>
          <w:sz w:val="20"/>
          <w:szCs w:val="20"/>
          <w:lang w:val="en-US"/>
        </w:rPr>
        <w:t xml:space="preserve"> </w:t>
      </w:r>
    </w:p>
    <w:p w14:paraId="211F34CE" w14:textId="136A9F1C" w:rsidR="00B94AFE" w:rsidRPr="002A1DFC" w:rsidRDefault="009D7719" w:rsidP="00A31ADB">
      <w:pPr>
        <w:jc w:val="both"/>
        <w:rPr>
          <w:sz w:val="20"/>
          <w:szCs w:val="20"/>
          <w:lang w:val="en-US"/>
        </w:rPr>
      </w:pPr>
      <w:r w:rsidRPr="002A1DFC">
        <w:rPr>
          <w:b/>
          <w:sz w:val="20"/>
          <w:szCs w:val="20"/>
          <w:lang w:val="en-US"/>
        </w:rPr>
        <w:t xml:space="preserve">Osteological </w:t>
      </w:r>
      <w:r w:rsidR="00862D4B" w:rsidRPr="002A1DFC">
        <w:rPr>
          <w:b/>
          <w:sz w:val="20"/>
          <w:szCs w:val="20"/>
          <w:lang w:val="en-US"/>
        </w:rPr>
        <w:t>data-analyses</w:t>
      </w:r>
      <w:r w:rsidR="00862D4B" w:rsidRPr="002A1DFC">
        <w:rPr>
          <w:sz w:val="20"/>
          <w:szCs w:val="20"/>
          <w:lang w:val="en-US"/>
        </w:rPr>
        <w:t xml:space="preserve">: </w:t>
      </w:r>
      <w:r w:rsidR="002138E0" w:rsidRPr="002A1DFC">
        <w:rPr>
          <w:sz w:val="20"/>
          <w:szCs w:val="20"/>
          <w:lang w:val="en-US"/>
        </w:rPr>
        <w:t>T</w:t>
      </w:r>
      <w:r w:rsidR="003D3C80" w:rsidRPr="002A1DFC">
        <w:rPr>
          <w:sz w:val="20"/>
          <w:szCs w:val="20"/>
          <w:lang w:val="en-US"/>
        </w:rPr>
        <w:t xml:space="preserve">he </w:t>
      </w:r>
      <w:r w:rsidR="00B94AFE" w:rsidRPr="002A1DFC">
        <w:rPr>
          <w:sz w:val="20"/>
          <w:szCs w:val="20"/>
          <w:lang w:val="en-US"/>
        </w:rPr>
        <w:t xml:space="preserve">overall methods and </w:t>
      </w:r>
      <w:r w:rsidR="003D3C80" w:rsidRPr="002A1DFC">
        <w:rPr>
          <w:sz w:val="20"/>
          <w:szCs w:val="20"/>
          <w:lang w:val="en-US"/>
        </w:rPr>
        <w:t xml:space="preserve">results of the </w:t>
      </w:r>
      <w:r w:rsidRPr="002A1DFC">
        <w:rPr>
          <w:sz w:val="20"/>
          <w:szCs w:val="20"/>
          <w:lang w:val="en-US"/>
        </w:rPr>
        <w:t xml:space="preserve">osteological </w:t>
      </w:r>
      <w:r w:rsidR="003D3C80" w:rsidRPr="002A1DFC">
        <w:rPr>
          <w:sz w:val="20"/>
          <w:szCs w:val="20"/>
          <w:lang w:val="en-US"/>
        </w:rPr>
        <w:t xml:space="preserve">analyses (incl. the general </w:t>
      </w:r>
      <w:r w:rsidR="002138E0" w:rsidRPr="002A1DFC">
        <w:rPr>
          <w:sz w:val="20"/>
          <w:szCs w:val="20"/>
          <w:lang w:val="en-US"/>
        </w:rPr>
        <w:t>osteological</w:t>
      </w:r>
      <w:r w:rsidR="003D3C80" w:rsidRPr="002A1DFC">
        <w:rPr>
          <w:sz w:val="20"/>
          <w:szCs w:val="20"/>
          <w:lang w:val="en-US"/>
        </w:rPr>
        <w:t xml:space="preserve"> analyses</w:t>
      </w:r>
      <w:r w:rsidR="00FA37F9" w:rsidRPr="002A1DFC">
        <w:rPr>
          <w:sz w:val="20"/>
          <w:szCs w:val="20"/>
          <w:lang w:val="en-US"/>
        </w:rPr>
        <w:t xml:space="preserve">, the precise dental age-determinations, </w:t>
      </w:r>
      <w:r w:rsidR="00B94AFE" w:rsidRPr="002A1DFC">
        <w:rPr>
          <w:sz w:val="20"/>
          <w:szCs w:val="20"/>
          <w:lang w:val="en-US"/>
        </w:rPr>
        <w:t xml:space="preserve">and dental pathologies) are </w:t>
      </w:r>
      <w:r w:rsidR="003D3C80" w:rsidRPr="002A1DFC">
        <w:rPr>
          <w:sz w:val="20"/>
          <w:szCs w:val="20"/>
          <w:lang w:val="en-US"/>
        </w:rPr>
        <w:t xml:space="preserve">presented in the scope of </w:t>
      </w:r>
      <w:r w:rsidR="00B94AFE" w:rsidRPr="002A1DFC">
        <w:rPr>
          <w:sz w:val="20"/>
          <w:szCs w:val="20"/>
          <w:lang w:val="en-US"/>
        </w:rPr>
        <w:t>three separate</w:t>
      </w:r>
      <w:r w:rsidR="003D3C80" w:rsidRPr="002A1DFC">
        <w:rPr>
          <w:sz w:val="20"/>
          <w:szCs w:val="20"/>
          <w:lang w:val="en-US"/>
        </w:rPr>
        <w:t xml:space="preserve"> sections at the</w:t>
      </w:r>
      <w:r w:rsidR="00B94AFE" w:rsidRPr="002A1DFC">
        <w:rPr>
          <w:sz w:val="20"/>
          <w:szCs w:val="20"/>
          <w:lang w:val="en-US"/>
        </w:rPr>
        <w:t xml:space="preserve"> end of the</w:t>
      </w:r>
      <w:r w:rsidR="003D3C80" w:rsidRPr="002A1DFC">
        <w:rPr>
          <w:sz w:val="20"/>
          <w:szCs w:val="20"/>
          <w:lang w:val="en-US"/>
        </w:rPr>
        <w:t xml:space="preserve"> text part of the </w:t>
      </w:r>
      <w:r w:rsidR="00B94AFE" w:rsidRPr="002A1DFC">
        <w:rPr>
          <w:sz w:val="20"/>
          <w:szCs w:val="20"/>
          <w:lang w:val="en-US"/>
        </w:rPr>
        <w:t xml:space="preserve">main </w:t>
      </w:r>
      <w:r w:rsidR="003D3C80" w:rsidRPr="002A1DFC">
        <w:rPr>
          <w:sz w:val="20"/>
          <w:szCs w:val="20"/>
          <w:lang w:val="en-US"/>
        </w:rPr>
        <w:t>publication</w:t>
      </w:r>
      <w:r w:rsidR="00B94AFE" w:rsidRPr="002A1DFC">
        <w:rPr>
          <w:sz w:val="20"/>
          <w:szCs w:val="20"/>
          <w:lang w:val="en-US"/>
        </w:rPr>
        <w:t xml:space="preserve"> </w:t>
      </w:r>
      <w:r w:rsidR="00407642" w:rsidRPr="002A1DFC">
        <w:rPr>
          <w:noProof/>
          <w:sz w:val="20"/>
          <w:szCs w:val="20"/>
          <w:lang w:val="en-US"/>
        </w:rPr>
        <w:t>(Jacobshagen and Kunter in Spatz 1999</w:t>
      </w:r>
      <w:r w:rsidR="001659E5" w:rsidRPr="002A1DFC">
        <w:rPr>
          <w:noProof/>
          <w:sz w:val="20"/>
          <w:szCs w:val="20"/>
          <w:lang w:val="en-US"/>
        </w:rPr>
        <w:t>,</w:t>
      </w:r>
      <w:r w:rsidR="00407642" w:rsidRPr="002A1DFC">
        <w:rPr>
          <w:noProof/>
          <w:sz w:val="20"/>
          <w:szCs w:val="20"/>
          <w:lang w:val="en-US"/>
        </w:rPr>
        <w:t xml:space="preserve"> 281-332, Jacobshagen in </w:t>
      </w:r>
      <w:r w:rsidR="00F77D6B" w:rsidRPr="002A1DFC">
        <w:rPr>
          <w:noProof/>
          <w:sz w:val="20"/>
          <w:szCs w:val="20"/>
          <w:lang w:val="en-US"/>
        </w:rPr>
        <w:t xml:space="preserve">Spatz </w:t>
      </w:r>
      <w:r w:rsidR="00407642" w:rsidRPr="002A1DFC">
        <w:rPr>
          <w:noProof/>
          <w:sz w:val="20"/>
          <w:szCs w:val="20"/>
          <w:lang w:val="en-US"/>
        </w:rPr>
        <w:t>1999</w:t>
      </w:r>
      <w:r w:rsidR="001659E5" w:rsidRPr="002A1DFC">
        <w:rPr>
          <w:noProof/>
          <w:sz w:val="20"/>
          <w:szCs w:val="20"/>
          <w:lang w:val="en-US"/>
        </w:rPr>
        <w:t>,</w:t>
      </w:r>
      <w:r w:rsidR="00407642" w:rsidRPr="002A1DFC">
        <w:rPr>
          <w:noProof/>
          <w:sz w:val="20"/>
          <w:szCs w:val="20"/>
          <w:lang w:val="en-US"/>
        </w:rPr>
        <w:t xml:space="preserve"> 333-348, Kunter and Reiber in</w:t>
      </w:r>
      <w:r w:rsidR="00F77D6B" w:rsidRPr="002A1DFC">
        <w:rPr>
          <w:noProof/>
          <w:sz w:val="20"/>
          <w:szCs w:val="20"/>
          <w:lang w:val="en-US"/>
        </w:rPr>
        <w:t xml:space="preserve"> Spatz</w:t>
      </w:r>
      <w:r w:rsidR="00407642" w:rsidRPr="002A1DFC">
        <w:rPr>
          <w:noProof/>
          <w:sz w:val="20"/>
          <w:szCs w:val="20"/>
          <w:lang w:val="en-US"/>
        </w:rPr>
        <w:t xml:space="preserve"> 1999</w:t>
      </w:r>
      <w:r w:rsidR="001659E5" w:rsidRPr="002A1DFC">
        <w:rPr>
          <w:noProof/>
          <w:sz w:val="20"/>
          <w:szCs w:val="20"/>
          <w:lang w:val="en-US"/>
        </w:rPr>
        <w:t>,</w:t>
      </w:r>
      <w:r w:rsidR="00407642" w:rsidRPr="002A1DFC">
        <w:rPr>
          <w:noProof/>
          <w:sz w:val="20"/>
          <w:szCs w:val="20"/>
          <w:lang w:val="en-US"/>
        </w:rPr>
        <w:t xml:space="preserve"> 349-353)</w:t>
      </w:r>
      <w:r w:rsidR="00B94AFE" w:rsidRPr="002A1DFC">
        <w:rPr>
          <w:sz w:val="20"/>
          <w:szCs w:val="20"/>
          <w:lang w:val="en-US"/>
        </w:rPr>
        <w:t>.</w:t>
      </w:r>
      <w:r w:rsidR="002138E0" w:rsidRPr="002A1DFC">
        <w:rPr>
          <w:sz w:val="20"/>
          <w:szCs w:val="20"/>
          <w:lang w:val="en-US"/>
        </w:rPr>
        <w:t xml:space="preserve"> </w:t>
      </w:r>
      <w:r w:rsidR="00E26895" w:rsidRPr="002A1DFC">
        <w:rPr>
          <w:sz w:val="20"/>
          <w:szCs w:val="20"/>
          <w:lang w:val="en-US"/>
        </w:rPr>
        <w:t>A total of 109 (of which 94 adult individuals</w:t>
      </w:r>
      <w:r w:rsidR="00DB310E">
        <w:rPr>
          <w:sz w:val="20"/>
          <w:szCs w:val="20"/>
          <w:lang w:val="en-US"/>
        </w:rPr>
        <w:t>,</w:t>
      </w:r>
      <w:r w:rsidR="00E26895" w:rsidRPr="002A1DFC">
        <w:rPr>
          <w:sz w:val="20"/>
          <w:szCs w:val="20"/>
          <w:lang w:val="en-US"/>
        </w:rPr>
        <w:t xml:space="preserve"> 46 female and 48 male) out of 229 skeletons were </w:t>
      </w:r>
      <w:proofErr w:type="spellStart"/>
      <w:r w:rsidRPr="002A1DFC">
        <w:rPr>
          <w:sz w:val="20"/>
          <w:szCs w:val="20"/>
          <w:lang w:val="en-US"/>
        </w:rPr>
        <w:t>osteologically</w:t>
      </w:r>
      <w:proofErr w:type="spellEnd"/>
      <w:r w:rsidRPr="002A1DFC">
        <w:rPr>
          <w:sz w:val="20"/>
          <w:szCs w:val="20"/>
          <w:lang w:val="en-US"/>
        </w:rPr>
        <w:t xml:space="preserve"> </w:t>
      </w:r>
      <w:r w:rsidR="00E26895" w:rsidRPr="002A1DFC">
        <w:rPr>
          <w:sz w:val="20"/>
          <w:szCs w:val="20"/>
          <w:lang w:val="en-US"/>
        </w:rPr>
        <w:t>sex-determined.</w:t>
      </w:r>
      <w:r w:rsidR="000B0FD6" w:rsidRPr="002A1DFC">
        <w:rPr>
          <w:sz w:val="20"/>
          <w:szCs w:val="20"/>
          <w:lang w:val="en-US"/>
        </w:rPr>
        <w:t xml:space="preserve"> A</w:t>
      </w:r>
      <w:r w:rsidR="00A31ADB" w:rsidRPr="002A1DFC">
        <w:rPr>
          <w:sz w:val="20"/>
          <w:szCs w:val="20"/>
          <w:lang w:val="en-US"/>
        </w:rPr>
        <w:t xml:space="preserve"> summary </w:t>
      </w:r>
      <w:r w:rsidR="000B0FD6" w:rsidRPr="002A1DFC">
        <w:rPr>
          <w:sz w:val="20"/>
          <w:szCs w:val="20"/>
          <w:lang w:val="en-US"/>
        </w:rPr>
        <w:t xml:space="preserve">table </w:t>
      </w:r>
      <w:r w:rsidR="00407642" w:rsidRPr="002A1DFC">
        <w:rPr>
          <w:noProof/>
          <w:sz w:val="20"/>
          <w:szCs w:val="20"/>
          <w:lang w:val="en-US"/>
        </w:rPr>
        <w:t xml:space="preserve">(Jacobshagen and Kunter </w:t>
      </w:r>
      <w:r w:rsidR="00F77D6B" w:rsidRPr="002A1DFC">
        <w:rPr>
          <w:noProof/>
          <w:sz w:val="20"/>
          <w:szCs w:val="20"/>
          <w:lang w:val="en-US"/>
        </w:rPr>
        <w:t xml:space="preserve">in </w:t>
      </w:r>
      <w:r w:rsidR="00407642" w:rsidRPr="002A1DFC">
        <w:rPr>
          <w:noProof/>
          <w:sz w:val="20"/>
          <w:szCs w:val="20"/>
          <w:lang w:val="en-US"/>
        </w:rPr>
        <w:t>Spatz 1999</w:t>
      </w:r>
      <w:r w:rsidR="001659E5" w:rsidRPr="002A1DFC">
        <w:rPr>
          <w:noProof/>
          <w:sz w:val="20"/>
          <w:szCs w:val="20"/>
          <w:lang w:val="en-US"/>
        </w:rPr>
        <w:t>,</w:t>
      </w:r>
      <w:r w:rsidR="00407642" w:rsidRPr="002A1DFC">
        <w:rPr>
          <w:noProof/>
          <w:sz w:val="20"/>
          <w:szCs w:val="20"/>
          <w:lang w:val="en-US"/>
        </w:rPr>
        <w:t xml:space="preserve"> 295-299)</w:t>
      </w:r>
      <w:r w:rsidR="000B0FD6" w:rsidRPr="002A1DFC">
        <w:rPr>
          <w:sz w:val="20"/>
          <w:szCs w:val="20"/>
          <w:lang w:val="en-US"/>
        </w:rPr>
        <w:t xml:space="preserve"> informs us broadly in terms of sex (i.e. male/female, rather male/rather female, </w:t>
      </w:r>
      <w:r w:rsidR="00A31ADB" w:rsidRPr="002A1DFC">
        <w:rPr>
          <w:sz w:val="20"/>
          <w:szCs w:val="20"/>
          <w:lang w:val="en-US"/>
        </w:rPr>
        <w:t>tendentially</w:t>
      </w:r>
      <w:r w:rsidR="000B0FD6" w:rsidRPr="002A1DFC">
        <w:rPr>
          <w:sz w:val="20"/>
          <w:szCs w:val="20"/>
          <w:lang w:val="en-US"/>
        </w:rPr>
        <w:t xml:space="preserve"> male/female, </w:t>
      </w:r>
      <w:r w:rsidR="0093073E" w:rsidRPr="002A1DFC">
        <w:rPr>
          <w:sz w:val="20"/>
          <w:szCs w:val="20"/>
          <w:lang w:val="en-US"/>
        </w:rPr>
        <w:t xml:space="preserve">indeterminate) </w:t>
      </w:r>
      <w:r w:rsidR="000B0FD6" w:rsidRPr="002A1DFC">
        <w:rPr>
          <w:sz w:val="20"/>
          <w:szCs w:val="20"/>
          <w:lang w:val="en-US"/>
        </w:rPr>
        <w:t xml:space="preserve">and age </w:t>
      </w:r>
      <w:r w:rsidR="00A31ADB" w:rsidRPr="002A1DFC">
        <w:rPr>
          <w:sz w:val="20"/>
          <w:szCs w:val="20"/>
          <w:lang w:val="en-US"/>
        </w:rPr>
        <w:t>determination</w:t>
      </w:r>
      <w:r w:rsidR="000B0FD6" w:rsidRPr="002A1DFC">
        <w:rPr>
          <w:sz w:val="20"/>
          <w:szCs w:val="20"/>
          <w:lang w:val="en-US"/>
        </w:rPr>
        <w:t xml:space="preserve"> results, three different body height calculations, the skeletal preservation for the assessment of metric data (categorized by cranium/post-cranium), pathologies, and specificities (i.e. cremation, neonates, supplementary bones of further adult individuals, extreme </w:t>
      </w:r>
      <w:proofErr w:type="spellStart"/>
      <w:r w:rsidR="000B0FD6" w:rsidRPr="002A1DFC">
        <w:rPr>
          <w:sz w:val="20"/>
          <w:szCs w:val="20"/>
          <w:lang w:val="en-US"/>
        </w:rPr>
        <w:t>robusticity</w:t>
      </w:r>
      <w:proofErr w:type="spellEnd"/>
      <w:r w:rsidR="000B0FD6" w:rsidRPr="002A1DFC">
        <w:rPr>
          <w:sz w:val="20"/>
          <w:szCs w:val="20"/>
          <w:lang w:val="en-US"/>
        </w:rPr>
        <w:t xml:space="preserve">). The raw data, in particular of the morphological </w:t>
      </w:r>
      <w:r w:rsidR="008F4666" w:rsidRPr="002A1DFC">
        <w:rPr>
          <w:sz w:val="20"/>
          <w:szCs w:val="20"/>
          <w:lang w:val="en-US"/>
        </w:rPr>
        <w:t>sex-determination</w:t>
      </w:r>
      <w:r w:rsidR="00A31ADB" w:rsidRPr="002A1DFC">
        <w:rPr>
          <w:sz w:val="20"/>
          <w:szCs w:val="20"/>
          <w:lang w:val="en-US"/>
        </w:rPr>
        <w:t>s</w:t>
      </w:r>
      <w:r w:rsidR="000B0FD6" w:rsidRPr="002A1DFC">
        <w:rPr>
          <w:sz w:val="20"/>
          <w:szCs w:val="20"/>
          <w:lang w:val="en-US"/>
        </w:rPr>
        <w:t xml:space="preserve">, are not indicated. </w:t>
      </w:r>
      <w:r w:rsidR="0093073E" w:rsidRPr="002A1DFC">
        <w:rPr>
          <w:sz w:val="20"/>
          <w:szCs w:val="20"/>
          <w:lang w:val="en-US"/>
        </w:rPr>
        <w:t>Non-adult individuals (including most juvenile individuals) were not sex</w:t>
      </w:r>
      <w:r w:rsidR="00A31ADB" w:rsidRPr="002A1DFC">
        <w:rPr>
          <w:sz w:val="20"/>
          <w:szCs w:val="20"/>
          <w:lang w:val="en-US"/>
        </w:rPr>
        <w:t>-determined</w:t>
      </w:r>
      <w:r w:rsidR="0093073E" w:rsidRPr="002A1DFC">
        <w:rPr>
          <w:sz w:val="20"/>
          <w:szCs w:val="20"/>
          <w:lang w:val="en-US"/>
        </w:rPr>
        <w:t>.</w:t>
      </w:r>
      <w:r w:rsidR="000B0FD6" w:rsidRPr="002A1DFC">
        <w:rPr>
          <w:sz w:val="20"/>
          <w:szCs w:val="20"/>
          <w:lang w:val="en-US"/>
        </w:rPr>
        <w:t xml:space="preserve"> </w:t>
      </w:r>
      <w:r w:rsidR="00B94AFE" w:rsidRPr="002A1DFC">
        <w:rPr>
          <w:sz w:val="20"/>
          <w:szCs w:val="20"/>
          <w:lang w:val="en-US"/>
        </w:rPr>
        <w:t xml:space="preserve">Although tooth metrics show a slight discrepancy between the two sexes (male teeth are tending to larger measures than female teeth), the differences in tooth mass, the presence of tartar and cavities are insignificant and could be due to age differences </w:t>
      </w:r>
      <w:r w:rsidR="00407642" w:rsidRPr="002A1DFC">
        <w:rPr>
          <w:noProof/>
          <w:sz w:val="20"/>
          <w:szCs w:val="20"/>
          <w:lang w:val="en-US"/>
        </w:rPr>
        <w:t xml:space="preserve">(Kunter and Reiber </w:t>
      </w:r>
      <w:r w:rsidR="00F77D6B" w:rsidRPr="002A1DFC">
        <w:rPr>
          <w:noProof/>
          <w:sz w:val="20"/>
          <w:szCs w:val="20"/>
          <w:lang w:val="en-US"/>
        </w:rPr>
        <w:t xml:space="preserve">in </w:t>
      </w:r>
      <w:r w:rsidR="00407642" w:rsidRPr="002A1DFC">
        <w:rPr>
          <w:noProof/>
          <w:sz w:val="20"/>
          <w:szCs w:val="20"/>
          <w:lang w:val="en-US"/>
        </w:rPr>
        <w:t>Spatz 1999</w:t>
      </w:r>
      <w:r w:rsidR="001659E5" w:rsidRPr="002A1DFC">
        <w:rPr>
          <w:noProof/>
          <w:sz w:val="20"/>
          <w:szCs w:val="20"/>
          <w:lang w:val="en-US"/>
        </w:rPr>
        <w:t>,</w:t>
      </w:r>
      <w:r w:rsidR="00407642" w:rsidRPr="002A1DFC">
        <w:rPr>
          <w:noProof/>
          <w:sz w:val="20"/>
          <w:szCs w:val="20"/>
          <w:lang w:val="en-US"/>
        </w:rPr>
        <w:t xml:space="preserve"> 351)</w:t>
      </w:r>
      <w:r w:rsidR="00B94AFE" w:rsidRPr="002A1DFC">
        <w:rPr>
          <w:sz w:val="20"/>
          <w:szCs w:val="20"/>
          <w:lang w:val="en-US"/>
        </w:rPr>
        <w:t xml:space="preserve">. </w:t>
      </w:r>
    </w:p>
    <w:p w14:paraId="2D1384E8" w14:textId="27B20D64" w:rsidR="00862D4B" w:rsidRPr="002A1DFC" w:rsidRDefault="008F4666" w:rsidP="00A31ADB">
      <w:pPr>
        <w:jc w:val="both"/>
        <w:rPr>
          <w:sz w:val="20"/>
          <w:szCs w:val="20"/>
          <w:lang w:val="en-US"/>
        </w:rPr>
      </w:pPr>
      <w:r w:rsidRPr="002A1DFC">
        <w:rPr>
          <w:b/>
          <w:sz w:val="20"/>
          <w:szCs w:val="20"/>
          <w:lang w:val="en-US"/>
        </w:rPr>
        <w:t>Gender-determination</w:t>
      </w:r>
      <w:r w:rsidR="00862D4B" w:rsidRPr="002A1DFC">
        <w:rPr>
          <w:b/>
          <w:sz w:val="20"/>
          <w:szCs w:val="20"/>
          <w:lang w:val="en-US"/>
        </w:rPr>
        <w:t xml:space="preserve"> methods</w:t>
      </w:r>
      <w:r w:rsidR="00862D4B" w:rsidRPr="002A1DFC">
        <w:rPr>
          <w:sz w:val="20"/>
          <w:szCs w:val="20"/>
          <w:lang w:val="en-US"/>
        </w:rPr>
        <w:t>:</w:t>
      </w:r>
      <w:r w:rsidR="007958BD" w:rsidRPr="002A1DFC">
        <w:rPr>
          <w:sz w:val="20"/>
          <w:szCs w:val="20"/>
          <w:lang w:val="en-US"/>
        </w:rPr>
        <w:t xml:space="preserve"> </w:t>
      </w:r>
      <w:proofErr w:type="spellStart"/>
      <w:r w:rsidR="005C58D2" w:rsidRPr="002A1DFC">
        <w:rPr>
          <w:sz w:val="20"/>
          <w:szCs w:val="20"/>
          <w:lang w:val="en-US"/>
        </w:rPr>
        <w:t>Spatz</w:t>
      </w:r>
      <w:proofErr w:type="spellEnd"/>
      <w:r w:rsidR="007958BD" w:rsidRPr="002A1DFC">
        <w:rPr>
          <w:sz w:val="20"/>
          <w:szCs w:val="20"/>
          <w:lang w:val="en-US"/>
        </w:rPr>
        <w:t xml:space="preserve"> seriated the objects included in the burials with the </w:t>
      </w:r>
      <w:r w:rsidR="009D7719" w:rsidRPr="002A1DFC">
        <w:rPr>
          <w:sz w:val="20"/>
          <w:szCs w:val="20"/>
          <w:lang w:val="en-US"/>
        </w:rPr>
        <w:t xml:space="preserve">osteological </w:t>
      </w:r>
      <w:r w:rsidRPr="002A1DFC">
        <w:rPr>
          <w:sz w:val="20"/>
          <w:szCs w:val="20"/>
          <w:lang w:val="en-US"/>
        </w:rPr>
        <w:t>sex-determination</w:t>
      </w:r>
      <w:r w:rsidR="007958BD" w:rsidRPr="002A1DFC">
        <w:rPr>
          <w:sz w:val="20"/>
          <w:szCs w:val="20"/>
          <w:lang w:val="en-US"/>
        </w:rPr>
        <w:t xml:space="preserve">s. Based on the differentiation of </w:t>
      </w:r>
      <w:r w:rsidR="0008762C" w:rsidRPr="002A1DFC">
        <w:rPr>
          <w:sz w:val="20"/>
          <w:szCs w:val="20"/>
          <w:lang w:val="en-US"/>
        </w:rPr>
        <w:t xml:space="preserve">(secure) </w:t>
      </w:r>
      <w:r w:rsidR="00CF2859" w:rsidRPr="00CA6877">
        <w:rPr>
          <w:sz w:val="20"/>
          <w:szCs w:val="20"/>
          <w:lang w:val="en-US"/>
        </w:rPr>
        <w:t>masculine</w:t>
      </w:r>
      <w:r w:rsidR="00CF2859" w:rsidRPr="002A1DFC">
        <w:rPr>
          <w:sz w:val="20"/>
          <w:szCs w:val="20"/>
          <w:lang w:val="en-US"/>
        </w:rPr>
        <w:t xml:space="preserve"> </w:t>
      </w:r>
      <w:r w:rsidR="007958BD" w:rsidRPr="002A1DFC">
        <w:rPr>
          <w:sz w:val="20"/>
          <w:szCs w:val="20"/>
          <w:lang w:val="en-US"/>
        </w:rPr>
        <w:t xml:space="preserve">and </w:t>
      </w:r>
      <w:r w:rsidR="0008762C" w:rsidRPr="002A1DFC">
        <w:rPr>
          <w:sz w:val="20"/>
          <w:szCs w:val="20"/>
          <w:lang w:val="en-US"/>
        </w:rPr>
        <w:t xml:space="preserve">(secure) </w:t>
      </w:r>
      <w:r w:rsidR="00CF2859" w:rsidRPr="00CA6877">
        <w:rPr>
          <w:sz w:val="20"/>
          <w:szCs w:val="20"/>
          <w:lang w:val="en-US"/>
        </w:rPr>
        <w:t>feminine</w:t>
      </w:r>
      <w:r w:rsidR="00CF2859" w:rsidRPr="002A1DFC">
        <w:rPr>
          <w:sz w:val="20"/>
          <w:szCs w:val="20"/>
          <w:lang w:val="en-US"/>
        </w:rPr>
        <w:t xml:space="preserve"> </w:t>
      </w:r>
      <w:r w:rsidR="00F72BE2" w:rsidRPr="002A1DFC">
        <w:rPr>
          <w:sz w:val="20"/>
          <w:szCs w:val="20"/>
          <w:lang w:val="en-US"/>
        </w:rPr>
        <w:t xml:space="preserve">archaeological </w:t>
      </w:r>
      <w:r w:rsidR="0008762C" w:rsidRPr="002A1DFC">
        <w:rPr>
          <w:sz w:val="20"/>
          <w:szCs w:val="20"/>
          <w:lang w:val="en-US"/>
        </w:rPr>
        <w:t xml:space="preserve">determinations, </w:t>
      </w:r>
      <w:proofErr w:type="spellStart"/>
      <w:r w:rsidR="005C58D2" w:rsidRPr="002A1DFC">
        <w:rPr>
          <w:sz w:val="20"/>
          <w:szCs w:val="20"/>
          <w:lang w:val="en-US"/>
        </w:rPr>
        <w:t>Spatz</w:t>
      </w:r>
      <w:proofErr w:type="spellEnd"/>
      <w:r w:rsidR="0008762C" w:rsidRPr="002A1DFC">
        <w:rPr>
          <w:sz w:val="20"/>
          <w:szCs w:val="20"/>
          <w:lang w:val="en-US"/>
        </w:rPr>
        <w:t xml:space="preserve"> sees the possibility to</w:t>
      </w:r>
      <w:r w:rsidR="00E94376" w:rsidRPr="002A1DFC">
        <w:rPr>
          <w:sz w:val="20"/>
          <w:szCs w:val="20"/>
          <w:lang w:val="en-US"/>
        </w:rPr>
        <w:t xml:space="preserve"> correct insecure </w:t>
      </w:r>
      <w:r w:rsidR="009D7719" w:rsidRPr="002A1DFC">
        <w:rPr>
          <w:sz w:val="20"/>
          <w:szCs w:val="20"/>
          <w:lang w:val="en-US"/>
        </w:rPr>
        <w:t xml:space="preserve">osteological </w:t>
      </w:r>
      <w:r w:rsidRPr="002A1DFC">
        <w:rPr>
          <w:sz w:val="20"/>
          <w:szCs w:val="20"/>
          <w:lang w:val="en-US"/>
        </w:rPr>
        <w:t>sex-determination</w:t>
      </w:r>
      <w:r w:rsidR="00A3615B" w:rsidRPr="002A1DFC">
        <w:rPr>
          <w:sz w:val="20"/>
          <w:szCs w:val="20"/>
          <w:lang w:val="en-US"/>
        </w:rPr>
        <w:t>s or</w:t>
      </w:r>
      <w:r w:rsidR="0008762C" w:rsidRPr="002A1DFC">
        <w:rPr>
          <w:sz w:val="20"/>
          <w:szCs w:val="20"/>
          <w:lang w:val="en-US"/>
        </w:rPr>
        <w:t xml:space="preserve"> complete the determination of individuals of indeterminate </w:t>
      </w:r>
      <w:r w:rsidR="009D7719" w:rsidRPr="002A1DFC">
        <w:rPr>
          <w:sz w:val="20"/>
          <w:szCs w:val="20"/>
          <w:lang w:val="en-US"/>
        </w:rPr>
        <w:t xml:space="preserve">osteological </w:t>
      </w:r>
      <w:r w:rsidR="0008762C" w:rsidRPr="002A1DFC">
        <w:rPr>
          <w:sz w:val="20"/>
          <w:szCs w:val="20"/>
          <w:lang w:val="en-US"/>
        </w:rPr>
        <w:t xml:space="preserve">sex </w:t>
      </w:r>
      <w:r w:rsidR="00407642" w:rsidRPr="002A1DFC">
        <w:rPr>
          <w:noProof/>
          <w:sz w:val="20"/>
          <w:szCs w:val="20"/>
          <w:lang w:val="en-US"/>
        </w:rPr>
        <w:t>(Spatz 1999</w:t>
      </w:r>
      <w:r w:rsidR="001659E5" w:rsidRPr="002A1DFC">
        <w:rPr>
          <w:noProof/>
          <w:sz w:val="20"/>
          <w:szCs w:val="20"/>
          <w:lang w:val="en-US"/>
        </w:rPr>
        <w:t>,</w:t>
      </w:r>
      <w:r w:rsidR="00407642" w:rsidRPr="002A1DFC">
        <w:rPr>
          <w:noProof/>
          <w:sz w:val="20"/>
          <w:szCs w:val="20"/>
          <w:lang w:val="en-US"/>
        </w:rPr>
        <w:t xml:space="preserve"> 177-178)</w:t>
      </w:r>
      <w:r w:rsidR="0008762C" w:rsidRPr="002A1DFC">
        <w:rPr>
          <w:sz w:val="20"/>
          <w:szCs w:val="20"/>
          <w:lang w:val="en-US"/>
        </w:rPr>
        <w:t xml:space="preserve">. </w:t>
      </w:r>
    </w:p>
    <w:p w14:paraId="381E8D0D" w14:textId="1474EF52" w:rsidR="00B846F6" w:rsidRPr="002A1DFC" w:rsidRDefault="00ED20DA" w:rsidP="00A31ADB">
      <w:pPr>
        <w:jc w:val="both"/>
        <w:rPr>
          <w:sz w:val="20"/>
          <w:szCs w:val="20"/>
          <w:lang w:val="en-US"/>
        </w:rPr>
      </w:pPr>
      <w:r w:rsidRPr="002A1DFC">
        <w:rPr>
          <w:b/>
          <w:sz w:val="20"/>
          <w:szCs w:val="20"/>
          <w:lang w:val="en-US"/>
        </w:rPr>
        <w:t>Gender</w:t>
      </w:r>
      <w:r w:rsidR="008F4666" w:rsidRPr="002A1DFC">
        <w:rPr>
          <w:b/>
          <w:sz w:val="20"/>
          <w:szCs w:val="20"/>
          <w:lang w:val="en-US"/>
        </w:rPr>
        <w:t>-</w:t>
      </w:r>
      <w:r w:rsidRPr="002A1DFC">
        <w:rPr>
          <w:b/>
          <w:sz w:val="20"/>
          <w:szCs w:val="20"/>
          <w:lang w:val="en-US"/>
        </w:rPr>
        <w:t>data</w:t>
      </w:r>
      <w:r w:rsidR="008F4666" w:rsidRPr="002A1DFC">
        <w:rPr>
          <w:b/>
          <w:sz w:val="20"/>
          <w:szCs w:val="20"/>
          <w:lang w:val="en-US"/>
        </w:rPr>
        <w:t xml:space="preserve"> </w:t>
      </w:r>
      <w:r w:rsidRPr="002A1DFC">
        <w:rPr>
          <w:b/>
          <w:sz w:val="20"/>
          <w:szCs w:val="20"/>
          <w:lang w:val="en-US"/>
        </w:rPr>
        <w:t>analyses</w:t>
      </w:r>
      <w:r w:rsidRPr="002A1DFC">
        <w:rPr>
          <w:sz w:val="20"/>
          <w:szCs w:val="20"/>
          <w:lang w:val="en-US"/>
        </w:rPr>
        <w:t>:</w:t>
      </w:r>
      <w:r w:rsidR="00D665C4" w:rsidRPr="002A1DFC">
        <w:rPr>
          <w:sz w:val="20"/>
          <w:szCs w:val="20"/>
          <w:lang w:val="en-US"/>
        </w:rPr>
        <w:t xml:space="preserve"> </w:t>
      </w:r>
      <w:r w:rsidR="00164BA6" w:rsidRPr="002A1DFC">
        <w:rPr>
          <w:sz w:val="20"/>
          <w:szCs w:val="20"/>
          <w:lang w:val="en-US"/>
        </w:rPr>
        <w:t xml:space="preserve">All burials excavated at the site of </w:t>
      </w:r>
      <w:proofErr w:type="spellStart"/>
      <w:r w:rsidR="00164BA6" w:rsidRPr="002A1DFC">
        <w:rPr>
          <w:sz w:val="20"/>
          <w:szCs w:val="20"/>
          <w:lang w:val="en-US"/>
        </w:rPr>
        <w:t>Trebur</w:t>
      </w:r>
      <w:proofErr w:type="spellEnd"/>
      <w:r w:rsidR="00164BA6" w:rsidRPr="002A1DFC">
        <w:rPr>
          <w:sz w:val="20"/>
          <w:szCs w:val="20"/>
          <w:lang w:val="en-US"/>
        </w:rPr>
        <w:t xml:space="preserve"> included objects.</w:t>
      </w:r>
      <w:r w:rsidR="00A23C0A" w:rsidRPr="002A1DFC">
        <w:rPr>
          <w:sz w:val="20"/>
          <w:szCs w:val="20"/>
          <w:lang w:val="en-US"/>
        </w:rPr>
        <w:t xml:space="preserve"> As the </w:t>
      </w:r>
      <w:proofErr w:type="spellStart"/>
      <w:r w:rsidR="00495416" w:rsidRPr="002A1DFC">
        <w:rPr>
          <w:sz w:val="20"/>
          <w:szCs w:val="20"/>
          <w:lang w:val="en-US"/>
        </w:rPr>
        <w:t>Hinkelstein</w:t>
      </w:r>
      <w:proofErr w:type="spellEnd"/>
      <w:r w:rsidR="00495416" w:rsidRPr="002A1DFC">
        <w:rPr>
          <w:sz w:val="20"/>
          <w:szCs w:val="20"/>
          <w:lang w:val="en-US"/>
        </w:rPr>
        <w:t xml:space="preserve"> and </w:t>
      </w:r>
      <w:proofErr w:type="spellStart"/>
      <w:r w:rsidR="00495416" w:rsidRPr="002A1DFC">
        <w:rPr>
          <w:sz w:val="20"/>
          <w:szCs w:val="20"/>
          <w:lang w:val="en-US"/>
        </w:rPr>
        <w:t>Großgartach</w:t>
      </w:r>
      <w:proofErr w:type="spellEnd"/>
      <w:r w:rsidR="00495416" w:rsidRPr="002A1DFC">
        <w:rPr>
          <w:sz w:val="20"/>
          <w:szCs w:val="20"/>
          <w:lang w:val="en-US"/>
        </w:rPr>
        <w:t xml:space="preserve"> </w:t>
      </w:r>
      <w:r w:rsidR="00A23C0A" w:rsidRPr="002A1DFC">
        <w:rPr>
          <w:sz w:val="20"/>
          <w:szCs w:val="20"/>
          <w:lang w:val="en-US"/>
        </w:rPr>
        <w:t xml:space="preserve">material cultures represented </w:t>
      </w:r>
      <w:r w:rsidR="0079729E">
        <w:rPr>
          <w:sz w:val="20"/>
          <w:szCs w:val="20"/>
          <w:lang w:val="en-US"/>
        </w:rPr>
        <w:t>in</w:t>
      </w:r>
      <w:r w:rsidR="0079729E" w:rsidRPr="002A1DFC">
        <w:rPr>
          <w:sz w:val="20"/>
          <w:szCs w:val="20"/>
          <w:lang w:val="en-US"/>
        </w:rPr>
        <w:t xml:space="preserve"> </w:t>
      </w:r>
      <w:r w:rsidR="00A23C0A" w:rsidRPr="002A1DFC">
        <w:rPr>
          <w:sz w:val="20"/>
          <w:szCs w:val="20"/>
          <w:lang w:val="en-US"/>
        </w:rPr>
        <w:t xml:space="preserve">this burial </w:t>
      </w:r>
      <w:r w:rsidR="005C58D2" w:rsidRPr="002A1DFC">
        <w:rPr>
          <w:sz w:val="20"/>
          <w:szCs w:val="20"/>
          <w:lang w:val="en-US"/>
        </w:rPr>
        <w:t xml:space="preserve">site </w:t>
      </w:r>
      <w:r w:rsidR="00A23C0A" w:rsidRPr="002A1DFC">
        <w:rPr>
          <w:sz w:val="20"/>
          <w:szCs w:val="20"/>
          <w:lang w:val="en-US"/>
        </w:rPr>
        <w:t xml:space="preserve">are not contemporaneous </w:t>
      </w:r>
      <w:r w:rsidR="00495416">
        <w:rPr>
          <w:sz w:val="20"/>
          <w:szCs w:val="20"/>
          <w:lang w:val="en-US"/>
        </w:rPr>
        <w:t>(</w:t>
      </w:r>
      <w:proofErr w:type="spellStart"/>
      <w:r w:rsidR="00495416" w:rsidRPr="002A1DFC">
        <w:rPr>
          <w:sz w:val="20"/>
          <w:szCs w:val="20"/>
          <w:lang w:val="en-US"/>
        </w:rPr>
        <w:t>Hinkelstein</w:t>
      </w:r>
      <w:proofErr w:type="spellEnd"/>
      <w:r w:rsidR="00495416">
        <w:rPr>
          <w:sz w:val="20"/>
          <w:szCs w:val="20"/>
          <w:lang w:val="en-US"/>
        </w:rPr>
        <w:t xml:space="preserve"> is older than </w:t>
      </w:r>
      <w:proofErr w:type="spellStart"/>
      <w:r w:rsidR="00495416" w:rsidRPr="002A1DFC">
        <w:rPr>
          <w:sz w:val="20"/>
          <w:szCs w:val="20"/>
          <w:lang w:val="en-US"/>
        </w:rPr>
        <w:t>Großgartach</w:t>
      </w:r>
      <w:proofErr w:type="spellEnd"/>
      <w:r w:rsidR="00495416">
        <w:rPr>
          <w:sz w:val="20"/>
          <w:szCs w:val="20"/>
          <w:lang w:val="en-US"/>
        </w:rPr>
        <w:t>)</w:t>
      </w:r>
      <w:r w:rsidR="00A23C0A" w:rsidRPr="002A1DFC">
        <w:rPr>
          <w:sz w:val="20"/>
          <w:szCs w:val="20"/>
          <w:lang w:val="en-US"/>
        </w:rPr>
        <w:t xml:space="preserve">, </w:t>
      </w:r>
      <w:proofErr w:type="spellStart"/>
      <w:r w:rsidR="00A31ADB" w:rsidRPr="002A1DFC">
        <w:rPr>
          <w:sz w:val="20"/>
          <w:szCs w:val="20"/>
          <w:lang w:val="en-US"/>
        </w:rPr>
        <w:t>Spatz</w:t>
      </w:r>
      <w:proofErr w:type="spellEnd"/>
      <w:r w:rsidR="00A23C0A" w:rsidRPr="002A1DFC">
        <w:rPr>
          <w:sz w:val="20"/>
          <w:szCs w:val="20"/>
          <w:lang w:val="en-US"/>
        </w:rPr>
        <w:t xml:space="preserve"> assesses the objects associated with </w:t>
      </w:r>
      <w:r w:rsidR="00495416">
        <w:rPr>
          <w:sz w:val="20"/>
          <w:szCs w:val="20"/>
          <w:lang w:val="en-US"/>
        </w:rPr>
        <w:t xml:space="preserve">the two cultures </w:t>
      </w:r>
      <w:r w:rsidR="00A23C0A" w:rsidRPr="002A1DFC">
        <w:rPr>
          <w:sz w:val="20"/>
          <w:szCs w:val="20"/>
          <w:lang w:val="en-US"/>
        </w:rPr>
        <w:t>separately.</w:t>
      </w:r>
      <w:r w:rsidR="00A31ADB" w:rsidRPr="002A1DFC">
        <w:rPr>
          <w:sz w:val="20"/>
          <w:szCs w:val="20"/>
          <w:lang w:val="en-US"/>
        </w:rPr>
        <w:t xml:space="preserve"> </w:t>
      </w:r>
      <w:r w:rsidR="00164BA6" w:rsidRPr="002A1DFC">
        <w:rPr>
          <w:sz w:val="20"/>
          <w:szCs w:val="20"/>
          <w:lang w:val="en-US"/>
        </w:rPr>
        <w:t xml:space="preserve">According to </w:t>
      </w:r>
      <w:r w:rsidR="005924C3" w:rsidRPr="002A1DFC">
        <w:rPr>
          <w:sz w:val="20"/>
          <w:szCs w:val="20"/>
          <w:lang w:val="en-US"/>
        </w:rPr>
        <w:t>the</w:t>
      </w:r>
      <w:r w:rsidR="00A561E1" w:rsidRPr="002A1DFC">
        <w:rPr>
          <w:sz w:val="20"/>
          <w:szCs w:val="20"/>
          <w:lang w:val="en-US"/>
        </w:rPr>
        <w:t xml:space="preserve"> seriation-</w:t>
      </w:r>
      <w:r w:rsidR="005924C3" w:rsidRPr="002A1DFC">
        <w:rPr>
          <w:sz w:val="20"/>
          <w:szCs w:val="20"/>
          <w:lang w:val="en-US"/>
        </w:rPr>
        <w:t>results</w:t>
      </w:r>
      <w:r w:rsidR="00164BA6" w:rsidRPr="002A1DFC">
        <w:rPr>
          <w:sz w:val="20"/>
          <w:szCs w:val="20"/>
          <w:lang w:val="en-US"/>
        </w:rPr>
        <w:t xml:space="preserve">, </w:t>
      </w:r>
      <w:proofErr w:type="spellStart"/>
      <w:r w:rsidR="005732E3" w:rsidRPr="002A1DFC">
        <w:rPr>
          <w:sz w:val="20"/>
          <w:szCs w:val="20"/>
          <w:lang w:val="en-US"/>
        </w:rPr>
        <w:t>Spatz</w:t>
      </w:r>
      <w:proofErr w:type="spellEnd"/>
      <w:r w:rsidR="00164BA6" w:rsidRPr="002A1DFC">
        <w:rPr>
          <w:sz w:val="20"/>
          <w:szCs w:val="20"/>
          <w:lang w:val="en-US"/>
        </w:rPr>
        <w:t xml:space="preserve"> </w:t>
      </w:r>
      <w:r w:rsidR="00407642" w:rsidRPr="002A1DFC">
        <w:rPr>
          <w:noProof/>
          <w:sz w:val="20"/>
          <w:szCs w:val="20"/>
          <w:lang w:val="en-US"/>
        </w:rPr>
        <w:t>(1999</w:t>
      </w:r>
      <w:r w:rsidR="001659E5" w:rsidRPr="002A1DFC">
        <w:rPr>
          <w:noProof/>
          <w:sz w:val="20"/>
          <w:szCs w:val="20"/>
          <w:lang w:val="en-US"/>
        </w:rPr>
        <w:t>,</w:t>
      </w:r>
      <w:r w:rsidR="00407642" w:rsidRPr="002A1DFC">
        <w:rPr>
          <w:noProof/>
          <w:sz w:val="20"/>
          <w:szCs w:val="20"/>
          <w:lang w:val="en-US"/>
        </w:rPr>
        <w:t xml:space="preserve"> 177-198)</w:t>
      </w:r>
      <w:r w:rsidR="00A06A60" w:rsidRPr="002A1DFC">
        <w:rPr>
          <w:sz w:val="20"/>
          <w:szCs w:val="20"/>
          <w:lang w:val="en-US"/>
        </w:rPr>
        <w:t xml:space="preserve"> </w:t>
      </w:r>
      <w:r w:rsidR="00164BA6" w:rsidRPr="002A1DFC">
        <w:rPr>
          <w:sz w:val="20"/>
          <w:szCs w:val="20"/>
          <w:lang w:val="en-US"/>
        </w:rPr>
        <w:t>categori</w:t>
      </w:r>
      <w:r w:rsidR="00A31ADB" w:rsidRPr="002A1DFC">
        <w:rPr>
          <w:sz w:val="20"/>
          <w:szCs w:val="20"/>
          <w:lang w:val="en-US"/>
        </w:rPr>
        <w:t>z</w:t>
      </w:r>
      <w:r w:rsidR="00164BA6" w:rsidRPr="002A1DFC">
        <w:rPr>
          <w:sz w:val="20"/>
          <w:szCs w:val="20"/>
          <w:lang w:val="en-US"/>
        </w:rPr>
        <w:t xml:space="preserve">es polished stone adzes and axes, silex hammerstones, pyrite, arrow shaft polishers, abraders for stone adzes and axes, silex tools, antler and bone artefacts as (significant) </w:t>
      </w:r>
      <w:r w:rsidR="00B76CCE" w:rsidRPr="002A1DFC">
        <w:rPr>
          <w:sz w:val="20"/>
          <w:szCs w:val="20"/>
          <w:lang w:val="en-US"/>
        </w:rPr>
        <w:t xml:space="preserve">masculine </w:t>
      </w:r>
      <w:r w:rsidR="00164BA6" w:rsidRPr="002A1DFC">
        <w:rPr>
          <w:sz w:val="20"/>
          <w:szCs w:val="20"/>
          <w:lang w:val="en-US"/>
        </w:rPr>
        <w:t xml:space="preserve">attributes of the </w:t>
      </w:r>
      <w:proofErr w:type="spellStart"/>
      <w:r w:rsidR="00164BA6" w:rsidRPr="002A1DFC">
        <w:rPr>
          <w:sz w:val="20"/>
          <w:szCs w:val="20"/>
          <w:lang w:val="en-US"/>
        </w:rPr>
        <w:t>Hinkelstein</w:t>
      </w:r>
      <w:proofErr w:type="spellEnd"/>
      <w:r w:rsidR="00164BA6" w:rsidRPr="002A1DFC">
        <w:rPr>
          <w:sz w:val="20"/>
          <w:szCs w:val="20"/>
          <w:lang w:val="en-US"/>
        </w:rPr>
        <w:t xml:space="preserve"> burials. </w:t>
      </w:r>
      <w:r w:rsidR="00A561E1" w:rsidRPr="002A1DFC">
        <w:rPr>
          <w:sz w:val="20"/>
          <w:szCs w:val="20"/>
          <w:lang w:val="en-US"/>
        </w:rPr>
        <w:t>The author</w:t>
      </w:r>
      <w:r w:rsidR="00164BA6" w:rsidRPr="002A1DFC">
        <w:rPr>
          <w:sz w:val="20"/>
          <w:szCs w:val="20"/>
          <w:lang w:val="en-US"/>
        </w:rPr>
        <w:t xml:space="preserve"> considers quern stones and other sandstone artefacts (excluding arrow shaft polishers and abrad</w:t>
      </w:r>
      <w:r w:rsidR="00672C67" w:rsidRPr="002A1DFC">
        <w:rPr>
          <w:sz w:val="20"/>
          <w:szCs w:val="20"/>
          <w:lang w:val="en-US"/>
        </w:rPr>
        <w:t>e</w:t>
      </w:r>
      <w:r w:rsidR="00164BA6" w:rsidRPr="002A1DFC">
        <w:rPr>
          <w:sz w:val="20"/>
          <w:szCs w:val="20"/>
          <w:lang w:val="en-US"/>
        </w:rPr>
        <w:t>rs for polished stone adzes and axes)</w:t>
      </w:r>
      <w:r w:rsidR="00672C67" w:rsidRPr="002A1DFC">
        <w:rPr>
          <w:sz w:val="20"/>
          <w:szCs w:val="20"/>
          <w:lang w:val="en-US"/>
        </w:rPr>
        <w:t xml:space="preserve"> significant </w:t>
      </w:r>
      <w:r w:rsidR="00B76CCE" w:rsidRPr="002A1DFC">
        <w:rPr>
          <w:sz w:val="20"/>
          <w:szCs w:val="20"/>
          <w:lang w:val="en-US"/>
        </w:rPr>
        <w:t xml:space="preserve">feminine </w:t>
      </w:r>
      <w:r w:rsidR="00672C67" w:rsidRPr="002A1DFC">
        <w:rPr>
          <w:sz w:val="20"/>
          <w:szCs w:val="20"/>
          <w:lang w:val="en-US"/>
        </w:rPr>
        <w:t xml:space="preserve">attributes of the </w:t>
      </w:r>
      <w:proofErr w:type="spellStart"/>
      <w:r w:rsidR="00672C67" w:rsidRPr="002A1DFC">
        <w:rPr>
          <w:sz w:val="20"/>
          <w:szCs w:val="20"/>
          <w:lang w:val="en-US"/>
        </w:rPr>
        <w:t>Hinkelstein</w:t>
      </w:r>
      <w:proofErr w:type="spellEnd"/>
      <w:r w:rsidR="00672C67" w:rsidRPr="002A1DFC">
        <w:rPr>
          <w:sz w:val="20"/>
          <w:szCs w:val="20"/>
          <w:lang w:val="en-US"/>
        </w:rPr>
        <w:t xml:space="preserve"> burials. Ceramics are generally indifferent attributes, yet decorated </w:t>
      </w:r>
      <w:r w:rsidR="009201B7" w:rsidRPr="002A1DFC">
        <w:rPr>
          <w:iCs/>
          <w:sz w:val="20"/>
          <w:szCs w:val="20"/>
          <w:lang w:val="en-US"/>
        </w:rPr>
        <w:t>and stemmed bowls</w:t>
      </w:r>
      <w:r w:rsidR="00672C67" w:rsidRPr="002A1DFC">
        <w:rPr>
          <w:sz w:val="20"/>
          <w:szCs w:val="20"/>
          <w:lang w:val="en-US"/>
        </w:rPr>
        <w:t xml:space="preserve"> </w:t>
      </w:r>
      <w:r w:rsidR="009201B7" w:rsidRPr="002A1DFC">
        <w:rPr>
          <w:sz w:val="20"/>
          <w:szCs w:val="20"/>
          <w:lang w:val="en-US"/>
        </w:rPr>
        <w:t>(</w:t>
      </w:r>
      <w:proofErr w:type="spellStart"/>
      <w:r w:rsidR="00CA4BEF" w:rsidRPr="002A1DFC">
        <w:rPr>
          <w:sz w:val="20"/>
          <w:szCs w:val="20"/>
          <w:lang w:val="en-US"/>
        </w:rPr>
        <w:t>dt.</w:t>
      </w:r>
      <w:proofErr w:type="spellEnd"/>
      <w:r w:rsidR="00CA4BEF" w:rsidRPr="002A1DFC">
        <w:rPr>
          <w:sz w:val="20"/>
          <w:szCs w:val="20"/>
          <w:lang w:val="en-US"/>
        </w:rPr>
        <w:t xml:space="preserve"> </w:t>
      </w:r>
      <w:proofErr w:type="spellStart"/>
      <w:r w:rsidR="009201B7" w:rsidRPr="002A1DFC">
        <w:rPr>
          <w:i/>
          <w:iCs/>
          <w:sz w:val="20"/>
          <w:szCs w:val="20"/>
          <w:lang w:val="en-US"/>
        </w:rPr>
        <w:t>Fußschale</w:t>
      </w:r>
      <w:proofErr w:type="spellEnd"/>
      <w:r w:rsidR="009201B7" w:rsidRPr="002A1DFC">
        <w:rPr>
          <w:sz w:val="20"/>
          <w:szCs w:val="20"/>
          <w:lang w:val="en-US"/>
        </w:rPr>
        <w:t xml:space="preserve">) </w:t>
      </w:r>
      <w:r w:rsidR="00672C67" w:rsidRPr="002A1DFC">
        <w:rPr>
          <w:sz w:val="20"/>
          <w:szCs w:val="20"/>
          <w:lang w:val="en-US"/>
        </w:rPr>
        <w:t xml:space="preserve">are more frequently associated with male </w:t>
      </w:r>
      <w:r w:rsidR="00A23C0A" w:rsidRPr="002A1DFC">
        <w:rPr>
          <w:sz w:val="20"/>
          <w:szCs w:val="20"/>
          <w:lang w:val="en-US"/>
        </w:rPr>
        <w:t>individuals</w:t>
      </w:r>
      <w:r w:rsidR="00672C67" w:rsidRPr="002A1DFC">
        <w:rPr>
          <w:sz w:val="20"/>
          <w:szCs w:val="20"/>
          <w:lang w:val="en-US"/>
        </w:rPr>
        <w:t xml:space="preserve"> </w:t>
      </w:r>
      <w:r w:rsidR="009201B7" w:rsidRPr="002A1DFC">
        <w:rPr>
          <w:sz w:val="20"/>
          <w:szCs w:val="20"/>
          <w:lang w:val="en-US"/>
        </w:rPr>
        <w:t>while</w:t>
      </w:r>
      <w:r w:rsidR="00672C67" w:rsidRPr="002A1DFC">
        <w:rPr>
          <w:sz w:val="20"/>
          <w:szCs w:val="20"/>
          <w:lang w:val="en-US"/>
        </w:rPr>
        <w:t xml:space="preserve"> coarse, undecorated bowl</w:t>
      </w:r>
      <w:r w:rsidR="009201B7" w:rsidRPr="002A1DFC">
        <w:rPr>
          <w:sz w:val="20"/>
          <w:szCs w:val="20"/>
          <w:lang w:val="en-US"/>
        </w:rPr>
        <w:t>-shaped vessels</w:t>
      </w:r>
      <w:r w:rsidR="00672C67" w:rsidRPr="002A1DFC">
        <w:rPr>
          <w:sz w:val="20"/>
          <w:szCs w:val="20"/>
          <w:lang w:val="en-US"/>
        </w:rPr>
        <w:t xml:space="preserve"> (</w:t>
      </w:r>
      <w:proofErr w:type="spellStart"/>
      <w:r w:rsidR="00CA4BEF" w:rsidRPr="002A1DFC">
        <w:rPr>
          <w:sz w:val="20"/>
          <w:szCs w:val="20"/>
          <w:lang w:val="en-US"/>
        </w:rPr>
        <w:t>dt.</w:t>
      </w:r>
      <w:proofErr w:type="spellEnd"/>
      <w:r w:rsidR="00CA4BEF" w:rsidRPr="002A1DFC">
        <w:rPr>
          <w:sz w:val="20"/>
          <w:szCs w:val="20"/>
          <w:lang w:val="en-US"/>
        </w:rPr>
        <w:t xml:space="preserve"> </w:t>
      </w:r>
      <w:proofErr w:type="spellStart"/>
      <w:r w:rsidR="00672C67" w:rsidRPr="002A1DFC">
        <w:rPr>
          <w:i/>
          <w:iCs/>
          <w:sz w:val="20"/>
          <w:szCs w:val="20"/>
          <w:lang w:val="en-US"/>
        </w:rPr>
        <w:t>napfförmige</w:t>
      </w:r>
      <w:proofErr w:type="spellEnd"/>
      <w:r w:rsidR="00672C67" w:rsidRPr="002A1DFC">
        <w:rPr>
          <w:i/>
          <w:iCs/>
          <w:sz w:val="20"/>
          <w:szCs w:val="20"/>
          <w:lang w:val="en-US"/>
        </w:rPr>
        <w:t xml:space="preserve"> </w:t>
      </w:r>
      <w:proofErr w:type="spellStart"/>
      <w:r w:rsidR="00672C67" w:rsidRPr="002A1DFC">
        <w:rPr>
          <w:i/>
          <w:iCs/>
          <w:sz w:val="20"/>
          <w:szCs w:val="20"/>
          <w:lang w:val="en-US"/>
        </w:rPr>
        <w:t>Töpfe</w:t>
      </w:r>
      <w:proofErr w:type="spellEnd"/>
      <w:r w:rsidR="00672C67" w:rsidRPr="002A1DFC">
        <w:rPr>
          <w:sz w:val="20"/>
          <w:szCs w:val="20"/>
          <w:lang w:val="en-US"/>
        </w:rPr>
        <w:t xml:space="preserve">) are more frequently associated with female </w:t>
      </w:r>
      <w:r w:rsidR="00D66090">
        <w:rPr>
          <w:sz w:val="20"/>
          <w:szCs w:val="20"/>
          <w:lang w:val="en-US"/>
        </w:rPr>
        <w:t>individuals</w:t>
      </w:r>
      <w:r w:rsidR="00672C67" w:rsidRPr="002A1DFC">
        <w:rPr>
          <w:sz w:val="20"/>
          <w:szCs w:val="20"/>
          <w:lang w:val="en-US"/>
        </w:rPr>
        <w:t xml:space="preserve">. The combination of quern stones and coarse vessels support </w:t>
      </w:r>
      <w:r w:rsidR="005924C3" w:rsidRPr="002A1DFC">
        <w:rPr>
          <w:sz w:val="20"/>
          <w:szCs w:val="20"/>
          <w:lang w:val="en-US"/>
        </w:rPr>
        <w:t>the</w:t>
      </w:r>
      <w:r w:rsidR="00A561E1" w:rsidRPr="002A1DFC">
        <w:rPr>
          <w:sz w:val="20"/>
          <w:szCs w:val="20"/>
          <w:lang w:val="en-US"/>
        </w:rPr>
        <w:t xml:space="preserve"> author’s</w:t>
      </w:r>
      <w:r w:rsidR="00672C67" w:rsidRPr="002A1DFC">
        <w:rPr>
          <w:sz w:val="20"/>
          <w:szCs w:val="20"/>
          <w:lang w:val="en-US"/>
        </w:rPr>
        <w:t xml:space="preserve"> assumption that female individuals were involved in food preparation activities</w:t>
      </w:r>
      <w:r w:rsidR="00A23C0A" w:rsidRPr="002A1DFC">
        <w:rPr>
          <w:sz w:val="20"/>
          <w:szCs w:val="20"/>
          <w:lang w:val="en-US"/>
        </w:rPr>
        <w:t xml:space="preserve"> </w:t>
      </w:r>
      <w:r w:rsidR="00407642" w:rsidRPr="002A1DFC">
        <w:rPr>
          <w:noProof/>
          <w:sz w:val="20"/>
          <w:szCs w:val="20"/>
          <w:lang w:val="en-US"/>
        </w:rPr>
        <w:t>(Spatz 1999</w:t>
      </w:r>
      <w:r w:rsidR="001659E5" w:rsidRPr="002A1DFC">
        <w:rPr>
          <w:noProof/>
          <w:sz w:val="20"/>
          <w:szCs w:val="20"/>
          <w:lang w:val="en-US"/>
        </w:rPr>
        <w:t>,</w:t>
      </w:r>
      <w:r w:rsidR="00407642" w:rsidRPr="002A1DFC">
        <w:rPr>
          <w:noProof/>
          <w:sz w:val="20"/>
          <w:szCs w:val="20"/>
          <w:lang w:val="en-US"/>
        </w:rPr>
        <w:t xml:space="preserve"> 178)</w:t>
      </w:r>
      <w:r w:rsidR="00672C67" w:rsidRPr="002A1DFC">
        <w:rPr>
          <w:sz w:val="20"/>
          <w:szCs w:val="20"/>
          <w:lang w:val="en-US"/>
        </w:rPr>
        <w:t>.</w:t>
      </w:r>
      <w:r w:rsidR="00A23C0A" w:rsidRPr="002A1DFC">
        <w:rPr>
          <w:sz w:val="20"/>
          <w:szCs w:val="20"/>
          <w:lang w:val="en-US"/>
        </w:rPr>
        <w:t xml:space="preserve"> Objects qualifying as jewelry or </w:t>
      </w:r>
      <w:proofErr w:type="spellStart"/>
      <w:r w:rsidR="00FA52BA" w:rsidRPr="002A1DFC">
        <w:rPr>
          <w:iCs/>
          <w:sz w:val="20"/>
          <w:szCs w:val="20"/>
          <w:lang w:val="en-US"/>
        </w:rPr>
        <w:t>parures</w:t>
      </w:r>
      <w:proofErr w:type="spellEnd"/>
      <w:r w:rsidR="00A23C0A" w:rsidRPr="002A1DFC">
        <w:rPr>
          <w:sz w:val="20"/>
          <w:szCs w:val="20"/>
          <w:lang w:val="en-US"/>
        </w:rPr>
        <w:t xml:space="preserve"> are generally indifferent, as they are associated with </w:t>
      </w:r>
      <w:r w:rsidR="00A31ADB" w:rsidRPr="002A1DFC">
        <w:rPr>
          <w:sz w:val="20"/>
          <w:szCs w:val="20"/>
          <w:lang w:val="en-US"/>
        </w:rPr>
        <w:t>biological</w:t>
      </w:r>
      <w:r w:rsidR="00B76CCE" w:rsidRPr="002A1DFC">
        <w:rPr>
          <w:sz w:val="20"/>
          <w:szCs w:val="20"/>
          <w:lang w:val="en-US"/>
        </w:rPr>
        <w:t>ly</w:t>
      </w:r>
      <w:r w:rsidR="00A31ADB" w:rsidRPr="002A1DFC">
        <w:rPr>
          <w:sz w:val="20"/>
          <w:szCs w:val="20"/>
          <w:lang w:val="en-US"/>
        </w:rPr>
        <w:t xml:space="preserve"> </w:t>
      </w:r>
      <w:r w:rsidR="00A23C0A" w:rsidRPr="002A1DFC">
        <w:rPr>
          <w:sz w:val="20"/>
          <w:szCs w:val="20"/>
          <w:lang w:val="en-US"/>
        </w:rPr>
        <w:t xml:space="preserve">male and female individuals. However, </w:t>
      </w:r>
      <w:r w:rsidR="009201B7" w:rsidRPr="002A1DFC">
        <w:rPr>
          <w:sz w:val="20"/>
          <w:szCs w:val="20"/>
          <w:lang w:val="en-US"/>
        </w:rPr>
        <w:t>the author</w:t>
      </w:r>
      <w:r w:rsidR="00A23C0A" w:rsidRPr="002A1DFC">
        <w:rPr>
          <w:sz w:val="20"/>
          <w:szCs w:val="20"/>
          <w:lang w:val="en-US"/>
        </w:rPr>
        <w:t xml:space="preserve"> observes that exclusively female individuals feature deer tooth pendants or perforated river shells at height of the hip, which could indicate the use of the latter as belt components of a </w:t>
      </w:r>
      <w:r w:rsidR="00B76CCE" w:rsidRPr="002A1DFC">
        <w:rPr>
          <w:sz w:val="20"/>
          <w:szCs w:val="20"/>
          <w:lang w:val="en-US"/>
        </w:rPr>
        <w:t xml:space="preserve">feminine </w:t>
      </w:r>
      <w:r w:rsidR="00A23C0A" w:rsidRPr="002A1DFC">
        <w:rPr>
          <w:sz w:val="20"/>
          <w:szCs w:val="20"/>
          <w:lang w:val="en-US"/>
        </w:rPr>
        <w:t xml:space="preserve">dress. Animal bones or oxen meat cuts are considered an indifferent attribute. </w:t>
      </w:r>
      <w:r w:rsidR="00B76CCE" w:rsidRPr="002A1DFC">
        <w:rPr>
          <w:sz w:val="20"/>
          <w:szCs w:val="20"/>
          <w:lang w:val="en-US"/>
        </w:rPr>
        <w:t xml:space="preserve">Masculine </w:t>
      </w:r>
      <w:r w:rsidR="00B15A0E" w:rsidRPr="002A1DFC">
        <w:rPr>
          <w:sz w:val="20"/>
          <w:szCs w:val="20"/>
          <w:lang w:val="en-US"/>
        </w:rPr>
        <w:t xml:space="preserve">attributes of the </w:t>
      </w:r>
      <w:proofErr w:type="spellStart"/>
      <w:r w:rsidR="00B15A0E" w:rsidRPr="002A1DFC">
        <w:rPr>
          <w:sz w:val="20"/>
          <w:szCs w:val="20"/>
          <w:lang w:val="en-US"/>
        </w:rPr>
        <w:t>Großgartach</w:t>
      </w:r>
      <w:proofErr w:type="spellEnd"/>
      <w:r w:rsidR="00B15A0E" w:rsidRPr="002A1DFC">
        <w:rPr>
          <w:sz w:val="20"/>
          <w:szCs w:val="20"/>
          <w:lang w:val="en-US"/>
        </w:rPr>
        <w:t xml:space="preserve"> Culture include polished stone adzes and axes, hematite or </w:t>
      </w:r>
      <w:r w:rsidR="00EE7059" w:rsidRPr="002A1DFC">
        <w:rPr>
          <w:sz w:val="20"/>
          <w:szCs w:val="20"/>
          <w:lang w:val="en-US"/>
        </w:rPr>
        <w:t>iron ore</w:t>
      </w:r>
      <w:r w:rsidR="00B15A0E" w:rsidRPr="002A1DFC">
        <w:rPr>
          <w:sz w:val="20"/>
          <w:szCs w:val="20"/>
          <w:lang w:val="en-US"/>
        </w:rPr>
        <w:t xml:space="preserve">, silex hammerstones and bone artefacts. </w:t>
      </w:r>
      <w:r w:rsidR="00EE7059" w:rsidRPr="002A1DFC">
        <w:rPr>
          <w:sz w:val="20"/>
          <w:szCs w:val="20"/>
          <w:lang w:val="en-US"/>
        </w:rPr>
        <w:t xml:space="preserve">The association of silex tools with male individuals of the </w:t>
      </w:r>
      <w:proofErr w:type="spellStart"/>
      <w:r w:rsidR="00EE7059" w:rsidRPr="002A1DFC">
        <w:rPr>
          <w:sz w:val="20"/>
          <w:szCs w:val="20"/>
          <w:lang w:val="en-US"/>
        </w:rPr>
        <w:t>Großgartach</w:t>
      </w:r>
      <w:proofErr w:type="spellEnd"/>
      <w:r w:rsidR="00EE7059" w:rsidRPr="002A1DFC">
        <w:rPr>
          <w:sz w:val="20"/>
          <w:szCs w:val="20"/>
          <w:lang w:val="en-US"/>
        </w:rPr>
        <w:t xml:space="preserve"> </w:t>
      </w:r>
      <w:r w:rsidR="00D66090">
        <w:rPr>
          <w:sz w:val="20"/>
          <w:szCs w:val="20"/>
          <w:lang w:val="en-US"/>
        </w:rPr>
        <w:t xml:space="preserve">Culture </w:t>
      </w:r>
      <w:r w:rsidR="00EE7059" w:rsidRPr="002A1DFC">
        <w:rPr>
          <w:sz w:val="20"/>
          <w:szCs w:val="20"/>
          <w:lang w:val="en-US"/>
        </w:rPr>
        <w:t>is, by comparison to</w:t>
      </w:r>
      <w:r w:rsidR="00D66090">
        <w:rPr>
          <w:sz w:val="20"/>
          <w:szCs w:val="20"/>
          <w:lang w:val="en-US"/>
        </w:rPr>
        <w:t xml:space="preserve"> those of</w:t>
      </w:r>
      <w:r w:rsidR="00EE7059" w:rsidRPr="002A1DFC">
        <w:rPr>
          <w:sz w:val="20"/>
          <w:szCs w:val="20"/>
          <w:lang w:val="en-US"/>
        </w:rPr>
        <w:t xml:space="preserve"> the </w:t>
      </w:r>
      <w:proofErr w:type="spellStart"/>
      <w:r w:rsidR="00EE7059" w:rsidRPr="002A1DFC">
        <w:rPr>
          <w:sz w:val="20"/>
          <w:szCs w:val="20"/>
          <w:lang w:val="en-US"/>
        </w:rPr>
        <w:t>Hinkelstein</w:t>
      </w:r>
      <w:proofErr w:type="spellEnd"/>
      <w:r w:rsidR="00EE7059" w:rsidRPr="002A1DFC">
        <w:rPr>
          <w:sz w:val="20"/>
          <w:szCs w:val="20"/>
          <w:lang w:val="en-US"/>
        </w:rPr>
        <w:t xml:space="preserve"> Culture, rare. Two secure female individuals are further associated with silex artefacts</w:t>
      </w:r>
      <w:r w:rsidR="00F72BE2" w:rsidRPr="002A1DFC">
        <w:rPr>
          <w:sz w:val="20"/>
          <w:szCs w:val="20"/>
          <w:lang w:val="en-US"/>
        </w:rPr>
        <w:t xml:space="preserve">, this object category </w:t>
      </w:r>
      <w:r w:rsidR="00D66090">
        <w:rPr>
          <w:sz w:val="20"/>
          <w:szCs w:val="20"/>
          <w:lang w:val="en-US"/>
        </w:rPr>
        <w:t xml:space="preserve">therefore </w:t>
      </w:r>
      <w:r w:rsidR="00F72BE2" w:rsidRPr="002A1DFC">
        <w:rPr>
          <w:sz w:val="20"/>
          <w:szCs w:val="20"/>
          <w:lang w:val="en-US"/>
        </w:rPr>
        <w:t xml:space="preserve">cannot serve as archaeological </w:t>
      </w:r>
      <w:r w:rsidR="003E6490" w:rsidRPr="002A1DFC">
        <w:rPr>
          <w:sz w:val="20"/>
          <w:szCs w:val="20"/>
          <w:lang w:val="en-US"/>
        </w:rPr>
        <w:t>gender</w:t>
      </w:r>
      <w:r w:rsidR="00F72BE2" w:rsidRPr="002A1DFC">
        <w:rPr>
          <w:sz w:val="20"/>
          <w:szCs w:val="20"/>
          <w:lang w:val="en-US"/>
        </w:rPr>
        <w:t xml:space="preserve"> indicator</w:t>
      </w:r>
      <w:r w:rsidR="00EE7059" w:rsidRPr="002A1DFC">
        <w:rPr>
          <w:sz w:val="20"/>
          <w:szCs w:val="20"/>
          <w:lang w:val="en-US"/>
        </w:rPr>
        <w:t xml:space="preserve">. </w:t>
      </w:r>
      <w:r w:rsidR="00B76CCE" w:rsidRPr="002A1DFC">
        <w:rPr>
          <w:sz w:val="20"/>
          <w:szCs w:val="20"/>
          <w:lang w:val="en-US"/>
        </w:rPr>
        <w:t xml:space="preserve">Feminine </w:t>
      </w:r>
      <w:r w:rsidR="00EE7059" w:rsidRPr="002A1DFC">
        <w:rPr>
          <w:sz w:val="20"/>
          <w:szCs w:val="20"/>
          <w:lang w:val="en-US"/>
        </w:rPr>
        <w:t xml:space="preserve">attributes </w:t>
      </w:r>
      <w:r w:rsidR="00F72BE2" w:rsidRPr="002A1DFC">
        <w:rPr>
          <w:sz w:val="20"/>
          <w:szCs w:val="20"/>
          <w:lang w:val="en-US"/>
        </w:rPr>
        <w:t xml:space="preserve">of the </w:t>
      </w:r>
      <w:proofErr w:type="spellStart"/>
      <w:r w:rsidR="00F72BE2" w:rsidRPr="002A1DFC">
        <w:rPr>
          <w:sz w:val="20"/>
          <w:szCs w:val="20"/>
          <w:lang w:val="en-US"/>
        </w:rPr>
        <w:t>Großgartach</w:t>
      </w:r>
      <w:proofErr w:type="spellEnd"/>
      <w:r w:rsidR="00F72BE2" w:rsidRPr="002A1DFC">
        <w:rPr>
          <w:sz w:val="20"/>
          <w:szCs w:val="20"/>
          <w:lang w:val="en-US"/>
        </w:rPr>
        <w:t xml:space="preserve"> Culture </w:t>
      </w:r>
      <w:r w:rsidR="00EE7059" w:rsidRPr="002A1DFC">
        <w:rPr>
          <w:sz w:val="20"/>
          <w:szCs w:val="20"/>
          <w:lang w:val="en-US"/>
        </w:rPr>
        <w:t xml:space="preserve">are foremost determined based on the lack of characteristic </w:t>
      </w:r>
      <w:r w:rsidR="00B76CCE" w:rsidRPr="002A1DFC">
        <w:rPr>
          <w:sz w:val="20"/>
          <w:szCs w:val="20"/>
          <w:lang w:val="en-US"/>
        </w:rPr>
        <w:t xml:space="preserve">masculine </w:t>
      </w:r>
      <w:r w:rsidR="00EE7059" w:rsidRPr="002A1DFC">
        <w:rPr>
          <w:sz w:val="20"/>
          <w:szCs w:val="20"/>
          <w:lang w:val="en-US"/>
        </w:rPr>
        <w:t xml:space="preserve">assemblages: sandstone runners and other sandstone artefacts, </w:t>
      </w:r>
      <w:r w:rsidR="00F72BE2" w:rsidRPr="002A1DFC">
        <w:rPr>
          <w:sz w:val="20"/>
          <w:szCs w:val="20"/>
          <w:lang w:val="en-US"/>
        </w:rPr>
        <w:t xml:space="preserve">double perforated shells (‘buttons’) and perforated river shells. These objects are, however, rarely represented. Ceramic </w:t>
      </w:r>
      <w:r w:rsidR="009201B7" w:rsidRPr="002A1DFC">
        <w:rPr>
          <w:sz w:val="20"/>
          <w:szCs w:val="20"/>
          <w:lang w:val="en-US"/>
        </w:rPr>
        <w:t>stemmed bowls</w:t>
      </w:r>
      <w:r w:rsidR="00F72BE2" w:rsidRPr="002A1DFC">
        <w:rPr>
          <w:sz w:val="20"/>
          <w:szCs w:val="20"/>
          <w:lang w:val="en-US"/>
        </w:rPr>
        <w:t xml:space="preserve"> are slightly more frequently associated with male (7 out of 12 vs. 3 out of 14 individuals) then female individuals, while</w:t>
      </w:r>
      <w:r w:rsidR="009201B7" w:rsidRPr="002A1DFC">
        <w:rPr>
          <w:sz w:val="20"/>
          <w:szCs w:val="20"/>
          <w:lang w:val="en-US"/>
        </w:rPr>
        <w:t xml:space="preserve"> lug</w:t>
      </w:r>
      <w:r w:rsidR="00551D09" w:rsidRPr="002A1DFC">
        <w:rPr>
          <w:sz w:val="20"/>
          <w:szCs w:val="20"/>
          <w:lang w:val="en-US"/>
        </w:rPr>
        <w:t>-handled</w:t>
      </w:r>
      <w:r w:rsidR="009201B7" w:rsidRPr="002A1DFC">
        <w:rPr>
          <w:sz w:val="20"/>
          <w:szCs w:val="20"/>
          <w:lang w:val="en-US"/>
        </w:rPr>
        <w:t xml:space="preserve"> vessels</w:t>
      </w:r>
      <w:r w:rsidR="00F72BE2" w:rsidRPr="002A1DFC">
        <w:rPr>
          <w:sz w:val="20"/>
          <w:szCs w:val="20"/>
          <w:lang w:val="en-US"/>
        </w:rPr>
        <w:t xml:space="preserve"> </w:t>
      </w:r>
      <w:r w:rsidR="009201B7" w:rsidRPr="002A1DFC">
        <w:rPr>
          <w:sz w:val="20"/>
          <w:szCs w:val="20"/>
          <w:lang w:val="en-US"/>
        </w:rPr>
        <w:t>(</w:t>
      </w:r>
      <w:proofErr w:type="spellStart"/>
      <w:r w:rsidR="00CA4BEF" w:rsidRPr="002A1DFC">
        <w:rPr>
          <w:sz w:val="20"/>
          <w:szCs w:val="20"/>
          <w:lang w:val="en-US"/>
        </w:rPr>
        <w:t>dt.</w:t>
      </w:r>
      <w:proofErr w:type="spellEnd"/>
      <w:r w:rsidR="00CA4BEF" w:rsidRPr="002A1DFC">
        <w:rPr>
          <w:sz w:val="20"/>
          <w:szCs w:val="20"/>
          <w:lang w:val="en-US"/>
        </w:rPr>
        <w:t xml:space="preserve"> </w:t>
      </w:r>
      <w:proofErr w:type="spellStart"/>
      <w:r w:rsidR="00F72BE2" w:rsidRPr="002A1DFC">
        <w:rPr>
          <w:i/>
          <w:iCs/>
          <w:sz w:val="20"/>
          <w:szCs w:val="20"/>
          <w:lang w:val="en-US"/>
        </w:rPr>
        <w:t>Ösenbecher</w:t>
      </w:r>
      <w:proofErr w:type="spellEnd"/>
      <w:r w:rsidR="009201B7" w:rsidRPr="002A1DFC">
        <w:rPr>
          <w:sz w:val="20"/>
          <w:szCs w:val="20"/>
          <w:lang w:val="en-US"/>
        </w:rPr>
        <w:t>)</w:t>
      </w:r>
      <w:r w:rsidR="00F72BE2" w:rsidRPr="002A1DFC">
        <w:rPr>
          <w:sz w:val="20"/>
          <w:szCs w:val="20"/>
          <w:lang w:val="en-US"/>
        </w:rPr>
        <w:t xml:space="preserve"> are more frequently associated with female individuals (5 vs. 1 individual).</w:t>
      </w:r>
      <w:r w:rsidR="00672C67" w:rsidRPr="002A1DFC">
        <w:rPr>
          <w:sz w:val="20"/>
          <w:szCs w:val="20"/>
          <w:lang w:val="en-US"/>
        </w:rPr>
        <w:t xml:space="preserve"> </w:t>
      </w:r>
    </w:p>
    <w:p w14:paraId="0EDF547E" w14:textId="6939EBEE" w:rsidR="005C58D2" w:rsidRPr="002A1DFC" w:rsidRDefault="00605888" w:rsidP="00A31ADB">
      <w:pPr>
        <w:jc w:val="both"/>
        <w:rPr>
          <w:bCs/>
          <w:sz w:val="20"/>
          <w:szCs w:val="20"/>
          <w:lang w:val="en-US"/>
        </w:rPr>
      </w:pPr>
      <w:r w:rsidRPr="002A1DFC">
        <w:rPr>
          <w:b/>
          <w:sz w:val="20"/>
          <w:szCs w:val="20"/>
          <w:lang w:val="en-US"/>
        </w:rPr>
        <w:t>Data use and reconstruction for this article</w:t>
      </w:r>
      <w:r w:rsidR="005C58D2" w:rsidRPr="002A1DFC">
        <w:rPr>
          <w:b/>
          <w:sz w:val="20"/>
          <w:szCs w:val="20"/>
          <w:lang w:val="en-US"/>
        </w:rPr>
        <w:t>:</w:t>
      </w:r>
      <w:r w:rsidR="00715C88" w:rsidRPr="002A1DFC">
        <w:rPr>
          <w:b/>
          <w:sz w:val="20"/>
          <w:szCs w:val="20"/>
          <w:lang w:val="en-US"/>
        </w:rPr>
        <w:t xml:space="preserve"> </w:t>
      </w:r>
      <w:r w:rsidR="001A045D" w:rsidRPr="002A1DFC">
        <w:rPr>
          <w:bCs/>
          <w:sz w:val="20"/>
          <w:szCs w:val="20"/>
          <w:lang w:val="en-US"/>
        </w:rPr>
        <w:t>The sex</w:t>
      </w:r>
      <w:r w:rsidR="00FF2637" w:rsidRPr="002A1DFC">
        <w:rPr>
          <w:bCs/>
          <w:sz w:val="20"/>
          <w:szCs w:val="20"/>
          <w:lang w:val="en-US"/>
        </w:rPr>
        <w:t>/age-</w:t>
      </w:r>
      <w:r w:rsidR="001A045D" w:rsidRPr="002A1DFC">
        <w:rPr>
          <w:bCs/>
          <w:sz w:val="20"/>
          <w:szCs w:val="20"/>
          <w:lang w:val="en-US"/>
        </w:rPr>
        <w:t xml:space="preserve">data used is based on the indications of table 5 </w:t>
      </w:r>
      <w:r w:rsidR="00407642" w:rsidRPr="002A1DFC">
        <w:rPr>
          <w:bCs/>
          <w:noProof/>
          <w:sz w:val="20"/>
          <w:szCs w:val="20"/>
          <w:lang w:val="en-US"/>
        </w:rPr>
        <w:t>(Jacobshagen and Kunter in Spatz 1999</w:t>
      </w:r>
      <w:r w:rsidR="001659E5" w:rsidRPr="002A1DFC">
        <w:rPr>
          <w:bCs/>
          <w:noProof/>
          <w:sz w:val="20"/>
          <w:szCs w:val="20"/>
          <w:lang w:val="en-US"/>
        </w:rPr>
        <w:t>,</w:t>
      </w:r>
      <w:r w:rsidR="00407642" w:rsidRPr="002A1DFC">
        <w:rPr>
          <w:bCs/>
          <w:noProof/>
          <w:sz w:val="20"/>
          <w:szCs w:val="20"/>
          <w:lang w:val="en-US"/>
        </w:rPr>
        <w:t xml:space="preserve"> 295-299)</w:t>
      </w:r>
      <w:r w:rsidR="001A045D" w:rsidRPr="002A1DFC">
        <w:rPr>
          <w:bCs/>
          <w:sz w:val="20"/>
          <w:szCs w:val="20"/>
          <w:lang w:val="en-US"/>
        </w:rPr>
        <w:t xml:space="preserve">. The </w:t>
      </w:r>
      <w:r w:rsidR="008F4666" w:rsidRPr="002A1DFC">
        <w:rPr>
          <w:bCs/>
          <w:sz w:val="20"/>
          <w:szCs w:val="20"/>
          <w:lang w:val="en-US"/>
        </w:rPr>
        <w:t>gender-data</w:t>
      </w:r>
      <w:r w:rsidR="001A045D" w:rsidRPr="002A1DFC">
        <w:rPr>
          <w:bCs/>
          <w:sz w:val="20"/>
          <w:szCs w:val="20"/>
          <w:lang w:val="en-US"/>
        </w:rPr>
        <w:t xml:space="preserve"> is based on the tables 72-74, 76-78 </w:t>
      </w:r>
      <w:r w:rsidR="00407642" w:rsidRPr="002A1DFC">
        <w:rPr>
          <w:bCs/>
          <w:noProof/>
          <w:sz w:val="20"/>
          <w:szCs w:val="20"/>
          <w:lang w:val="en-US"/>
        </w:rPr>
        <w:t>(Spatz 1999</w:t>
      </w:r>
      <w:r w:rsidR="001659E5" w:rsidRPr="002A1DFC">
        <w:rPr>
          <w:bCs/>
          <w:noProof/>
          <w:sz w:val="20"/>
          <w:szCs w:val="20"/>
          <w:lang w:val="en-US"/>
        </w:rPr>
        <w:t>,</w:t>
      </w:r>
      <w:r w:rsidR="00407642" w:rsidRPr="002A1DFC">
        <w:rPr>
          <w:bCs/>
          <w:noProof/>
          <w:sz w:val="20"/>
          <w:szCs w:val="20"/>
          <w:lang w:val="en-US"/>
        </w:rPr>
        <w:t xml:space="preserve"> 178-198)</w:t>
      </w:r>
      <w:r w:rsidR="001A045D" w:rsidRPr="002A1DFC">
        <w:rPr>
          <w:bCs/>
          <w:sz w:val="20"/>
          <w:szCs w:val="20"/>
          <w:lang w:val="en-US"/>
        </w:rPr>
        <w:t>.</w:t>
      </w:r>
    </w:p>
    <w:p w14:paraId="387191A6" w14:textId="0AD9EFDC" w:rsidR="009201B7" w:rsidRPr="002A1DFC" w:rsidRDefault="00551D09" w:rsidP="00A31ADB">
      <w:pPr>
        <w:jc w:val="both"/>
        <w:rPr>
          <w:sz w:val="20"/>
          <w:szCs w:val="20"/>
          <w:lang w:val="en-US"/>
        </w:rPr>
      </w:pPr>
      <w:r w:rsidRPr="002A1DFC">
        <w:rPr>
          <w:b/>
          <w:sz w:val="20"/>
          <w:szCs w:val="20"/>
          <w:lang w:val="en-US"/>
        </w:rPr>
        <w:t>S</w:t>
      </w:r>
      <w:r w:rsidR="00CA3F4F" w:rsidRPr="002A1DFC">
        <w:rPr>
          <w:b/>
          <w:sz w:val="20"/>
          <w:szCs w:val="20"/>
          <w:lang w:val="en-US"/>
        </w:rPr>
        <w:t>ex and gender associations</w:t>
      </w:r>
      <w:r w:rsidR="009201B7" w:rsidRPr="002A1DFC">
        <w:rPr>
          <w:b/>
          <w:sz w:val="20"/>
          <w:szCs w:val="20"/>
          <w:lang w:val="en-US"/>
        </w:rPr>
        <w:t xml:space="preserve">: </w:t>
      </w:r>
      <w:r w:rsidR="00715C88" w:rsidRPr="002A1DFC">
        <w:rPr>
          <w:bCs/>
          <w:sz w:val="20"/>
          <w:szCs w:val="20"/>
          <w:lang w:val="en-US"/>
        </w:rPr>
        <w:t xml:space="preserve">match (n) = 94, opposite (n) = 4, </w:t>
      </w:r>
      <w:r w:rsidR="00DD55AC" w:rsidRPr="002A1DFC">
        <w:rPr>
          <w:bCs/>
          <w:sz w:val="20"/>
          <w:szCs w:val="20"/>
          <w:lang w:val="en-US"/>
        </w:rPr>
        <w:t>partial</w:t>
      </w:r>
      <w:r w:rsidR="00715C88" w:rsidRPr="002A1DFC">
        <w:rPr>
          <w:bCs/>
          <w:sz w:val="20"/>
          <w:szCs w:val="20"/>
          <w:lang w:val="en-US"/>
        </w:rPr>
        <w:t xml:space="preserve"> (n) = 2</w:t>
      </w:r>
      <w:r w:rsidR="00DD55AC" w:rsidRPr="002A1DFC">
        <w:rPr>
          <w:bCs/>
          <w:sz w:val="20"/>
          <w:szCs w:val="20"/>
          <w:lang w:val="en-US"/>
        </w:rPr>
        <w:t>7</w:t>
      </w:r>
      <w:r w:rsidR="00715C88" w:rsidRPr="002A1DFC">
        <w:rPr>
          <w:bCs/>
          <w:sz w:val="20"/>
          <w:szCs w:val="20"/>
          <w:lang w:val="en-US"/>
        </w:rPr>
        <w:t xml:space="preserve">, </w:t>
      </w:r>
      <w:r w:rsidR="00DD55AC" w:rsidRPr="002A1DFC">
        <w:rPr>
          <w:bCs/>
          <w:sz w:val="20"/>
          <w:szCs w:val="20"/>
          <w:lang w:val="en-US"/>
        </w:rPr>
        <w:t>no data</w:t>
      </w:r>
      <w:r w:rsidR="00715C88" w:rsidRPr="002A1DFC">
        <w:rPr>
          <w:bCs/>
          <w:sz w:val="20"/>
          <w:szCs w:val="20"/>
          <w:lang w:val="en-US"/>
        </w:rPr>
        <w:t xml:space="preserve"> (n) = 11.</w:t>
      </w:r>
    </w:p>
    <w:p w14:paraId="05928C2A" w14:textId="0F96A8CD" w:rsidR="00862D4B" w:rsidRPr="002A1DFC" w:rsidRDefault="00B013E6" w:rsidP="00A31ADB">
      <w:pPr>
        <w:jc w:val="both"/>
        <w:rPr>
          <w:b/>
          <w:sz w:val="20"/>
          <w:szCs w:val="20"/>
        </w:rPr>
      </w:pPr>
      <w:r w:rsidRPr="002A1DFC">
        <w:rPr>
          <w:b/>
          <w:sz w:val="20"/>
          <w:szCs w:val="20"/>
        </w:rPr>
        <w:t>General site references</w:t>
      </w:r>
      <w:r w:rsidRPr="002A1DFC">
        <w:rPr>
          <w:sz w:val="20"/>
          <w:szCs w:val="20"/>
        </w:rPr>
        <w:t xml:space="preserve">: </w:t>
      </w:r>
      <w:r w:rsidR="00407642" w:rsidRPr="002A1DFC">
        <w:rPr>
          <w:noProof/>
          <w:sz w:val="20"/>
          <w:szCs w:val="20"/>
        </w:rPr>
        <w:t>Spatz 1999</w:t>
      </w:r>
      <w:r w:rsidR="001659E5" w:rsidRPr="002A1DFC">
        <w:rPr>
          <w:noProof/>
          <w:sz w:val="20"/>
          <w:szCs w:val="20"/>
        </w:rPr>
        <w:t>.</w:t>
      </w:r>
    </w:p>
    <w:p w14:paraId="680B861F" w14:textId="551CA702" w:rsidR="00657B4B" w:rsidRPr="002A1DFC" w:rsidRDefault="00657B4B">
      <w:pPr>
        <w:rPr>
          <w:sz w:val="20"/>
          <w:szCs w:val="20"/>
        </w:rPr>
      </w:pPr>
    </w:p>
    <w:p w14:paraId="77518E18" w14:textId="7CF64A63" w:rsidR="0029211B" w:rsidRPr="002A1DFC" w:rsidRDefault="0029211B" w:rsidP="0029211B">
      <w:pPr>
        <w:rPr>
          <w:b/>
        </w:rPr>
      </w:pPr>
      <w:r w:rsidRPr="002A1DFC">
        <w:rPr>
          <w:b/>
        </w:rPr>
        <w:t>Ostorf-Tannenwerder (Germany)</w:t>
      </w:r>
    </w:p>
    <w:p w14:paraId="1DFCB50E" w14:textId="327E001E" w:rsidR="00862D4B" w:rsidRPr="002A1DFC" w:rsidRDefault="00862D4B" w:rsidP="00A06A60">
      <w:pPr>
        <w:jc w:val="both"/>
        <w:rPr>
          <w:sz w:val="20"/>
          <w:szCs w:val="20"/>
        </w:rPr>
      </w:pPr>
      <w:r w:rsidRPr="002A1DFC">
        <w:rPr>
          <w:b/>
          <w:sz w:val="20"/>
          <w:szCs w:val="20"/>
        </w:rPr>
        <w:t>Location</w:t>
      </w:r>
      <w:r w:rsidRPr="002A1DFC">
        <w:rPr>
          <w:sz w:val="20"/>
          <w:szCs w:val="20"/>
        </w:rPr>
        <w:t xml:space="preserve">: </w:t>
      </w:r>
      <w:r w:rsidR="00773F2A" w:rsidRPr="002A1DFC">
        <w:rPr>
          <w:sz w:val="20"/>
          <w:szCs w:val="20"/>
        </w:rPr>
        <w:t xml:space="preserve">Kreis Schwerin, Lake Ostorf, Island of Tannenwerder, </w:t>
      </w:r>
      <w:r w:rsidR="00AE2974" w:rsidRPr="002A1DFC">
        <w:rPr>
          <w:sz w:val="20"/>
          <w:szCs w:val="20"/>
        </w:rPr>
        <w:t>Meckle</w:t>
      </w:r>
      <w:r w:rsidR="00D753C1" w:rsidRPr="002A1DFC">
        <w:rPr>
          <w:sz w:val="20"/>
          <w:szCs w:val="20"/>
        </w:rPr>
        <w:t>n</w:t>
      </w:r>
      <w:r w:rsidR="00AE2974" w:rsidRPr="002A1DFC">
        <w:rPr>
          <w:sz w:val="20"/>
          <w:szCs w:val="20"/>
        </w:rPr>
        <w:t>burg-</w:t>
      </w:r>
      <w:r w:rsidR="00773F2A" w:rsidRPr="002A1DFC">
        <w:rPr>
          <w:sz w:val="20"/>
          <w:szCs w:val="20"/>
        </w:rPr>
        <w:t xml:space="preserve">Western Pomerania. </w:t>
      </w:r>
    </w:p>
    <w:p w14:paraId="4B7C2BF9" w14:textId="22B541B9" w:rsidR="00862D4B" w:rsidRPr="002A1DFC" w:rsidRDefault="00862D4B" w:rsidP="00A06A60">
      <w:pPr>
        <w:jc w:val="both"/>
        <w:rPr>
          <w:sz w:val="20"/>
          <w:szCs w:val="20"/>
          <w:lang w:val="en-US"/>
        </w:rPr>
      </w:pPr>
      <w:r w:rsidRPr="002A1DFC">
        <w:rPr>
          <w:b/>
          <w:sz w:val="20"/>
          <w:szCs w:val="20"/>
          <w:lang w:val="en-US"/>
        </w:rPr>
        <w:t>Excavation</w:t>
      </w:r>
      <w:r w:rsidRPr="002A1DFC">
        <w:rPr>
          <w:sz w:val="20"/>
          <w:szCs w:val="20"/>
          <w:lang w:val="en-US"/>
        </w:rPr>
        <w:t xml:space="preserve">: </w:t>
      </w:r>
      <w:r w:rsidR="00580F8A" w:rsidRPr="002A1DFC">
        <w:rPr>
          <w:sz w:val="20"/>
          <w:szCs w:val="20"/>
          <w:lang w:val="en-US"/>
        </w:rPr>
        <w:t>1904 (</w:t>
      </w:r>
      <w:r w:rsidR="008B5270" w:rsidRPr="002A1DFC">
        <w:rPr>
          <w:sz w:val="20"/>
          <w:szCs w:val="20"/>
          <w:lang w:val="en-US"/>
        </w:rPr>
        <w:t>May 21</w:t>
      </w:r>
      <w:r w:rsidR="006028CF" w:rsidRPr="002A1DFC">
        <w:rPr>
          <w:sz w:val="20"/>
          <w:szCs w:val="20"/>
          <w:lang w:val="en-US"/>
        </w:rPr>
        <w:t>st</w:t>
      </w:r>
      <w:r w:rsidR="008B5270" w:rsidRPr="002A1DFC">
        <w:rPr>
          <w:sz w:val="20"/>
          <w:szCs w:val="20"/>
          <w:lang w:val="en-US"/>
        </w:rPr>
        <w:t>, September 10</w:t>
      </w:r>
      <w:r w:rsidR="006028CF" w:rsidRPr="002A1DFC">
        <w:rPr>
          <w:sz w:val="20"/>
          <w:szCs w:val="20"/>
          <w:lang w:val="en-US"/>
        </w:rPr>
        <w:t>th</w:t>
      </w:r>
      <w:r w:rsidR="008B5270" w:rsidRPr="002A1DFC">
        <w:rPr>
          <w:sz w:val="20"/>
          <w:szCs w:val="20"/>
          <w:lang w:val="en-US"/>
        </w:rPr>
        <w:t xml:space="preserve"> and 14</w:t>
      </w:r>
      <w:r w:rsidR="006028CF" w:rsidRPr="002A1DFC">
        <w:rPr>
          <w:sz w:val="20"/>
          <w:szCs w:val="20"/>
          <w:lang w:val="en-US"/>
        </w:rPr>
        <w:t>th</w:t>
      </w:r>
      <w:r w:rsidR="00476F19" w:rsidRPr="002A1DFC">
        <w:rPr>
          <w:sz w:val="20"/>
          <w:szCs w:val="20"/>
          <w:lang w:val="en-US"/>
        </w:rPr>
        <w:t xml:space="preserve">; R. </w:t>
      </w:r>
      <w:proofErr w:type="spellStart"/>
      <w:r w:rsidR="00476F19" w:rsidRPr="002A1DFC">
        <w:rPr>
          <w:sz w:val="20"/>
          <w:szCs w:val="20"/>
          <w:lang w:val="en-US"/>
        </w:rPr>
        <w:t>Beltz</w:t>
      </w:r>
      <w:proofErr w:type="spellEnd"/>
      <w:r w:rsidR="00476F19" w:rsidRPr="002A1DFC">
        <w:rPr>
          <w:sz w:val="20"/>
          <w:szCs w:val="20"/>
          <w:lang w:val="en-US"/>
        </w:rPr>
        <w:t>; burials 1-22</w:t>
      </w:r>
      <w:r w:rsidR="00580F8A" w:rsidRPr="002A1DFC">
        <w:rPr>
          <w:sz w:val="20"/>
          <w:szCs w:val="20"/>
          <w:lang w:val="en-US"/>
        </w:rPr>
        <w:t>), 1935 (July 8</w:t>
      </w:r>
      <w:r w:rsidR="006028CF" w:rsidRPr="002A1DFC">
        <w:rPr>
          <w:sz w:val="20"/>
          <w:szCs w:val="20"/>
          <w:lang w:val="en-US"/>
        </w:rPr>
        <w:t>th</w:t>
      </w:r>
      <w:r w:rsidR="00580F8A" w:rsidRPr="002A1DFC">
        <w:rPr>
          <w:sz w:val="20"/>
          <w:szCs w:val="20"/>
          <w:lang w:val="en-US"/>
        </w:rPr>
        <w:t>-2</w:t>
      </w:r>
      <w:r w:rsidR="00773F2A" w:rsidRPr="002A1DFC">
        <w:rPr>
          <w:sz w:val="20"/>
          <w:szCs w:val="20"/>
          <w:lang w:val="en-US"/>
        </w:rPr>
        <w:t>1</w:t>
      </w:r>
      <w:r w:rsidR="006028CF" w:rsidRPr="002A1DFC">
        <w:rPr>
          <w:sz w:val="20"/>
          <w:szCs w:val="20"/>
          <w:lang w:val="en-US"/>
        </w:rPr>
        <w:t>st</w:t>
      </w:r>
      <w:r w:rsidR="00476F19" w:rsidRPr="002A1DFC">
        <w:rPr>
          <w:sz w:val="20"/>
          <w:szCs w:val="20"/>
          <w:lang w:val="en-US"/>
        </w:rPr>
        <w:t>; W. Bastian; burials I-VI</w:t>
      </w:r>
      <w:r w:rsidR="00580F8A" w:rsidRPr="002A1DFC">
        <w:rPr>
          <w:sz w:val="20"/>
          <w:szCs w:val="20"/>
          <w:lang w:val="en-US"/>
        </w:rPr>
        <w:t xml:space="preserve">), </w:t>
      </w:r>
      <w:r w:rsidR="00AE2974" w:rsidRPr="002A1DFC">
        <w:rPr>
          <w:sz w:val="20"/>
          <w:szCs w:val="20"/>
          <w:lang w:val="en-US"/>
        </w:rPr>
        <w:t>1961 (August 7</w:t>
      </w:r>
      <w:r w:rsidR="006028CF" w:rsidRPr="002A1DFC">
        <w:rPr>
          <w:sz w:val="20"/>
          <w:szCs w:val="20"/>
          <w:lang w:val="en-US"/>
        </w:rPr>
        <w:t>th</w:t>
      </w:r>
      <w:r w:rsidR="00AE2974" w:rsidRPr="002A1DFC">
        <w:rPr>
          <w:sz w:val="20"/>
          <w:szCs w:val="20"/>
          <w:lang w:val="en-US"/>
        </w:rPr>
        <w:t>-23</w:t>
      </w:r>
      <w:r w:rsidR="006028CF" w:rsidRPr="002A1DFC">
        <w:rPr>
          <w:sz w:val="20"/>
          <w:szCs w:val="20"/>
          <w:lang w:val="en-US"/>
        </w:rPr>
        <w:t>rd</w:t>
      </w:r>
      <w:r w:rsidR="00476F19" w:rsidRPr="002A1DFC">
        <w:rPr>
          <w:sz w:val="20"/>
          <w:szCs w:val="20"/>
          <w:lang w:val="en-US"/>
        </w:rPr>
        <w:t>; E. Schuldt; burials 1-10</w:t>
      </w:r>
      <w:r w:rsidR="00AE2974" w:rsidRPr="002A1DFC">
        <w:rPr>
          <w:sz w:val="20"/>
          <w:szCs w:val="20"/>
          <w:lang w:val="en-US"/>
        </w:rPr>
        <w:t>)</w:t>
      </w:r>
      <w:r w:rsidR="00773F2A" w:rsidRPr="002A1DFC">
        <w:rPr>
          <w:sz w:val="20"/>
          <w:szCs w:val="20"/>
          <w:lang w:val="en-US"/>
        </w:rPr>
        <w:t>.</w:t>
      </w:r>
    </w:p>
    <w:p w14:paraId="2CBDE723" w14:textId="75961435" w:rsidR="00ED3CDD" w:rsidRPr="002A1DFC" w:rsidRDefault="00862D4B" w:rsidP="00A06A60">
      <w:pPr>
        <w:jc w:val="both"/>
        <w:rPr>
          <w:sz w:val="20"/>
          <w:szCs w:val="20"/>
          <w:lang w:val="en-US"/>
        </w:rPr>
      </w:pPr>
      <w:r w:rsidRPr="002A1DFC">
        <w:rPr>
          <w:b/>
          <w:sz w:val="20"/>
          <w:szCs w:val="20"/>
          <w:lang w:val="en-US"/>
        </w:rPr>
        <w:t>Chronology</w:t>
      </w:r>
      <w:r w:rsidRPr="002A1DFC">
        <w:rPr>
          <w:sz w:val="20"/>
          <w:szCs w:val="20"/>
          <w:lang w:val="en-US"/>
        </w:rPr>
        <w:t xml:space="preserve">: </w:t>
      </w:r>
      <w:r w:rsidR="00787EA1" w:rsidRPr="002A1DFC">
        <w:rPr>
          <w:sz w:val="20"/>
          <w:szCs w:val="20"/>
          <w:lang w:val="en-US"/>
        </w:rPr>
        <w:t xml:space="preserve">Based on AMS-dating and object typologies, the site is mainly </w:t>
      </w:r>
      <w:r w:rsidR="006D4497" w:rsidRPr="002A1DFC">
        <w:rPr>
          <w:sz w:val="20"/>
          <w:szCs w:val="20"/>
          <w:lang w:val="en-US"/>
        </w:rPr>
        <w:t>occupied in the Nordic Middle Neolithic, between c. 3200-2900 BCE. Based on object typologies and site comparisons, on</w:t>
      </w:r>
      <w:r w:rsidR="003B32D0" w:rsidRPr="002A1DFC">
        <w:rPr>
          <w:sz w:val="20"/>
          <w:szCs w:val="20"/>
          <w:lang w:val="en-US"/>
        </w:rPr>
        <w:t>e</w:t>
      </w:r>
      <w:r w:rsidR="006D4497" w:rsidRPr="002A1DFC">
        <w:rPr>
          <w:sz w:val="20"/>
          <w:szCs w:val="20"/>
          <w:lang w:val="en-US"/>
        </w:rPr>
        <w:t xml:space="preserve"> grave may be dated to the Early Funnel Beaker Culture of the Nordic Early Neolithic </w:t>
      </w:r>
      <w:r w:rsidR="00407642" w:rsidRPr="002A1DFC">
        <w:rPr>
          <w:sz w:val="20"/>
          <w:lang w:val="en-US"/>
        </w:rPr>
        <w:t xml:space="preserve">(c. 3800-3600 BCE; </w:t>
      </w:r>
      <w:proofErr w:type="spellStart"/>
      <w:r w:rsidR="00407642" w:rsidRPr="002A1DFC">
        <w:rPr>
          <w:sz w:val="20"/>
          <w:lang w:val="en-US"/>
        </w:rPr>
        <w:t>Lübke</w:t>
      </w:r>
      <w:proofErr w:type="spellEnd"/>
      <w:r w:rsidR="00407642" w:rsidRPr="002A1DFC">
        <w:rPr>
          <w:sz w:val="20"/>
          <w:lang w:val="en-US"/>
        </w:rPr>
        <w:t xml:space="preserve"> </w:t>
      </w:r>
      <w:r w:rsidR="00407642" w:rsidRPr="00CA6877">
        <w:rPr>
          <w:i/>
          <w:sz w:val="20"/>
          <w:lang w:val="en-US"/>
        </w:rPr>
        <w:t>et al.</w:t>
      </w:r>
      <w:r w:rsidR="00407642" w:rsidRPr="002A1DFC">
        <w:rPr>
          <w:sz w:val="20"/>
          <w:lang w:val="en-US"/>
        </w:rPr>
        <w:t xml:space="preserve"> 2007)</w:t>
      </w:r>
      <w:r w:rsidR="006D4497" w:rsidRPr="002A1DFC">
        <w:rPr>
          <w:sz w:val="20"/>
          <w:szCs w:val="20"/>
          <w:lang w:val="en-US"/>
        </w:rPr>
        <w:t xml:space="preserve">. </w:t>
      </w:r>
    </w:p>
    <w:p w14:paraId="644E3491" w14:textId="17C0BDEB" w:rsidR="00862D4B" w:rsidRPr="002A1DFC" w:rsidRDefault="00862D4B" w:rsidP="00A06A60">
      <w:pPr>
        <w:jc w:val="both"/>
        <w:rPr>
          <w:sz w:val="20"/>
          <w:szCs w:val="20"/>
          <w:lang w:val="en-US"/>
        </w:rPr>
      </w:pPr>
      <w:r w:rsidRPr="002A1DFC">
        <w:rPr>
          <w:b/>
          <w:sz w:val="20"/>
          <w:szCs w:val="20"/>
          <w:lang w:val="en-US"/>
        </w:rPr>
        <w:t>Material culture</w:t>
      </w:r>
      <w:r w:rsidRPr="002A1DFC">
        <w:rPr>
          <w:sz w:val="20"/>
          <w:szCs w:val="20"/>
          <w:lang w:val="en-US"/>
        </w:rPr>
        <w:t>:</w:t>
      </w:r>
      <w:r w:rsidR="00580F8A" w:rsidRPr="002A1DFC">
        <w:rPr>
          <w:sz w:val="20"/>
          <w:szCs w:val="20"/>
          <w:lang w:val="en-US"/>
        </w:rPr>
        <w:t xml:space="preserve"> Funnel Beaker Culture</w:t>
      </w:r>
      <w:r w:rsidR="006D4497" w:rsidRPr="002A1DFC">
        <w:rPr>
          <w:sz w:val="20"/>
          <w:szCs w:val="20"/>
          <w:lang w:val="en-US"/>
        </w:rPr>
        <w:t xml:space="preserve"> (mainly the younger phase)</w:t>
      </w:r>
      <w:r w:rsidR="007E36E0" w:rsidRPr="002A1DFC">
        <w:rPr>
          <w:sz w:val="20"/>
          <w:szCs w:val="20"/>
          <w:lang w:val="en-US"/>
        </w:rPr>
        <w:t xml:space="preserve">. </w:t>
      </w:r>
    </w:p>
    <w:p w14:paraId="74ECA438" w14:textId="2B0F0891" w:rsidR="00862D4B" w:rsidRPr="002A1DFC" w:rsidRDefault="00862D4B" w:rsidP="00A06A60">
      <w:pPr>
        <w:jc w:val="both"/>
        <w:rPr>
          <w:sz w:val="20"/>
          <w:szCs w:val="20"/>
          <w:lang w:val="en-US"/>
        </w:rPr>
      </w:pPr>
      <w:r w:rsidRPr="002A1DFC">
        <w:rPr>
          <w:b/>
          <w:sz w:val="20"/>
          <w:szCs w:val="20"/>
          <w:lang w:val="en-US"/>
        </w:rPr>
        <w:lastRenderedPageBreak/>
        <w:t>Use duration</w:t>
      </w:r>
      <w:r w:rsidRPr="002A1DFC">
        <w:rPr>
          <w:sz w:val="20"/>
          <w:szCs w:val="20"/>
          <w:lang w:val="en-US"/>
        </w:rPr>
        <w:t xml:space="preserve">: </w:t>
      </w:r>
      <w:r w:rsidR="006D4497" w:rsidRPr="002A1DFC">
        <w:rPr>
          <w:sz w:val="20"/>
          <w:szCs w:val="20"/>
          <w:lang w:val="en-US"/>
        </w:rPr>
        <w:t xml:space="preserve">Mainly the younger </w:t>
      </w:r>
      <w:r w:rsidR="00580F8A" w:rsidRPr="002A1DFC">
        <w:rPr>
          <w:sz w:val="20"/>
          <w:szCs w:val="20"/>
          <w:lang w:val="en-US"/>
        </w:rPr>
        <w:t>Funnel Beaker Culture (MN II-IV)</w:t>
      </w:r>
      <w:r w:rsidR="006D4497" w:rsidRPr="002A1DFC">
        <w:rPr>
          <w:sz w:val="20"/>
          <w:szCs w:val="20"/>
          <w:lang w:val="en-US"/>
        </w:rPr>
        <w:t xml:space="preserve">. An earlier occupation </w:t>
      </w:r>
      <w:r w:rsidR="003605A6" w:rsidRPr="002A1DFC">
        <w:rPr>
          <w:sz w:val="20"/>
          <w:szCs w:val="20"/>
          <w:lang w:val="en-US"/>
        </w:rPr>
        <w:t>may be</w:t>
      </w:r>
      <w:r w:rsidR="006D4497" w:rsidRPr="002A1DFC">
        <w:rPr>
          <w:sz w:val="20"/>
          <w:szCs w:val="20"/>
          <w:lang w:val="en-US"/>
        </w:rPr>
        <w:t xml:space="preserve"> attested </w:t>
      </w:r>
      <w:r w:rsidR="003605A6" w:rsidRPr="002A1DFC">
        <w:rPr>
          <w:sz w:val="20"/>
          <w:szCs w:val="20"/>
          <w:lang w:val="en-US"/>
        </w:rPr>
        <w:t>through one grave</w:t>
      </w:r>
      <w:r w:rsidR="00580F8A" w:rsidRPr="002A1DFC">
        <w:rPr>
          <w:sz w:val="20"/>
          <w:szCs w:val="20"/>
          <w:lang w:val="en-US"/>
        </w:rPr>
        <w:t>.</w:t>
      </w:r>
    </w:p>
    <w:p w14:paraId="4516CADF" w14:textId="7D10B2B4" w:rsidR="00B509A0" w:rsidRPr="002A1DFC" w:rsidRDefault="00862D4B" w:rsidP="00493DDB">
      <w:pPr>
        <w:jc w:val="both"/>
        <w:rPr>
          <w:b/>
          <w:sz w:val="20"/>
          <w:szCs w:val="20"/>
          <w:lang w:val="en-US"/>
        </w:rPr>
      </w:pPr>
      <w:r w:rsidRPr="002A1DFC">
        <w:rPr>
          <w:b/>
          <w:sz w:val="20"/>
          <w:szCs w:val="20"/>
          <w:lang w:val="en-US"/>
        </w:rPr>
        <w:t>Preservation</w:t>
      </w:r>
      <w:r w:rsidRPr="002A1DFC">
        <w:rPr>
          <w:sz w:val="20"/>
          <w:szCs w:val="20"/>
          <w:lang w:val="en-US"/>
        </w:rPr>
        <w:t xml:space="preserve">: </w:t>
      </w:r>
      <w:r w:rsidR="00B521AF" w:rsidRPr="002A1DFC">
        <w:rPr>
          <w:sz w:val="20"/>
          <w:szCs w:val="20"/>
          <w:lang w:val="en-US"/>
        </w:rPr>
        <w:t xml:space="preserve">A total of eight burials were destroyed between 1877 and 1879, one grave in 1934, and likely further burials in the eastern part of the island due to horticultural activities. According to </w:t>
      </w:r>
      <w:proofErr w:type="spellStart"/>
      <w:r w:rsidR="00B521AF" w:rsidRPr="002A1DFC">
        <w:rPr>
          <w:sz w:val="20"/>
          <w:szCs w:val="20"/>
          <w:lang w:val="en-US"/>
        </w:rPr>
        <w:t>Patolla</w:t>
      </w:r>
      <w:proofErr w:type="spellEnd"/>
      <w:r w:rsidR="00B521AF" w:rsidRPr="002A1DFC">
        <w:rPr>
          <w:sz w:val="20"/>
          <w:szCs w:val="20"/>
          <w:lang w:val="en-US"/>
        </w:rPr>
        <w:t xml:space="preserve"> and Henke, nine structures contained no</w:t>
      </w:r>
      <w:r w:rsidR="00AA189E">
        <w:rPr>
          <w:sz w:val="20"/>
          <w:szCs w:val="20"/>
          <w:lang w:val="en-US"/>
        </w:rPr>
        <w:t xml:space="preserve"> osteological remains</w:t>
      </w:r>
      <w:r w:rsidR="00B521AF" w:rsidRPr="002A1DFC">
        <w:rPr>
          <w:sz w:val="20"/>
          <w:szCs w:val="20"/>
          <w:lang w:val="en-US"/>
        </w:rPr>
        <w:t xml:space="preserve">, </w:t>
      </w:r>
      <w:r w:rsidR="00AA189E">
        <w:rPr>
          <w:sz w:val="20"/>
          <w:szCs w:val="20"/>
          <w:lang w:val="en-US"/>
        </w:rPr>
        <w:t xml:space="preserve">or </w:t>
      </w:r>
      <w:r w:rsidR="00B521AF" w:rsidRPr="002A1DFC">
        <w:rPr>
          <w:sz w:val="20"/>
          <w:szCs w:val="20"/>
          <w:lang w:val="en-US"/>
        </w:rPr>
        <w:t>sparse</w:t>
      </w:r>
      <w:r w:rsidR="00AA189E">
        <w:rPr>
          <w:sz w:val="20"/>
          <w:szCs w:val="20"/>
          <w:lang w:val="en-US"/>
        </w:rPr>
        <w:t>/</w:t>
      </w:r>
      <w:r w:rsidR="00B521AF" w:rsidRPr="002A1DFC">
        <w:rPr>
          <w:sz w:val="20"/>
          <w:szCs w:val="20"/>
          <w:lang w:val="en-US"/>
        </w:rPr>
        <w:t>severely fragmented human bone</w:t>
      </w:r>
      <w:r w:rsidR="00AA189E">
        <w:rPr>
          <w:sz w:val="20"/>
          <w:szCs w:val="20"/>
          <w:lang w:val="en-US"/>
        </w:rPr>
        <w:t>s</w:t>
      </w:r>
      <w:r w:rsidR="00B521AF" w:rsidRPr="002A1DFC">
        <w:rPr>
          <w:sz w:val="20"/>
          <w:szCs w:val="20"/>
          <w:lang w:val="en-US"/>
        </w:rPr>
        <w:t xml:space="preserve">, which are </w:t>
      </w:r>
      <w:r w:rsidR="00AA189E">
        <w:rPr>
          <w:sz w:val="20"/>
          <w:szCs w:val="20"/>
          <w:lang w:val="en-US"/>
        </w:rPr>
        <w:t>anyway</w:t>
      </w:r>
      <w:r w:rsidR="00D66090">
        <w:rPr>
          <w:sz w:val="20"/>
          <w:szCs w:val="20"/>
          <w:lang w:val="en-US"/>
        </w:rPr>
        <w:t xml:space="preserve"> </w:t>
      </w:r>
      <w:r w:rsidR="00B521AF" w:rsidRPr="002A1DFC">
        <w:rPr>
          <w:sz w:val="20"/>
          <w:szCs w:val="20"/>
          <w:lang w:val="en-US"/>
        </w:rPr>
        <w:t xml:space="preserve">lost today. A total of five crania are not attributable to </w:t>
      </w:r>
      <w:r w:rsidR="00A06A60" w:rsidRPr="002A1DFC">
        <w:rPr>
          <w:sz w:val="20"/>
          <w:szCs w:val="20"/>
          <w:lang w:val="en-US"/>
        </w:rPr>
        <w:t xml:space="preserve">burial </w:t>
      </w:r>
      <w:r w:rsidR="00B521AF" w:rsidRPr="002A1DFC">
        <w:rPr>
          <w:sz w:val="20"/>
          <w:szCs w:val="20"/>
          <w:lang w:val="en-US"/>
        </w:rPr>
        <w:t xml:space="preserve">structures. </w:t>
      </w:r>
      <w:r w:rsidR="00A06A60" w:rsidRPr="002A1DFC">
        <w:rPr>
          <w:sz w:val="20"/>
          <w:szCs w:val="20"/>
          <w:lang w:val="en-US"/>
        </w:rPr>
        <w:t>In general,</w:t>
      </w:r>
      <w:r w:rsidR="00B521AF" w:rsidRPr="002A1DFC">
        <w:rPr>
          <w:sz w:val="20"/>
          <w:szCs w:val="20"/>
          <w:lang w:val="en-US"/>
        </w:rPr>
        <w:t xml:space="preserve"> 25% of the skeletons are nearly complete, 10% fairly well preserved (i.e. feature more than 70% of the skeletal elements), and 45% of the individuals are represented by single bones only. Most of the la</w:t>
      </w:r>
      <w:r w:rsidR="00A06A60" w:rsidRPr="002A1DFC">
        <w:rPr>
          <w:sz w:val="20"/>
          <w:szCs w:val="20"/>
          <w:lang w:val="en-US"/>
        </w:rPr>
        <w:t xml:space="preserve">st mentioned </w:t>
      </w:r>
      <w:r w:rsidR="00D66090">
        <w:rPr>
          <w:sz w:val="20"/>
          <w:szCs w:val="20"/>
          <w:lang w:val="en-US"/>
        </w:rPr>
        <w:t xml:space="preserve">individuals </w:t>
      </w:r>
      <w:r w:rsidR="00B521AF" w:rsidRPr="002A1DFC">
        <w:rPr>
          <w:sz w:val="20"/>
          <w:szCs w:val="20"/>
          <w:lang w:val="en-US"/>
        </w:rPr>
        <w:t>were not determinable in regards to age and sex</w:t>
      </w:r>
      <w:r w:rsidR="00BC5096" w:rsidRPr="002A1DFC">
        <w:rPr>
          <w:sz w:val="20"/>
          <w:szCs w:val="20"/>
          <w:lang w:val="en-US"/>
        </w:rPr>
        <w:t xml:space="preserve"> </w:t>
      </w:r>
      <w:r w:rsidR="00407642" w:rsidRPr="002A1DFC">
        <w:rPr>
          <w:noProof/>
          <w:sz w:val="20"/>
          <w:szCs w:val="20"/>
          <w:lang w:val="en-US"/>
        </w:rPr>
        <w:t>(Patolla</w:t>
      </w:r>
      <w:r w:rsidR="001659E5" w:rsidRPr="002A1DFC">
        <w:rPr>
          <w:noProof/>
          <w:sz w:val="20"/>
          <w:szCs w:val="20"/>
          <w:lang w:val="en-US"/>
        </w:rPr>
        <w:t xml:space="preserve"> &amp;</w:t>
      </w:r>
      <w:r w:rsidR="002004DC" w:rsidRPr="002A1DFC">
        <w:rPr>
          <w:noProof/>
          <w:sz w:val="20"/>
          <w:szCs w:val="20"/>
          <w:lang w:val="en-US"/>
        </w:rPr>
        <w:t xml:space="preserve"> </w:t>
      </w:r>
      <w:r w:rsidR="00407642" w:rsidRPr="002A1DFC">
        <w:rPr>
          <w:noProof/>
          <w:sz w:val="20"/>
          <w:szCs w:val="20"/>
          <w:lang w:val="en-US"/>
        </w:rPr>
        <w:t>Henke 2007</w:t>
      </w:r>
      <w:r w:rsidR="001659E5" w:rsidRPr="002A1DFC">
        <w:rPr>
          <w:noProof/>
          <w:sz w:val="20"/>
          <w:szCs w:val="20"/>
          <w:lang w:val="en-US"/>
        </w:rPr>
        <w:t>,</w:t>
      </w:r>
      <w:r w:rsidR="00407642" w:rsidRPr="002A1DFC">
        <w:rPr>
          <w:noProof/>
          <w:sz w:val="20"/>
          <w:szCs w:val="20"/>
          <w:lang w:val="en-US"/>
        </w:rPr>
        <w:t xml:space="preserve"> 354)</w:t>
      </w:r>
      <w:r w:rsidR="00B521AF" w:rsidRPr="002A1DFC">
        <w:rPr>
          <w:sz w:val="20"/>
          <w:szCs w:val="20"/>
          <w:lang w:val="en-US"/>
        </w:rPr>
        <w:t>.</w:t>
      </w:r>
    </w:p>
    <w:p w14:paraId="4CDE13EA" w14:textId="4714BF21" w:rsidR="00862D4B" w:rsidRPr="002A1DFC" w:rsidRDefault="00862D4B" w:rsidP="00493DDB">
      <w:pPr>
        <w:jc w:val="both"/>
        <w:rPr>
          <w:sz w:val="20"/>
          <w:szCs w:val="20"/>
          <w:lang w:val="en-US"/>
        </w:rPr>
      </w:pPr>
      <w:r w:rsidRPr="002A1DFC">
        <w:rPr>
          <w:b/>
          <w:sz w:val="20"/>
          <w:szCs w:val="20"/>
          <w:lang w:val="en-US"/>
        </w:rPr>
        <w:t>Burial structures</w:t>
      </w:r>
      <w:r w:rsidRPr="002A1DFC">
        <w:rPr>
          <w:sz w:val="20"/>
          <w:szCs w:val="20"/>
          <w:lang w:val="en-US"/>
        </w:rPr>
        <w:t xml:space="preserve">: </w:t>
      </w:r>
      <w:r w:rsidR="00B521AF" w:rsidRPr="002A1DFC">
        <w:rPr>
          <w:sz w:val="20"/>
          <w:szCs w:val="20"/>
          <w:lang w:val="en-US"/>
        </w:rPr>
        <w:t xml:space="preserve">42 according to Schuldt </w:t>
      </w:r>
      <w:r w:rsidR="00407642" w:rsidRPr="002A1DFC">
        <w:rPr>
          <w:noProof/>
          <w:sz w:val="20"/>
          <w:szCs w:val="20"/>
          <w:lang w:val="en-US"/>
        </w:rPr>
        <w:t>(1961</w:t>
      </w:r>
      <w:r w:rsidR="001659E5" w:rsidRPr="002A1DFC">
        <w:rPr>
          <w:noProof/>
          <w:sz w:val="20"/>
          <w:szCs w:val="20"/>
          <w:lang w:val="en-US"/>
        </w:rPr>
        <w:t>,</w:t>
      </w:r>
      <w:r w:rsidR="00407642" w:rsidRPr="002A1DFC">
        <w:rPr>
          <w:noProof/>
          <w:sz w:val="20"/>
          <w:szCs w:val="20"/>
          <w:lang w:val="en-US"/>
        </w:rPr>
        <w:t xml:space="preserve"> 33)</w:t>
      </w:r>
      <w:r w:rsidR="00493DDB" w:rsidRPr="002A1DFC">
        <w:rPr>
          <w:sz w:val="20"/>
          <w:szCs w:val="20"/>
          <w:lang w:val="en-US"/>
        </w:rPr>
        <w:t>, 33</w:t>
      </w:r>
      <w:r w:rsidR="00B521AF" w:rsidRPr="002A1DFC">
        <w:rPr>
          <w:sz w:val="20"/>
          <w:szCs w:val="20"/>
          <w:lang w:val="en-US"/>
        </w:rPr>
        <w:t xml:space="preserve"> according to </w:t>
      </w:r>
      <w:proofErr w:type="spellStart"/>
      <w:r w:rsidR="00B521AF" w:rsidRPr="002A1DFC">
        <w:rPr>
          <w:sz w:val="20"/>
          <w:szCs w:val="20"/>
          <w:lang w:val="en-US"/>
        </w:rPr>
        <w:t>Patolla</w:t>
      </w:r>
      <w:proofErr w:type="spellEnd"/>
      <w:r w:rsidR="00B521AF" w:rsidRPr="002A1DFC">
        <w:rPr>
          <w:sz w:val="20"/>
          <w:szCs w:val="20"/>
          <w:lang w:val="en-US"/>
        </w:rPr>
        <w:t xml:space="preserve"> and Henke </w:t>
      </w:r>
      <w:r w:rsidR="00407642" w:rsidRPr="002A1DFC">
        <w:rPr>
          <w:noProof/>
          <w:sz w:val="20"/>
          <w:szCs w:val="20"/>
          <w:lang w:val="en-US"/>
        </w:rPr>
        <w:t>(2007</w:t>
      </w:r>
      <w:r w:rsidR="001659E5" w:rsidRPr="002A1DFC">
        <w:rPr>
          <w:noProof/>
          <w:sz w:val="20"/>
          <w:szCs w:val="20"/>
          <w:lang w:val="en-US"/>
        </w:rPr>
        <w:t>,</w:t>
      </w:r>
      <w:r w:rsidR="00407642" w:rsidRPr="002A1DFC">
        <w:rPr>
          <w:noProof/>
          <w:sz w:val="20"/>
          <w:szCs w:val="20"/>
          <w:lang w:val="en-US"/>
        </w:rPr>
        <w:t xml:space="preserve"> 354)</w:t>
      </w:r>
      <w:r w:rsidR="00B521AF" w:rsidRPr="002A1DFC">
        <w:rPr>
          <w:sz w:val="20"/>
          <w:szCs w:val="20"/>
          <w:lang w:val="en-US"/>
        </w:rPr>
        <w:t xml:space="preserve">, and </w:t>
      </w:r>
      <w:r w:rsidR="008B5270" w:rsidRPr="002A1DFC">
        <w:rPr>
          <w:sz w:val="20"/>
          <w:szCs w:val="20"/>
          <w:lang w:val="en-US"/>
        </w:rPr>
        <w:t xml:space="preserve">38 according to </w:t>
      </w:r>
      <w:proofErr w:type="spellStart"/>
      <w:r w:rsidR="008B5270" w:rsidRPr="002A1DFC">
        <w:rPr>
          <w:sz w:val="20"/>
          <w:szCs w:val="20"/>
          <w:lang w:val="en-US"/>
        </w:rPr>
        <w:t>Schiesberg</w:t>
      </w:r>
      <w:proofErr w:type="spellEnd"/>
      <w:r w:rsidR="00B521AF" w:rsidRPr="002A1DFC">
        <w:rPr>
          <w:sz w:val="20"/>
          <w:szCs w:val="20"/>
          <w:lang w:val="en-US"/>
        </w:rPr>
        <w:t xml:space="preserve"> </w:t>
      </w:r>
      <w:r w:rsidR="00407642" w:rsidRPr="002A1DFC">
        <w:rPr>
          <w:noProof/>
          <w:sz w:val="20"/>
          <w:szCs w:val="20"/>
          <w:lang w:val="en-US"/>
        </w:rPr>
        <w:t>(2013)</w:t>
      </w:r>
      <w:r w:rsidR="008B5270" w:rsidRPr="002A1DFC">
        <w:rPr>
          <w:sz w:val="20"/>
          <w:szCs w:val="20"/>
          <w:lang w:val="en-US"/>
        </w:rPr>
        <w:t xml:space="preserve">. </w:t>
      </w:r>
    </w:p>
    <w:p w14:paraId="7EAED6A4" w14:textId="01F52218" w:rsidR="00862D4B" w:rsidRPr="002A1DFC" w:rsidRDefault="00862D4B" w:rsidP="00493DDB">
      <w:pPr>
        <w:jc w:val="both"/>
        <w:rPr>
          <w:sz w:val="20"/>
          <w:szCs w:val="20"/>
          <w:lang w:val="en-US"/>
        </w:rPr>
      </w:pPr>
      <w:r w:rsidRPr="002A1DFC">
        <w:rPr>
          <w:b/>
          <w:sz w:val="20"/>
          <w:szCs w:val="20"/>
          <w:lang w:val="en-US"/>
        </w:rPr>
        <w:t>Burial practice</w:t>
      </w:r>
      <w:r w:rsidRPr="002A1DFC">
        <w:rPr>
          <w:sz w:val="20"/>
          <w:szCs w:val="20"/>
          <w:lang w:val="en-US"/>
        </w:rPr>
        <w:t xml:space="preserve">: </w:t>
      </w:r>
      <w:r w:rsidR="008B5270" w:rsidRPr="002A1DFC">
        <w:rPr>
          <w:sz w:val="20"/>
          <w:szCs w:val="20"/>
          <w:lang w:val="en-US"/>
        </w:rPr>
        <w:t>Inhumatio</w:t>
      </w:r>
      <w:r w:rsidR="00493DDB" w:rsidRPr="002A1DFC">
        <w:rPr>
          <w:sz w:val="20"/>
          <w:szCs w:val="20"/>
          <w:lang w:val="en-US"/>
        </w:rPr>
        <w:t>ns only.</w:t>
      </w:r>
      <w:r w:rsidR="008B5270" w:rsidRPr="002A1DFC">
        <w:rPr>
          <w:sz w:val="20"/>
          <w:szCs w:val="20"/>
          <w:lang w:val="en-US"/>
        </w:rPr>
        <w:t xml:space="preserve"> </w:t>
      </w:r>
      <w:r w:rsidR="00493DDB" w:rsidRPr="002A1DFC">
        <w:rPr>
          <w:sz w:val="20"/>
          <w:szCs w:val="20"/>
          <w:lang w:val="en-US"/>
        </w:rPr>
        <w:t>Se</w:t>
      </w:r>
      <w:r w:rsidR="008B5270" w:rsidRPr="002A1DFC">
        <w:rPr>
          <w:sz w:val="20"/>
          <w:szCs w:val="20"/>
          <w:lang w:val="en-US"/>
        </w:rPr>
        <w:t xml:space="preserve">condary burial practices are argued for the site of </w:t>
      </w:r>
      <w:proofErr w:type="spellStart"/>
      <w:r w:rsidR="008B5270" w:rsidRPr="002A1DFC">
        <w:rPr>
          <w:sz w:val="20"/>
          <w:szCs w:val="20"/>
          <w:lang w:val="en-US"/>
        </w:rPr>
        <w:t>Ostorf</w:t>
      </w:r>
      <w:proofErr w:type="spellEnd"/>
      <w:r w:rsidR="00493DDB" w:rsidRPr="002A1DFC">
        <w:rPr>
          <w:sz w:val="20"/>
          <w:szCs w:val="20"/>
          <w:lang w:val="en-US"/>
        </w:rPr>
        <w:t xml:space="preserve"> based on </w:t>
      </w:r>
      <w:proofErr w:type="spellStart"/>
      <w:r w:rsidR="00493DDB" w:rsidRPr="002A1DFC">
        <w:rPr>
          <w:sz w:val="20"/>
          <w:szCs w:val="20"/>
          <w:lang w:val="en-US"/>
        </w:rPr>
        <w:t>Patolla’s</w:t>
      </w:r>
      <w:proofErr w:type="spellEnd"/>
      <w:r w:rsidR="00493DDB" w:rsidRPr="002A1DFC">
        <w:rPr>
          <w:sz w:val="20"/>
          <w:szCs w:val="20"/>
          <w:lang w:val="en-US"/>
        </w:rPr>
        <w:t xml:space="preserve"> </w:t>
      </w:r>
      <w:r w:rsidR="00B76CCE" w:rsidRPr="002A1DFC">
        <w:rPr>
          <w:sz w:val="20"/>
          <w:szCs w:val="20"/>
          <w:lang w:val="en-US"/>
        </w:rPr>
        <w:t xml:space="preserve">osteological </w:t>
      </w:r>
      <w:r w:rsidR="00493DDB" w:rsidRPr="002A1DFC">
        <w:rPr>
          <w:sz w:val="20"/>
          <w:szCs w:val="20"/>
          <w:lang w:val="en-US"/>
        </w:rPr>
        <w:t xml:space="preserve">re-evaluation of the site </w:t>
      </w:r>
      <w:r w:rsidR="00407642" w:rsidRPr="002A1DFC">
        <w:rPr>
          <w:noProof/>
          <w:sz w:val="20"/>
          <w:szCs w:val="20"/>
          <w:lang w:val="en-US"/>
        </w:rPr>
        <w:t>(Schiesberg 2013)</w:t>
      </w:r>
      <w:r w:rsidR="008B5270" w:rsidRPr="002A1DFC">
        <w:rPr>
          <w:sz w:val="20"/>
          <w:szCs w:val="20"/>
          <w:lang w:val="en-US"/>
        </w:rPr>
        <w:t xml:space="preserve">. </w:t>
      </w:r>
    </w:p>
    <w:p w14:paraId="146D3B3B" w14:textId="1BC3AB7D" w:rsidR="00862D4B" w:rsidRPr="002A1DFC" w:rsidRDefault="00862D4B" w:rsidP="005423E9">
      <w:pPr>
        <w:jc w:val="both"/>
        <w:rPr>
          <w:sz w:val="20"/>
          <w:szCs w:val="20"/>
          <w:lang w:val="en-US"/>
        </w:rPr>
      </w:pPr>
      <w:r w:rsidRPr="002A1DFC">
        <w:rPr>
          <w:b/>
          <w:sz w:val="20"/>
          <w:szCs w:val="20"/>
          <w:lang w:val="en-US"/>
        </w:rPr>
        <w:t>Minimum number of individuals</w:t>
      </w:r>
      <w:r w:rsidRPr="002A1DFC">
        <w:rPr>
          <w:sz w:val="20"/>
          <w:szCs w:val="20"/>
          <w:lang w:val="en-US"/>
        </w:rPr>
        <w:t>:</w:t>
      </w:r>
      <w:r w:rsidR="00763DDF" w:rsidRPr="002A1DFC">
        <w:rPr>
          <w:sz w:val="20"/>
          <w:szCs w:val="20"/>
          <w:lang w:val="en-US"/>
        </w:rPr>
        <w:t xml:space="preserve"> Previous </w:t>
      </w:r>
      <w:r w:rsidR="008500DF" w:rsidRPr="002A1DFC">
        <w:rPr>
          <w:sz w:val="20"/>
          <w:szCs w:val="20"/>
          <w:lang w:val="en-US"/>
        </w:rPr>
        <w:t>assessments</w:t>
      </w:r>
      <w:r w:rsidR="00763DDF" w:rsidRPr="002A1DFC">
        <w:rPr>
          <w:sz w:val="20"/>
          <w:szCs w:val="20"/>
          <w:lang w:val="en-US"/>
        </w:rPr>
        <w:t xml:space="preserve"> </w:t>
      </w:r>
      <w:r w:rsidR="00407642" w:rsidRPr="002A1DFC">
        <w:rPr>
          <w:noProof/>
          <w:sz w:val="20"/>
          <w:szCs w:val="20"/>
          <w:lang w:val="en-US"/>
        </w:rPr>
        <w:t>(Schuldt 1961)</w:t>
      </w:r>
      <w:r w:rsidR="00763DDF" w:rsidRPr="002A1DFC">
        <w:rPr>
          <w:sz w:val="20"/>
          <w:szCs w:val="20"/>
          <w:lang w:val="en-US"/>
        </w:rPr>
        <w:t xml:space="preserve"> resulted in a total of 42 burials and 51 assumed </w:t>
      </w:r>
      <w:r w:rsidR="00103020" w:rsidRPr="002A1DFC">
        <w:rPr>
          <w:sz w:val="20"/>
          <w:szCs w:val="20"/>
          <w:lang w:val="en-US"/>
        </w:rPr>
        <w:t xml:space="preserve">single </w:t>
      </w:r>
      <w:r w:rsidR="00763DDF" w:rsidRPr="002A1DFC">
        <w:rPr>
          <w:sz w:val="20"/>
          <w:szCs w:val="20"/>
          <w:lang w:val="en-US"/>
        </w:rPr>
        <w:t>burials. More recent analyses</w:t>
      </w:r>
      <w:r w:rsidR="00D66090">
        <w:rPr>
          <w:sz w:val="20"/>
          <w:szCs w:val="20"/>
          <w:lang w:val="en-US"/>
        </w:rPr>
        <w:t xml:space="preserve"> (taking </w:t>
      </w:r>
      <w:r w:rsidR="00D66090" w:rsidRPr="002A1DFC">
        <w:rPr>
          <w:sz w:val="20"/>
          <w:szCs w:val="20"/>
          <w:lang w:val="en-US"/>
        </w:rPr>
        <w:t>all cranial and postcranial skeletal elements into account</w:t>
      </w:r>
      <w:r w:rsidR="00D66090">
        <w:rPr>
          <w:sz w:val="20"/>
          <w:szCs w:val="20"/>
          <w:lang w:val="en-US"/>
        </w:rPr>
        <w:t>)</w:t>
      </w:r>
      <w:r w:rsidR="00D66090" w:rsidRPr="002A1DFC">
        <w:rPr>
          <w:sz w:val="20"/>
          <w:szCs w:val="20"/>
          <w:lang w:val="en-US"/>
        </w:rPr>
        <w:t xml:space="preserve"> </w:t>
      </w:r>
      <w:r w:rsidR="00763DDF" w:rsidRPr="002A1DFC">
        <w:rPr>
          <w:sz w:val="20"/>
          <w:szCs w:val="20"/>
          <w:lang w:val="en-US"/>
        </w:rPr>
        <w:t xml:space="preserve">have resulted in </w:t>
      </w:r>
      <w:r w:rsidR="00D30107" w:rsidRPr="002A1DFC">
        <w:rPr>
          <w:sz w:val="20"/>
          <w:szCs w:val="20"/>
          <w:lang w:val="en-US"/>
        </w:rPr>
        <w:t xml:space="preserve">a minimum number of </w:t>
      </w:r>
      <w:r w:rsidR="00A66D68" w:rsidRPr="002A1DFC">
        <w:rPr>
          <w:sz w:val="20"/>
          <w:szCs w:val="20"/>
          <w:lang w:val="en-US"/>
        </w:rPr>
        <w:t xml:space="preserve">74 individuals from a total of 33 graves </w:t>
      </w:r>
      <w:r w:rsidR="00407642" w:rsidRPr="002A1DFC">
        <w:rPr>
          <w:noProof/>
          <w:sz w:val="20"/>
          <w:szCs w:val="20"/>
          <w:lang w:val="en-US"/>
        </w:rPr>
        <w:t>(Patolla</w:t>
      </w:r>
      <w:r w:rsidR="001659E5" w:rsidRPr="002A1DFC">
        <w:rPr>
          <w:noProof/>
          <w:sz w:val="20"/>
          <w:szCs w:val="20"/>
          <w:lang w:val="en-US"/>
        </w:rPr>
        <w:t xml:space="preserve"> &amp;</w:t>
      </w:r>
      <w:r w:rsidR="002004DC" w:rsidRPr="002A1DFC">
        <w:rPr>
          <w:noProof/>
          <w:sz w:val="20"/>
          <w:szCs w:val="20"/>
          <w:lang w:val="en-US"/>
        </w:rPr>
        <w:t xml:space="preserve"> </w:t>
      </w:r>
      <w:r w:rsidR="00407642" w:rsidRPr="002A1DFC">
        <w:rPr>
          <w:noProof/>
          <w:sz w:val="20"/>
          <w:szCs w:val="20"/>
          <w:lang w:val="en-US"/>
        </w:rPr>
        <w:t>Henke 2007)</w:t>
      </w:r>
      <w:r w:rsidR="00D30107" w:rsidRPr="002A1DFC">
        <w:rPr>
          <w:sz w:val="20"/>
          <w:szCs w:val="20"/>
          <w:lang w:val="en-US"/>
        </w:rPr>
        <w:t xml:space="preserve">. The new bone count shows that </w:t>
      </w:r>
      <w:r w:rsidR="00AA189E">
        <w:rPr>
          <w:sz w:val="20"/>
          <w:szCs w:val="20"/>
          <w:lang w:val="en-US"/>
        </w:rPr>
        <w:t xml:space="preserve">several </w:t>
      </w:r>
      <w:r w:rsidR="00D30107" w:rsidRPr="002A1DFC">
        <w:rPr>
          <w:sz w:val="20"/>
          <w:szCs w:val="20"/>
          <w:lang w:val="en-US"/>
        </w:rPr>
        <w:t>graves contain</w:t>
      </w:r>
      <w:r w:rsidR="00AA189E">
        <w:rPr>
          <w:sz w:val="20"/>
          <w:szCs w:val="20"/>
          <w:lang w:val="en-US"/>
        </w:rPr>
        <w:t>ed well-preserved individuals</w:t>
      </w:r>
      <w:r w:rsidR="00D30107" w:rsidRPr="002A1DFC">
        <w:rPr>
          <w:sz w:val="20"/>
          <w:szCs w:val="20"/>
          <w:lang w:val="en-US"/>
        </w:rPr>
        <w:t xml:space="preserve"> </w:t>
      </w:r>
      <w:r w:rsidR="00AA189E">
        <w:rPr>
          <w:sz w:val="20"/>
          <w:szCs w:val="20"/>
          <w:lang w:val="en-US"/>
        </w:rPr>
        <w:t>(</w:t>
      </w:r>
      <w:r w:rsidR="00D30107" w:rsidRPr="002A1DFC">
        <w:rPr>
          <w:sz w:val="20"/>
          <w:szCs w:val="20"/>
          <w:lang w:val="en-US"/>
        </w:rPr>
        <w:t xml:space="preserve">clearly identifiable </w:t>
      </w:r>
      <w:r w:rsidR="00AA189E">
        <w:rPr>
          <w:sz w:val="20"/>
          <w:szCs w:val="20"/>
          <w:lang w:val="en-US"/>
        </w:rPr>
        <w:t xml:space="preserve">as </w:t>
      </w:r>
      <w:r w:rsidR="00D30107" w:rsidRPr="002A1DFC">
        <w:rPr>
          <w:sz w:val="20"/>
          <w:szCs w:val="20"/>
          <w:lang w:val="en-US"/>
        </w:rPr>
        <w:t>primary burials</w:t>
      </w:r>
      <w:r w:rsidR="00AA189E">
        <w:rPr>
          <w:sz w:val="20"/>
          <w:szCs w:val="20"/>
          <w:lang w:val="en-US"/>
        </w:rPr>
        <w:t>,</w:t>
      </w:r>
      <w:r w:rsidR="00D30107" w:rsidRPr="002A1DFC">
        <w:rPr>
          <w:sz w:val="20"/>
          <w:szCs w:val="20"/>
          <w:lang w:val="en-US"/>
        </w:rPr>
        <w:t xml:space="preserve"> associated with objects</w:t>
      </w:r>
      <w:r w:rsidR="00AA189E">
        <w:rPr>
          <w:sz w:val="20"/>
          <w:szCs w:val="20"/>
          <w:lang w:val="en-US"/>
        </w:rPr>
        <w:t>) together with</w:t>
      </w:r>
      <w:r w:rsidR="00D30107" w:rsidRPr="002A1DFC">
        <w:rPr>
          <w:sz w:val="20"/>
          <w:szCs w:val="20"/>
          <w:lang w:val="en-US"/>
        </w:rPr>
        <w:t xml:space="preserve"> sparse bone elements </w:t>
      </w:r>
      <w:r w:rsidR="00AA189E">
        <w:rPr>
          <w:sz w:val="20"/>
          <w:szCs w:val="20"/>
          <w:lang w:val="en-US"/>
        </w:rPr>
        <w:t>pertaining to more individuals</w:t>
      </w:r>
      <w:r w:rsidR="00D30107" w:rsidRPr="002A1DFC">
        <w:rPr>
          <w:sz w:val="20"/>
          <w:szCs w:val="20"/>
          <w:lang w:val="en-US"/>
        </w:rPr>
        <w:t xml:space="preserve">. </w:t>
      </w:r>
      <w:proofErr w:type="spellStart"/>
      <w:r w:rsidR="00D30107" w:rsidRPr="002A1DFC">
        <w:rPr>
          <w:sz w:val="20"/>
          <w:szCs w:val="20"/>
          <w:lang w:val="en-US"/>
        </w:rPr>
        <w:t>Schiesberg</w:t>
      </w:r>
      <w:proofErr w:type="spellEnd"/>
      <w:r w:rsidR="00D30107" w:rsidRPr="002A1DFC">
        <w:rPr>
          <w:sz w:val="20"/>
          <w:szCs w:val="20"/>
          <w:lang w:val="en-US"/>
        </w:rPr>
        <w:t xml:space="preserve"> </w:t>
      </w:r>
      <w:r w:rsidR="00407642" w:rsidRPr="002A1DFC">
        <w:rPr>
          <w:noProof/>
          <w:sz w:val="20"/>
          <w:szCs w:val="20"/>
          <w:lang w:val="en-US"/>
        </w:rPr>
        <w:t>(2013)</w:t>
      </w:r>
      <w:r w:rsidR="003417C5" w:rsidRPr="002A1DFC">
        <w:rPr>
          <w:sz w:val="20"/>
          <w:szCs w:val="20"/>
          <w:lang w:val="en-US"/>
        </w:rPr>
        <w:t xml:space="preserve"> </w:t>
      </w:r>
      <w:r w:rsidR="00D30107" w:rsidRPr="002A1DFC">
        <w:rPr>
          <w:sz w:val="20"/>
          <w:szCs w:val="20"/>
          <w:lang w:val="en-US"/>
        </w:rPr>
        <w:t xml:space="preserve">underlines that this observation cannot be the result of disturbed or subsequently intermixed burials, but is rather to be understood in the general FBC context of secondary burial practices. </w:t>
      </w:r>
    </w:p>
    <w:p w14:paraId="0371861C" w14:textId="3C5283EB" w:rsidR="00F34586" w:rsidRPr="002A1DFC" w:rsidRDefault="008574ED" w:rsidP="005423E9">
      <w:pPr>
        <w:jc w:val="both"/>
        <w:rPr>
          <w:sz w:val="20"/>
          <w:szCs w:val="20"/>
          <w:lang w:val="en-US"/>
        </w:rPr>
      </w:pPr>
      <w:r w:rsidRPr="002A1DFC">
        <w:rPr>
          <w:b/>
          <w:sz w:val="20"/>
          <w:szCs w:val="20"/>
          <w:lang w:val="en-US"/>
        </w:rPr>
        <w:t xml:space="preserve">Anthropologists: </w:t>
      </w:r>
      <w:r w:rsidR="00164BFA" w:rsidRPr="002A1DFC">
        <w:rPr>
          <w:sz w:val="20"/>
          <w:szCs w:val="20"/>
          <w:lang w:val="en-US"/>
        </w:rPr>
        <w:t xml:space="preserve">G. </w:t>
      </w:r>
      <w:proofErr w:type="spellStart"/>
      <w:r w:rsidRPr="002A1DFC">
        <w:rPr>
          <w:sz w:val="20"/>
          <w:szCs w:val="20"/>
          <w:lang w:val="en-US"/>
        </w:rPr>
        <w:t>Asmus</w:t>
      </w:r>
      <w:proofErr w:type="spellEnd"/>
      <w:r w:rsidRPr="002A1DFC">
        <w:rPr>
          <w:sz w:val="20"/>
          <w:szCs w:val="20"/>
          <w:lang w:val="en-US"/>
        </w:rPr>
        <w:t xml:space="preserve"> </w:t>
      </w:r>
      <w:r w:rsidR="00407642" w:rsidRPr="002A1DFC">
        <w:rPr>
          <w:noProof/>
          <w:sz w:val="20"/>
          <w:szCs w:val="20"/>
          <w:lang w:val="en-US"/>
        </w:rPr>
        <w:t>(1939)</w:t>
      </w:r>
      <w:r w:rsidRPr="002A1DFC">
        <w:rPr>
          <w:sz w:val="20"/>
          <w:szCs w:val="20"/>
          <w:lang w:val="en-US"/>
        </w:rPr>
        <w:t xml:space="preserve">, </w:t>
      </w:r>
      <w:r w:rsidR="00164BFA" w:rsidRPr="002A1DFC">
        <w:rPr>
          <w:sz w:val="20"/>
          <w:szCs w:val="20"/>
          <w:lang w:val="en-US"/>
        </w:rPr>
        <w:t xml:space="preserve">H. </w:t>
      </w:r>
      <w:r w:rsidRPr="002A1DFC">
        <w:rPr>
          <w:sz w:val="20"/>
          <w:szCs w:val="20"/>
          <w:lang w:val="en-US"/>
        </w:rPr>
        <w:t xml:space="preserve">Grimm </w:t>
      </w:r>
      <w:r w:rsidR="00407642" w:rsidRPr="002A1DFC">
        <w:rPr>
          <w:noProof/>
          <w:sz w:val="20"/>
          <w:szCs w:val="20"/>
          <w:lang w:val="en-US"/>
        </w:rPr>
        <w:t>(1965)</w:t>
      </w:r>
      <w:r w:rsidRPr="002A1DFC">
        <w:rPr>
          <w:sz w:val="20"/>
          <w:szCs w:val="20"/>
          <w:lang w:val="en-US"/>
        </w:rPr>
        <w:t>,</w:t>
      </w:r>
      <w:r w:rsidR="003E22C2" w:rsidRPr="002A1DFC">
        <w:rPr>
          <w:sz w:val="20"/>
          <w:szCs w:val="20"/>
          <w:lang w:val="en-US"/>
        </w:rPr>
        <w:t xml:space="preserve"> and the more recent </w:t>
      </w:r>
      <w:r w:rsidR="00F34586" w:rsidRPr="002A1DFC">
        <w:rPr>
          <w:sz w:val="20"/>
          <w:szCs w:val="20"/>
          <w:lang w:val="en-US"/>
        </w:rPr>
        <w:t>osteological</w:t>
      </w:r>
      <w:r w:rsidR="003E22C2" w:rsidRPr="002A1DFC">
        <w:rPr>
          <w:sz w:val="20"/>
          <w:szCs w:val="20"/>
          <w:lang w:val="en-US"/>
        </w:rPr>
        <w:t xml:space="preserve"> re-evaluation</w:t>
      </w:r>
      <w:r w:rsidR="00F34586" w:rsidRPr="002A1DFC">
        <w:rPr>
          <w:sz w:val="20"/>
          <w:szCs w:val="20"/>
          <w:lang w:val="en-US"/>
        </w:rPr>
        <w:t xml:space="preserve"> of the bone collection</w:t>
      </w:r>
      <w:r w:rsidR="003E22C2" w:rsidRPr="002A1DFC">
        <w:rPr>
          <w:sz w:val="20"/>
          <w:szCs w:val="20"/>
          <w:lang w:val="en-US"/>
        </w:rPr>
        <w:t xml:space="preserve"> </w:t>
      </w:r>
      <w:r w:rsidR="00F34586" w:rsidRPr="002A1DFC">
        <w:rPr>
          <w:sz w:val="20"/>
          <w:szCs w:val="20"/>
          <w:lang w:val="en-US"/>
        </w:rPr>
        <w:t xml:space="preserve">seems to have </w:t>
      </w:r>
      <w:r w:rsidR="003E22C2" w:rsidRPr="002A1DFC">
        <w:rPr>
          <w:sz w:val="20"/>
          <w:szCs w:val="20"/>
          <w:lang w:val="en-US"/>
        </w:rPr>
        <w:t xml:space="preserve">involved E. Becker, N. Nass, W. Henke </w:t>
      </w:r>
      <w:r w:rsidR="00407642" w:rsidRPr="002A1DFC">
        <w:rPr>
          <w:noProof/>
          <w:sz w:val="20"/>
          <w:szCs w:val="20"/>
          <w:lang w:val="en-US"/>
        </w:rPr>
        <w:t>(the authors of an unpublished report from 2002 mentioned in Patolla</w:t>
      </w:r>
      <w:r w:rsidR="001659E5" w:rsidRPr="002A1DFC">
        <w:rPr>
          <w:noProof/>
          <w:sz w:val="20"/>
          <w:szCs w:val="20"/>
          <w:lang w:val="en-US"/>
        </w:rPr>
        <w:t xml:space="preserve"> &amp;</w:t>
      </w:r>
      <w:r w:rsidR="002004DC" w:rsidRPr="002A1DFC">
        <w:rPr>
          <w:noProof/>
          <w:sz w:val="20"/>
          <w:szCs w:val="20"/>
          <w:lang w:val="en-US"/>
        </w:rPr>
        <w:t xml:space="preserve"> </w:t>
      </w:r>
      <w:r w:rsidR="00407642" w:rsidRPr="002A1DFC">
        <w:rPr>
          <w:noProof/>
          <w:sz w:val="20"/>
          <w:szCs w:val="20"/>
          <w:lang w:val="en-US"/>
        </w:rPr>
        <w:t>Henke 2007)</w:t>
      </w:r>
      <w:r w:rsidR="003E22C2" w:rsidRPr="002A1DFC">
        <w:rPr>
          <w:sz w:val="20"/>
          <w:szCs w:val="20"/>
          <w:lang w:val="en-US"/>
        </w:rPr>
        <w:t xml:space="preserve">, and M. </w:t>
      </w:r>
      <w:proofErr w:type="spellStart"/>
      <w:r w:rsidR="003E22C2" w:rsidRPr="002A1DFC">
        <w:rPr>
          <w:sz w:val="20"/>
          <w:szCs w:val="20"/>
          <w:lang w:val="en-US"/>
        </w:rPr>
        <w:t>Patolla</w:t>
      </w:r>
      <w:proofErr w:type="spellEnd"/>
      <w:r w:rsidR="00F34586" w:rsidRPr="002A1DFC">
        <w:rPr>
          <w:sz w:val="20"/>
          <w:szCs w:val="20"/>
          <w:lang w:val="en-US"/>
        </w:rPr>
        <w:t xml:space="preserve"> (in the scope of an unpublished M.A.-thesis in 2006).</w:t>
      </w:r>
    </w:p>
    <w:p w14:paraId="3B63868C" w14:textId="0FB16EF2" w:rsidR="007F4752" w:rsidRPr="002A1DFC" w:rsidRDefault="008F4666" w:rsidP="005423E9">
      <w:pPr>
        <w:jc w:val="both"/>
        <w:rPr>
          <w:sz w:val="20"/>
          <w:szCs w:val="20"/>
          <w:lang w:val="en-US"/>
        </w:rPr>
      </w:pPr>
      <w:r w:rsidRPr="002A1DFC">
        <w:rPr>
          <w:b/>
          <w:sz w:val="20"/>
          <w:szCs w:val="20"/>
          <w:lang w:val="en-US"/>
        </w:rPr>
        <w:t>Sex-determination</w:t>
      </w:r>
      <w:r w:rsidR="00862D4B" w:rsidRPr="002A1DFC">
        <w:rPr>
          <w:b/>
          <w:sz w:val="20"/>
          <w:szCs w:val="20"/>
          <w:lang w:val="en-US"/>
        </w:rPr>
        <w:t xml:space="preserve"> methods:</w:t>
      </w:r>
      <w:r w:rsidR="00862D4B" w:rsidRPr="002A1DFC">
        <w:rPr>
          <w:sz w:val="20"/>
          <w:szCs w:val="20"/>
          <w:lang w:val="en-US"/>
        </w:rPr>
        <w:t xml:space="preserve"> </w:t>
      </w:r>
      <w:proofErr w:type="spellStart"/>
      <w:r w:rsidR="00ED3CDD" w:rsidRPr="002A1DFC">
        <w:rPr>
          <w:sz w:val="20"/>
          <w:szCs w:val="20"/>
          <w:lang w:val="en-US"/>
        </w:rPr>
        <w:t>Asmus</w:t>
      </w:r>
      <w:proofErr w:type="spellEnd"/>
      <w:r w:rsidR="00A00FDC" w:rsidRPr="002A1DFC">
        <w:rPr>
          <w:sz w:val="20"/>
          <w:szCs w:val="20"/>
          <w:lang w:val="en-US"/>
        </w:rPr>
        <w:t xml:space="preserve"> </w:t>
      </w:r>
      <w:r w:rsidR="00407642" w:rsidRPr="002A1DFC">
        <w:rPr>
          <w:noProof/>
          <w:sz w:val="20"/>
          <w:szCs w:val="20"/>
          <w:lang w:val="en-US"/>
        </w:rPr>
        <w:t>(1939</w:t>
      </w:r>
      <w:r w:rsidR="001659E5" w:rsidRPr="002A1DFC">
        <w:rPr>
          <w:noProof/>
          <w:sz w:val="20"/>
          <w:szCs w:val="20"/>
          <w:lang w:val="en-US"/>
        </w:rPr>
        <w:t>,</w:t>
      </w:r>
      <w:r w:rsidR="00407642" w:rsidRPr="002A1DFC">
        <w:rPr>
          <w:noProof/>
          <w:sz w:val="20"/>
          <w:szCs w:val="20"/>
          <w:lang w:val="en-US"/>
        </w:rPr>
        <w:t xml:space="preserve"> 31-42)</w:t>
      </w:r>
      <w:r w:rsidR="00ED3CDD" w:rsidRPr="002A1DFC">
        <w:rPr>
          <w:sz w:val="20"/>
          <w:szCs w:val="20"/>
          <w:lang w:val="en-US"/>
        </w:rPr>
        <w:t xml:space="preserve"> estimated the sex </w:t>
      </w:r>
      <w:r w:rsidR="00DE4A8D" w:rsidRPr="002A1DFC">
        <w:rPr>
          <w:sz w:val="20"/>
          <w:szCs w:val="20"/>
          <w:lang w:val="en-US"/>
        </w:rPr>
        <w:t xml:space="preserve">based </w:t>
      </w:r>
      <w:r w:rsidR="00C22C15" w:rsidRPr="002A1DFC">
        <w:rPr>
          <w:sz w:val="20"/>
          <w:szCs w:val="20"/>
          <w:lang w:val="en-US"/>
        </w:rPr>
        <w:t xml:space="preserve">on </w:t>
      </w:r>
      <w:r w:rsidR="00DE4A8D" w:rsidRPr="002A1DFC">
        <w:rPr>
          <w:sz w:val="20"/>
          <w:szCs w:val="20"/>
          <w:lang w:val="en-US"/>
        </w:rPr>
        <w:t xml:space="preserve">metrical </w:t>
      </w:r>
      <w:r w:rsidR="00A00FDC" w:rsidRPr="002A1DFC">
        <w:rPr>
          <w:sz w:val="20"/>
          <w:szCs w:val="20"/>
          <w:lang w:val="en-US"/>
        </w:rPr>
        <w:t xml:space="preserve">and morphological </w:t>
      </w:r>
      <w:r w:rsidR="00DE4A8D" w:rsidRPr="002A1DFC">
        <w:rPr>
          <w:sz w:val="20"/>
          <w:szCs w:val="20"/>
          <w:lang w:val="en-US"/>
        </w:rPr>
        <w:t xml:space="preserve">aspects of </w:t>
      </w:r>
      <w:r w:rsidR="00A00FDC" w:rsidRPr="002A1DFC">
        <w:rPr>
          <w:sz w:val="20"/>
          <w:szCs w:val="20"/>
          <w:lang w:val="en-US"/>
        </w:rPr>
        <w:t xml:space="preserve">a total of 16 crania and mandibles from the areas of the burial site of </w:t>
      </w:r>
      <w:proofErr w:type="spellStart"/>
      <w:r w:rsidR="00A00FDC" w:rsidRPr="002A1DFC">
        <w:rPr>
          <w:sz w:val="20"/>
          <w:szCs w:val="20"/>
          <w:lang w:val="en-US"/>
        </w:rPr>
        <w:t>Ostorf-Tannwerder</w:t>
      </w:r>
      <w:proofErr w:type="spellEnd"/>
      <w:r w:rsidR="002E47D3" w:rsidRPr="002A1DFC">
        <w:rPr>
          <w:sz w:val="20"/>
          <w:szCs w:val="20"/>
          <w:lang w:val="en-US"/>
        </w:rPr>
        <w:t xml:space="preserve"> excavated in 1904 and 1935</w:t>
      </w:r>
      <w:r w:rsidR="003D58C7" w:rsidRPr="002A1DFC">
        <w:rPr>
          <w:sz w:val="20"/>
          <w:szCs w:val="20"/>
          <w:lang w:val="en-US"/>
        </w:rPr>
        <w:t>.</w:t>
      </w:r>
      <w:r w:rsidR="00A00FDC" w:rsidRPr="002A1DFC">
        <w:rPr>
          <w:sz w:val="20"/>
          <w:szCs w:val="20"/>
          <w:lang w:val="en-US"/>
        </w:rPr>
        <w:t xml:space="preserve"> </w:t>
      </w:r>
      <w:r w:rsidR="00640B89" w:rsidRPr="002A1DFC">
        <w:rPr>
          <w:sz w:val="20"/>
          <w:szCs w:val="20"/>
          <w:lang w:val="en-US"/>
        </w:rPr>
        <w:t xml:space="preserve">Grimm </w:t>
      </w:r>
      <w:r w:rsidR="00407642" w:rsidRPr="002A1DFC">
        <w:rPr>
          <w:noProof/>
          <w:sz w:val="20"/>
          <w:szCs w:val="20"/>
          <w:lang w:val="en-US"/>
        </w:rPr>
        <w:t>(1965: 59-64)</w:t>
      </w:r>
      <w:r w:rsidR="0039525E" w:rsidRPr="002A1DFC">
        <w:rPr>
          <w:sz w:val="20"/>
          <w:szCs w:val="20"/>
          <w:lang w:val="en-US"/>
        </w:rPr>
        <w:t xml:space="preserve"> estimated the sex of the individuals excavated in the scope of Schuldt’s excavation </w:t>
      </w:r>
      <w:r w:rsidR="002E47D3" w:rsidRPr="002A1DFC">
        <w:rPr>
          <w:sz w:val="20"/>
          <w:szCs w:val="20"/>
          <w:lang w:val="en-US"/>
        </w:rPr>
        <w:t xml:space="preserve">in 1961 </w:t>
      </w:r>
      <w:r w:rsidR="0039525E" w:rsidRPr="002A1DFC">
        <w:rPr>
          <w:sz w:val="20"/>
          <w:szCs w:val="20"/>
          <w:lang w:val="en-US"/>
        </w:rPr>
        <w:t>foremost based on morphological and metrical aspects of the crani</w:t>
      </w:r>
      <w:r w:rsidR="002E47D3" w:rsidRPr="002A1DFC">
        <w:rPr>
          <w:sz w:val="20"/>
          <w:szCs w:val="20"/>
          <w:lang w:val="en-US"/>
        </w:rPr>
        <w:t>a</w:t>
      </w:r>
      <w:r w:rsidR="0039525E" w:rsidRPr="002A1DFC">
        <w:rPr>
          <w:sz w:val="20"/>
          <w:szCs w:val="20"/>
          <w:lang w:val="en-US"/>
        </w:rPr>
        <w:t xml:space="preserve"> and mandibles, and partially on metrics of femora as well as body heights. </w:t>
      </w:r>
      <w:proofErr w:type="spellStart"/>
      <w:r w:rsidR="007F4752" w:rsidRPr="002A1DFC">
        <w:rPr>
          <w:sz w:val="20"/>
          <w:szCs w:val="20"/>
          <w:lang w:val="en-US"/>
        </w:rPr>
        <w:t>Patolla</w:t>
      </w:r>
      <w:proofErr w:type="spellEnd"/>
      <w:r w:rsidR="007F4752" w:rsidRPr="002A1DFC">
        <w:rPr>
          <w:sz w:val="20"/>
          <w:szCs w:val="20"/>
          <w:lang w:val="en-US"/>
        </w:rPr>
        <w:t xml:space="preserve"> </w:t>
      </w:r>
      <w:r w:rsidR="00407642" w:rsidRPr="002A1DFC">
        <w:rPr>
          <w:noProof/>
          <w:sz w:val="20"/>
          <w:szCs w:val="20"/>
          <w:lang w:val="en-US"/>
        </w:rPr>
        <w:t>(Patolla</w:t>
      </w:r>
      <w:r w:rsidR="001659E5" w:rsidRPr="002A1DFC">
        <w:rPr>
          <w:noProof/>
          <w:sz w:val="20"/>
          <w:szCs w:val="20"/>
          <w:lang w:val="en-US"/>
        </w:rPr>
        <w:t xml:space="preserve"> &amp;</w:t>
      </w:r>
      <w:r w:rsidR="002004DC" w:rsidRPr="002A1DFC">
        <w:rPr>
          <w:noProof/>
          <w:sz w:val="20"/>
          <w:szCs w:val="20"/>
          <w:lang w:val="en-US"/>
        </w:rPr>
        <w:t xml:space="preserve"> </w:t>
      </w:r>
      <w:r w:rsidR="00407642" w:rsidRPr="002A1DFC">
        <w:rPr>
          <w:noProof/>
          <w:sz w:val="20"/>
          <w:szCs w:val="20"/>
          <w:lang w:val="en-US"/>
        </w:rPr>
        <w:t>Henke 2007</w:t>
      </w:r>
      <w:r w:rsidR="001659E5" w:rsidRPr="002A1DFC">
        <w:rPr>
          <w:noProof/>
          <w:sz w:val="20"/>
          <w:szCs w:val="20"/>
          <w:lang w:val="en-US"/>
        </w:rPr>
        <w:t>,</w:t>
      </w:r>
      <w:r w:rsidR="00407642" w:rsidRPr="002A1DFC">
        <w:rPr>
          <w:noProof/>
          <w:sz w:val="20"/>
          <w:szCs w:val="20"/>
          <w:lang w:val="en-US"/>
        </w:rPr>
        <w:t xml:space="preserve"> 355-356)</w:t>
      </w:r>
      <w:r w:rsidR="00ED3CDD" w:rsidRPr="002A1DFC">
        <w:rPr>
          <w:sz w:val="20"/>
          <w:szCs w:val="20"/>
          <w:lang w:val="en-US"/>
        </w:rPr>
        <w:t xml:space="preserve"> </w:t>
      </w:r>
      <w:r w:rsidR="002E47D3" w:rsidRPr="002A1DFC">
        <w:rPr>
          <w:sz w:val="20"/>
          <w:szCs w:val="20"/>
          <w:lang w:val="en-US"/>
        </w:rPr>
        <w:t>re-</w:t>
      </w:r>
      <w:r w:rsidR="00E0500E" w:rsidRPr="002A1DFC">
        <w:rPr>
          <w:sz w:val="20"/>
          <w:szCs w:val="20"/>
          <w:lang w:val="en-US"/>
        </w:rPr>
        <w:t>determined</w:t>
      </w:r>
      <w:r w:rsidR="007F4752" w:rsidRPr="002A1DFC">
        <w:rPr>
          <w:sz w:val="20"/>
          <w:szCs w:val="20"/>
          <w:lang w:val="en-US"/>
        </w:rPr>
        <w:t xml:space="preserve"> </w:t>
      </w:r>
      <w:r w:rsidR="0039525E" w:rsidRPr="002A1DFC">
        <w:rPr>
          <w:sz w:val="20"/>
          <w:szCs w:val="20"/>
          <w:lang w:val="en-US"/>
        </w:rPr>
        <w:t>all</w:t>
      </w:r>
      <w:r w:rsidR="007F4752" w:rsidRPr="002A1DFC">
        <w:rPr>
          <w:sz w:val="20"/>
          <w:szCs w:val="20"/>
          <w:lang w:val="en-US"/>
        </w:rPr>
        <w:t xml:space="preserve"> individuals’ sexes by means of </w:t>
      </w:r>
      <w:proofErr w:type="spellStart"/>
      <w:r w:rsidR="00CC4973" w:rsidRPr="002A1DFC">
        <w:rPr>
          <w:sz w:val="20"/>
          <w:szCs w:val="20"/>
          <w:lang w:val="en-US"/>
        </w:rPr>
        <w:t>osteometric</w:t>
      </w:r>
      <w:proofErr w:type="spellEnd"/>
      <w:r w:rsidR="005423E9" w:rsidRPr="002A1DFC">
        <w:rPr>
          <w:sz w:val="20"/>
          <w:szCs w:val="20"/>
          <w:lang w:val="en-US"/>
        </w:rPr>
        <w:t xml:space="preserve"> methods</w:t>
      </w:r>
      <w:r w:rsidR="00CC4973" w:rsidRPr="002A1DFC">
        <w:rPr>
          <w:sz w:val="20"/>
          <w:szCs w:val="20"/>
          <w:lang w:val="en-US"/>
        </w:rPr>
        <w:t xml:space="preserve"> </w:t>
      </w:r>
      <w:r w:rsidR="00407642" w:rsidRPr="002A1DFC">
        <w:rPr>
          <w:sz w:val="20"/>
          <w:lang w:val="en-US"/>
        </w:rPr>
        <w:t xml:space="preserve">(following Martin 1928; </w:t>
      </w:r>
      <w:proofErr w:type="spellStart"/>
      <w:r w:rsidR="00407642" w:rsidRPr="002A1DFC">
        <w:rPr>
          <w:sz w:val="20"/>
          <w:lang w:val="en-US"/>
        </w:rPr>
        <w:t>Bräuer</w:t>
      </w:r>
      <w:proofErr w:type="spellEnd"/>
      <w:r w:rsidR="00407642" w:rsidRPr="002A1DFC">
        <w:rPr>
          <w:sz w:val="20"/>
          <w:lang w:val="en-US"/>
        </w:rPr>
        <w:t xml:space="preserve"> 1988)</w:t>
      </w:r>
      <w:r w:rsidR="002E47D3" w:rsidRPr="002A1DFC">
        <w:rPr>
          <w:sz w:val="20"/>
          <w:szCs w:val="20"/>
          <w:lang w:val="en-US"/>
        </w:rPr>
        <w:t xml:space="preserve">, further </w:t>
      </w:r>
      <w:r w:rsidR="00BA0D7A" w:rsidRPr="002A1DFC">
        <w:rPr>
          <w:sz w:val="20"/>
          <w:szCs w:val="20"/>
          <w:lang w:val="en-US"/>
        </w:rPr>
        <w:t>by means</w:t>
      </w:r>
      <w:r w:rsidR="002E47D3" w:rsidRPr="002A1DFC">
        <w:rPr>
          <w:sz w:val="20"/>
          <w:szCs w:val="20"/>
          <w:lang w:val="en-US"/>
        </w:rPr>
        <w:t xml:space="preserve"> o</w:t>
      </w:r>
      <w:r w:rsidR="00BA0D7A" w:rsidRPr="002A1DFC">
        <w:rPr>
          <w:sz w:val="20"/>
          <w:szCs w:val="20"/>
          <w:lang w:val="en-US"/>
        </w:rPr>
        <w:t>f</w:t>
      </w:r>
      <w:r w:rsidR="002E47D3" w:rsidRPr="002A1DFC">
        <w:rPr>
          <w:sz w:val="20"/>
          <w:szCs w:val="20"/>
          <w:lang w:val="en-US"/>
        </w:rPr>
        <w:t xml:space="preserve"> </w:t>
      </w:r>
      <w:proofErr w:type="spellStart"/>
      <w:r w:rsidR="007F4752" w:rsidRPr="002A1DFC">
        <w:rPr>
          <w:sz w:val="20"/>
          <w:szCs w:val="20"/>
          <w:lang w:val="en-US"/>
        </w:rPr>
        <w:t>morphognostic</w:t>
      </w:r>
      <w:proofErr w:type="spellEnd"/>
      <w:r w:rsidR="007F4752" w:rsidRPr="002A1DFC">
        <w:rPr>
          <w:sz w:val="20"/>
          <w:szCs w:val="20"/>
          <w:lang w:val="en-US"/>
        </w:rPr>
        <w:t xml:space="preserve"> methods </w:t>
      </w:r>
      <w:r w:rsidR="00407642" w:rsidRPr="002A1DFC">
        <w:rPr>
          <w:sz w:val="20"/>
          <w:lang w:val="en-US"/>
        </w:rPr>
        <w:t xml:space="preserve">(on pelvis and mandible, following </w:t>
      </w:r>
      <w:proofErr w:type="spellStart"/>
      <w:r w:rsidR="00407642" w:rsidRPr="002A1DFC">
        <w:rPr>
          <w:sz w:val="20"/>
          <w:lang w:val="en-US"/>
        </w:rPr>
        <w:t>Ascádi</w:t>
      </w:r>
      <w:proofErr w:type="spellEnd"/>
      <w:r w:rsidR="001659E5" w:rsidRPr="002A1DFC">
        <w:rPr>
          <w:sz w:val="20"/>
          <w:lang w:val="en-US"/>
        </w:rPr>
        <w:t xml:space="preserve"> &amp;</w:t>
      </w:r>
      <w:r w:rsidR="00407642" w:rsidRPr="002A1DFC">
        <w:rPr>
          <w:sz w:val="20"/>
          <w:lang w:val="en-US"/>
        </w:rPr>
        <w:t xml:space="preserve"> </w:t>
      </w:r>
      <w:proofErr w:type="spellStart"/>
      <w:r w:rsidR="00407642" w:rsidRPr="002A1DFC">
        <w:rPr>
          <w:sz w:val="20"/>
          <w:lang w:val="en-US"/>
        </w:rPr>
        <w:t>Nemeskéri</w:t>
      </w:r>
      <w:proofErr w:type="spellEnd"/>
      <w:r w:rsidR="00407642" w:rsidRPr="002A1DFC">
        <w:rPr>
          <w:sz w:val="20"/>
          <w:lang w:val="en-US"/>
        </w:rPr>
        <w:t xml:space="preserve"> 1970; </w:t>
      </w:r>
      <w:proofErr w:type="spellStart"/>
      <w:r w:rsidR="00407642" w:rsidRPr="002A1DFC">
        <w:rPr>
          <w:sz w:val="20"/>
          <w:lang w:val="en-US"/>
        </w:rPr>
        <w:t>Phenice</w:t>
      </w:r>
      <w:proofErr w:type="spellEnd"/>
      <w:r w:rsidR="00407642" w:rsidRPr="002A1DFC">
        <w:rPr>
          <w:sz w:val="20"/>
          <w:lang w:val="en-US"/>
        </w:rPr>
        <w:t xml:space="preserve"> 1969)</w:t>
      </w:r>
      <w:r w:rsidR="007624DD" w:rsidRPr="002A1DFC">
        <w:rPr>
          <w:sz w:val="20"/>
          <w:szCs w:val="20"/>
          <w:lang w:val="en-US"/>
        </w:rPr>
        <w:t>,</w:t>
      </w:r>
      <w:r w:rsidR="007F4752" w:rsidRPr="002A1DFC">
        <w:rPr>
          <w:sz w:val="20"/>
          <w:szCs w:val="20"/>
          <w:lang w:val="en-US"/>
        </w:rPr>
        <w:t xml:space="preserve"> by means of morphometrical methods </w:t>
      </w:r>
      <w:r w:rsidR="00407642" w:rsidRPr="002A1DFC">
        <w:rPr>
          <w:noProof/>
          <w:sz w:val="20"/>
          <w:szCs w:val="20"/>
          <w:lang w:val="en-US"/>
        </w:rPr>
        <w:t>(based on humerus, femur and clavicle, following Stewart 1979; Ubelaker 1974)</w:t>
      </w:r>
      <w:r w:rsidR="007624DD" w:rsidRPr="002A1DFC">
        <w:rPr>
          <w:sz w:val="20"/>
          <w:szCs w:val="20"/>
          <w:lang w:val="en-US"/>
        </w:rPr>
        <w:t>,</w:t>
      </w:r>
      <w:r w:rsidR="007F4752" w:rsidRPr="002A1DFC">
        <w:rPr>
          <w:sz w:val="20"/>
          <w:szCs w:val="20"/>
          <w:lang w:val="en-US"/>
        </w:rPr>
        <w:t xml:space="preserve"> and by means of </w:t>
      </w:r>
      <w:r w:rsidR="007624DD" w:rsidRPr="002A1DFC">
        <w:rPr>
          <w:sz w:val="20"/>
          <w:szCs w:val="20"/>
          <w:lang w:val="en-US"/>
        </w:rPr>
        <w:t xml:space="preserve">the </w:t>
      </w:r>
      <w:r w:rsidR="007F4752" w:rsidRPr="002A1DFC">
        <w:rPr>
          <w:sz w:val="20"/>
          <w:szCs w:val="20"/>
          <w:lang w:val="en-US"/>
        </w:rPr>
        <w:t xml:space="preserve">discriminant function analysis </w:t>
      </w:r>
      <w:r w:rsidR="0017699A" w:rsidRPr="002A1DFC">
        <w:rPr>
          <w:noProof/>
          <w:sz w:val="20"/>
          <w:szCs w:val="20"/>
          <w:lang w:val="en-US"/>
        </w:rPr>
        <w:t xml:space="preserve">(based on patella, talus, calcaneus and long bones, following Introna </w:t>
      </w:r>
      <w:r w:rsidR="0017699A" w:rsidRPr="00CA6877">
        <w:rPr>
          <w:i/>
          <w:noProof/>
          <w:sz w:val="20"/>
          <w:szCs w:val="20"/>
          <w:lang w:val="en-US"/>
        </w:rPr>
        <w:t>et al.</w:t>
      </w:r>
      <w:r w:rsidR="0017699A" w:rsidRPr="002A1DFC">
        <w:rPr>
          <w:noProof/>
          <w:sz w:val="20"/>
          <w:szCs w:val="20"/>
          <w:lang w:val="en-US"/>
        </w:rPr>
        <w:t xml:space="preserve"> 1998; Steel 1962; Steele 1975)</w:t>
      </w:r>
      <w:r w:rsidR="007F4752" w:rsidRPr="002A1DFC">
        <w:rPr>
          <w:sz w:val="20"/>
          <w:szCs w:val="20"/>
          <w:lang w:val="en-US"/>
        </w:rPr>
        <w:t>.</w:t>
      </w:r>
      <w:r w:rsidR="0017699A" w:rsidRPr="002A1DFC">
        <w:rPr>
          <w:sz w:val="20"/>
          <w:szCs w:val="20"/>
          <w:lang w:val="en-US"/>
        </w:rPr>
        <w:t xml:space="preserve"> </w:t>
      </w:r>
      <w:r w:rsidR="007F4752" w:rsidRPr="002A1DFC">
        <w:rPr>
          <w:sz w:val="20"/>
          <w:szCs w:val="20"/>
          <w:lang w:val="en-US"/>
        </w:rPr>
        <w:t xml:space="preserve">Further features of the internal acoustic meatus have been </w:t>
      </w:r>
      <w:r w:rsidR="00CC4973" w:rsidRPr="002A1DFC">
        <w:rPr>
          <w:sz w:val="20"/>
          <w:szCs w:val="20"/>
          <w:lang w:val="en-US"/>
        </w:rPr>
        <w:t>considered</w:t>
      </w:r>
      <w:r w:rsidR="0017699A" w:rsidRPr="002A1DFC">
        <w:rPr>
          <w:sz w:val="20"/>
          <w:szCs w:val="20"/>
          <w:lang w:val="en-US"/>
        </w:rPr>
        <w:t xml:space="preserve"> </w:t>
      </w:r>
      <w:r w:rsidR="00407642" w:rsidRPr="002A1DFC">
        <w:rPr>
          <w:noProof/>
          <w:sz w:val="20"/>
          <w:szCs w:val="20"/>
          <w:lang w:val="en-US"/>
        </w:rPr>
        <w:t>(following Wahl 1981)</w:t>
      </w:r>
      <w:r w:rsidR="00ED3CDD" w:rsidRPr="002A1DFC">
        <w:rPr>
          <w:sz w:val="20"/>
          <w:szCs w:val="20"/>
          <w:lang w:val="en-US"/>
        </w:rPr>
        <w:t>. The sexing of non-adult individuals was</w:t>
      </w:r>
      <w:r w:rsidR="002E47D3" w:rsidRPr="002A1DFC">
        <w:rPr>
          <w:sz w:val="20"/>
          <w:szCs w:val="20"/>
          <w:lang w:val="en-US"/>
        </w:rPr>
        <w:t xml:space="preserve"> also</w:t>
      </w:r>
      <w:r w:rsidR="00ED3CDD" w:rsidRPr="002A1DFC">
        <w:rPr>
          <w:sz w:val="20"/>
          <w:szCs w:val="20"/>
          <w:lang w:val="en-US"/>
        </w:rPr>
        <w:t xml:space="preserve"> attempted by means of </w:t>
      </w:r>
      <w:proofErr w:type="spellStart"/>
      <w:r w:rsidR="00ED3CDD" w:rsidRPr="002A1DFC">
        <w:rPr>
          <w:sz w:val="20"/>
          <w:szCs w:val="20"/>
          <w:lang w:val="en-US"/>
        </w:rPr>
        <w:t>morphognostic</w:t>
      </w:r>
      <w:proofErr w:type="spellEnd"/>
      <w:r w:rsidR="00ED3CDD" w:rsidRPr="002A1DFC">
        <w:rPr>
          <w:sz w:val="20"/>
          <w:szCs w:val="20"/>
          <w:lang w:val="en-US"/>
        </w:rPr>
        <w:t xml:space="preserve"> and discriminant function analytical procedures </w:t>
      </w:r>
      <w:r w:rsidR="00407642" w:rsidRPr="002A1DFC">
        <w:rPr>
          <w:noProof/>
          <w:sz w:val="20"/>
          <w:szCs w:val="20"/>
          <w:lang w:val="en-US"/>
        </w:rPr>
        <w:t>(following Schutkowski 1989)</w:t>
      </w:r>
      <w:r w:rsidR="00ED3CDD" w:rsidRPr="002A1DFC">
        <w:rPr>
          <w:sz w:val="20"/>
          <w:szCs w:val="20"/>
          <w:lang w:val="en-US"/>
        </w:rPr>
        <w:t xml:space="preserve">. </w:t>
      </w:r>
    </w:p>
    <w:p w14:paraId="38050F13" w14:textId="3B2427FD" w:rsidR="00162B54" w:rsidRPr="002A1DFC" w:rsidRDefault="00B76CCE" w:rsidP="00EB1DC0">
      <w:pPr>
        <w:jc w:val="both"/>
        <w:rPr>
          <w:sz w:val="20"/>
          <w:szCs w:val="20"/>
          <w:lang w:val="en-US"/>
        </w:rPr>
      </w:pPr>
      <w:r w:rsidRPr="002A1DFC">
        <w:rPr>
          <w:b/>
          <w:sz w:val="20"/>
          <w:szCs w:val="20"/>
          <w:lang w:val="en-US"/>
        </w:rPr>
        <w:t xml:space="preserve">Osteological </w:t>
      </w:r>
      <w:r w:rsidR="00862D4B" w:rsidRPr="002A1DFC">
        <w:rPr>
          <w:b/>
          <w:sz w:val="20"/>
          <w:szCs w:val="20"/>
          <w:lang w:val="en-US"/>
        </w:rPr>
        <w:t>data-analyses</w:t>
      </w:r>
      <w:r w:rsidR="00862D4B" w:rsidRPr="002A1DFC">
        <w:rPr>
          <w:sz w:val="20"/>
          <w:szCs w:val="20"/>
          <w:lang w:val="en-US"/>
        </w:rPr>
        <w:t xml:space="preserve">: </w:t>
      </w:r>
      <w:r w:rsidR="003D58C7" w:rsidRPr="002A1DFC">
        <w:rPr>
          <w:sz w:val="20"/>
          <w:szCs w:val="20"/>
          <w:lang w:val="en-US"/>
        </w:rPr>
        <w:t xml:space="preserve">The </w:t>
      </w:r>
      <w:r w:rsidRPr="002A1DFC">
        <w:rPr>
          <w:sz w:val="20"/>
          <w:szCs w:val="20"/>
          <w:lang w:val="en-US"/>
        </w:rPr>
        <w:t xml:space="preserve">osteological </w:t>
      </w:r>
      <w:r w:rsidR="003D58C7" w:rsidRPr="002A1DFC">
        <w:rPr>
          <w:sz w:val="20"/>
          <w:szCs w:val="20"/>
          <w:lang w:val="en-US"/>
        </w:rPr>
        <w:t xml:space="preserve">data generated by </w:t>
      </w:r>
      <w:proofErr w:type="spellStart"/>
      <w:r w:rsidR="003D58C7" w:rsidRPr="002A1DFC">
        <w:rPr>
          <w:sz w:val="20"/>
          <w:szCs w:val="20"/>
          <w:lang w:val="en-US"/>
        </w:rPr>
        <w:t>Asmus</w:t>
      </w:r>
      <w:proofErr w:type="spellEnd"/>
      <w:r w:rsidR="003D58C7" w:rsidRPr="002A1DFC">
        <w:rPr>
          <w:sz w:val="20"/>
          <w:szCs w:val="20"/>
          <w:lang w:val="en-US"/>
        </w:rPr>
        <w:t xml:space="preserve"> </w:t>
      </w:r>
      <w:r w:rsidR="00407642" w:rsidRPr="002A1DFC">
        <w:rPr>
          <w:noProof/>
          <w:sz w:val="20"/>
          <w:szCs w:val="20"/>
          <w:lang w:val="en-US"/>
        </w:rPr>
        <w:t>(1939)</w:t>
      </w:r>
      <w:r w:rsidR="003D58C7" w:rsidRPr="002A1DFC">
        <w:rPr>
          <w:sz w:val="20"/>
          <w:szCs w:val="20"/>
          <w:lang w:val="en-US"/>
        </w:rPr>
        <w:t xml:space="preserve"> and Grimm </w:t>
      </w:r>
      <w:r w:rsidR="00407642" w:rsidRPr="002A1DFC">
        <w:rPr>
          <w:noProof/>
          <w:sz w:val="20"/>
          <w:szCs w:val="20"/>
          <w:lang w:val="en-US"/>
        </w:rPr>
        <w:t>(1965)</w:t>
      </w:r>
      <w:r w:rsidR="003D58C7" w:rsidRPr="002A1DFC">
        <w:rPr>
          <w:sz w:val="20"/>
          <w:szCs w:val="20"/>
          <w:lang w:val="en-US"/>
        </w:rPr>
        <w:t xml:space="preserve"> are indicated in their respective publications. Grimm </w:t>
      </w:r>
      <w:r w:rsidR="00407642" w:rsidRPr="002A1DFC">
        <w:rPr>
          <w:noProof/>
          <w:sz w:val="20"/>
          <w:szCs w:val="20"/>
          <w:lang w:val="en-US"/>
        </w:rPr>
        <w:t>(1965</w:t>
      </w:r>
      <w:r w:rsidR="001659E5" w:rsidRPr="002A1DFC">
        <w:rPr>
          <w:noProof/>
          <w:sz w:val="20"/>
          <w:szCs w:val="20"/>
          <w:lang w:val="en-US"/>
        </w:rPr>
        <w:t>,</w:t>
      </w:r>
      <w:r w:rsidR="00407642" w:rsidRPr="002A1DFC">
        <w:rPr>
          <w:noProof/>
          <w:sz w:val="20"/>
          <w:szCs w:val="20"/>
          <w:lang w:val="en-US"/>
        </w:rPr>
        <w:t xml:space="preserve"> 59-61)</w:t>
      </w:r>
      <w:r w:rsidR="003D58C7" w:rsidRPr="002A1DFC">
        <w:rPr>
          <w:sz w:val="20"/>
          <w:szCs w:val="20"/>
          <w:lang w:val="en-US"/>
        </w:rPr>
        <w:t xml:space="preserve"> discusses problematic estimates in further detail (i.e. of </w:t>
      </w:r>
      <w:r w:rsidR="00162B54" w:rsidRPr="002A1DFC">
        <w:rPr>
          <w:sz w:val="20"/>
          <w:szCs w:val="20"/>
          <w:lang w:val="en-US"/>
        </w:rPr>
        <w:t>individuals 1961/5, 1961/9 and 1961/7)</w:t>
      </w:r>
      <w:r w:rsidR="003D58C7" w:rsidRPr="002A1DFC">
        <w:rPr>
          <w:sz w:val="20"/>
          <w:szCs w:val="20"/>
          <w:lang w:val="en-US"/>
        </w:rPr>
        <w:t xml:space="preserve">. </w:t>
      </w:r>
      <w:proofErr w:type="spellStart"/>
      <w:r w:rsidR="00162B54" w:rsidRPr="002A1DFC">
        <w:rPr>
          <w:sz w:val="20"/>
          <w:szCs w:val="20"/>
          <w:lang w:val="en-US"/>
        </w:rPr>
        <w:t>Patolla’s</w:t>
      </w:r>
      <w:proofErr w:type="spellEnd"/>
      <w:r w:rsidR="00162B54" w:rsidRPr="002A1DFC">
        <w:rPr>
          <w:sz w:val="20"/>
          <w:szCs w:val="20"/>
          <w:lang w:val="en-US"/>
        </w:rPr>
        <w:t xml:space="preserve"> general results are </w:t>
      </w:r>
      <w:r w:rsidR="00F34586" w:rsidRPr="002A1DFC">
        <w:rPr>
          <w:sz w:val="20"/>
          <w:szCs w:val="20"/>
          <w:lang w:val="en-US"/>
        </w:rPr>
        <w:t xml:space="preserve">only </w:t>
      </w:r>
      <w:r w:rsidR="00162B54" w:rsidRPr="002A1DFC">
        <w:rPr>
          <w:sz w:val="20"/>
          <w:szCs w:val="20"/>
          <w:lang w:val="en-US"/>
        </w:rPr>
        <w:t>accessible in a published overview</w:t>
      </w:r>
      <w:r w:rsidR="00F34586" w:rsidRPr="002A1DFC">
        <w:rPr>
          <w:sz w:val="20"/>
          <w:szCs w:val="20"/>
          <w:lang w:val="en-US"/>
        </w:rPr>
        <w:t>-article</w:t>
      </w:r>
      <w:r w:rsidR="00162B54" w:rsidRPr="002A1DFC">
        <w:rPr>
          <w:sz w:val="20"/>
          <w:szCs w:val="20"/>
          <w:lang w:val="en-US"/>
        </w:rPr>
        <w:t xml:space="preserve"> </w:t>
      </w:r>
      <w:r w:rsidR="00407642" w:rsidRPr="002A1DFC">
        <w:rPr>
          <w:noProof/>
          <w:sz w:val="20"/>
          <w:szCs w:val="20"/>
          <w:lang w:val="en-US"/>
        </w:rPr>
        <w:t xml:space="preserve">(Patolla </w:t>
      </w:r>
      <w:r w:rsidR="001659E5" w:rsidRPr="002A1DFC">
        <w:rPr>
          <w:noProof/>
          <w:sz w:val="20"/>
          <w:szCs w:val="20"/>
          <w:lang w:val="en-US"/>
        </w:rPr>
        <w:t xml:space="preserve">&amp; </w:t>
      </w:r>
      <w:r w:rsidR="00407642" w:rsidRPr="002A1DFC">
        <w:rPr>
          <w:noProof/>
          <w:sz w:val="20"/>
          <w:szCs w:val="20"/>
          <w:lang w:val="en-US"/>
        </w:rPr>
        <w:t>Henke 2007)</w:t>
      </w:r>
      <w:r w:rsidR="005924C3" w:rsidRPr="002A1DFC">
        <w:rPr>
          <w:sz w:val="20"/>
          <w:szCs w:val="20"/>
          <w:lang w:val="en-US"/>
        </w:rPr>
        <w:t>. The author’s</w:t>
      </w:r>
      <w:r w:rsidR="00162B54" w:rsidRPr="002A1DFC">
        <w:rPr>
          <w:sz w:val="20"/>
          <w:szCs w:val="20"/>
          <w:lang w:val="en-US"/>
        </w:rPr>
        <w:t xml:space="preserve"> extensive descriptions of the </w:t>
      </w:r>
      <w:proofErr w:type="spellStart"/>
      <w:r w:rsidR="00162B54" w:rsidRPr="002A1DFC">
        <w:rPr>
          <w:sz w:val="20"/>
          <w:szCs w:val="20"/>
          <w:lang w:val="en-US"/>
        </w:rPr>
        <w:t>Ostorf</w:t>
      </w:r>
      <w:proofErr w:type="spellEnd"/>
      <w:r w:rsidR="00162B54" w:rsidRPr="002A1DFC">
        <w:rPr>
          <w:sz w:val="20"/>
          <w:szCs w:val="20"/>
          <w:lang w:val="en-US"/>
        </w:rPr>
        <w:t xml:space="preserve">-individuals’ sex and age </w:t>
      </w:r>
      <w:r w:rsidR="00F34586" w:rsidRPr="002A1DFC">
        <w:rPr>
          <w:sz w:val="20"/>
          <w:szCs w:val="20"/>
          <w:lang w:val="en-US"/>
        </w:rPr>
        <w:t>determinations</w:t>
      </w:r>
      <w:r w:rsidR="00162B54" w:rsidRPr="002A1DFC">
        <w:rPr>
          <w:sz w:val="20"/>
          <w:szCs w:val="20"/>
          <w:lang w:val="en-US"/>
        </w:rPr>
        <w:t xml:space="preserve"> are, however, not figured in the latter. Nevertheless, </w:t>
      </w:r>
      <w:r w:rsidR="00954D87" w:rsidRPr="002A1DFC">
        <w:rPr>
          <w:sz w:val="20"/>
          <w:szCs w:val="20"/>
          <w:lang w:val="en-US"/>
        </w:rPr>
        <w:t>the single, final estimates</w:t>
      </w:r>
      <w:r w:rsidR="00162B54" w:rsidRPr="002A1DFC">
        <w:rPr>
          <w:sz w:val="20"/>
          <w:szCs w:val="20"/>
          <w:lang w:val="en-US"/>
        </w:rPr>
        <w:t xml:space="preserve"> </w:t>
      </w:r>
      <w:r w:rsidR="007D4ED3" w:rsidRPr="002A1DFC">
        <w:rPr>
          <w:sz w:val="20"/>
          <w:szCs w:val="20"/>
          <w:lang w:val="en-US"/>
        </w:rPr>
        <w:t xml:space="preserve">and their attribution to ‘main’ and ‘secondary’ burials </w:t>
      </w:r>
      <w:r w:rsidR="00162B54" w:rsidRPr="002A1DFC">
        <w:rPr>
          <w:sz w:val="20"/>
          <w:szCs w:val="20"/>
          <w:lang w:val="en-US"/>
        </w:rPr>
        <w:t>are</w:t>
      </w:r>
      <w:r w:rsidR="00F34586" w:rsidRPr="002A1DFC">
        <w:rPr>
          <w:sz w:val="20"/>
          <w:szCs w:val="20"/>
          <w:lang w:val="en-US"/>
        </w:rPr>
        <w:t xml:space="preserve"> nonetheless</w:t>
      </w:r>
      <w:r w:rsidR="00162B54" w:rsidRPr="002A1DFC">
        <w:rPr>
          <w:sz w:val="20"/>
          <w:szCs w:val="20"/>
          <w:lang w:val="en-US"/>
        </w:rPr>
        <w:t xml:space="preserve"> accessible in </w:t>
      </w:r>
      <w:proofErr w:type="spellStart"/>
      <w:r w:rsidR="00162B54" w:rsidRPr="002A1DFC">
        <w:rPr>
          <w:sz w:val="20"/>
          <w:szCs w:val="20"/>
          <w:lang w:val="en-US"/>
        </w:rPr>
        <w:t>Schiesberg’s</w:t>
      </w:r>
      <w:proofErr w:type="spellEnd"/>
      <w:r w:rsidR="00162B54" w:rsidRPr="002A1DFC">
        <w:rPr>
          <w:sz w:val="20"/>
          <w:szCs w:val="20"/>
          <w:lang w:val="en-US"/>
        </w:rPr>
        <w:t xml:space="preserve"> article </w:t>
      </w:r>
      <w:r w:rsidR="00407642" w:rsidRPr="002A1DFC">
        <w:rPr>
          <w:noProof/>
          <w:sz w:val="20"/>
          <w:szCs w:val="20"/>
          <w:lang w:val="en-US"/>
        </w:rPr>
        <w:t>(2013</w:t>
      </w:r>
      <w:r w:rsidR="001659E5" w:rsidRPr="002A1DFC">
        <w:rPr>
          <w:noProof/>
          <w:sz w:val="20"/>
          <w:szCs w:val="20"/>
          <w:lang w:val="en-US"/>
        </w:rPr>
        <w:t>,</w:t>
      </w:r>
      <w:r w:rsidR="00407642" w:rsidRPr="002A1DFC">
        <w:rPr>
          <w:noProof/>
          <w:sz w:val="20"/>
          <w:szCs w:val="20"/>
          <w:lang w:val="en-US"/>
        </w:rPr>
        <w:t xml:space="preserve"> tables 2 and 4)</w:t>
      </w:r>
      <w:r w:rsidR="00162B54" w:rsidRPr="002A1DFC">
        <w:rPr>
          <w:sz w:val="20"/>
          <w:szCs w:val="20"/>
          <w:lang w:val="en-US"/>
        </w:rPr>
        <w:t>.</w:t>
      </w:r>
    </w:p>
    <w:p w14:paraId="3F607671" w14:textId="737CB177" w:rsidR="007248F7" w:rsidRPr="002A1DFC" w:rsidRDefault="008F4666" w:rsidP="002D6115">
      <w:pPr>
        <w:jc w:val="both"/>
        <w:rPr>
          <w:sz w:val="20"/>
          <w:szCs w:val="20"/>
          <w:lang w:val="en-US"/>
        </w:rPr>
      </w:pPr>
      <w:r w:rsidRPr="002A1DFC">
        <w:rPr>
          <w:b/>
          <w:sz w:val="20"/>
          <w:szCs w:val="20"/>
          <w:lang w:val="en-US"/>
        </w:rPr>
        <w:t>Gender-determination</w:t>
      </w:r>
      <w:r w:rsidR="00862D4B" w:rsidRPr="002A1DFC">
        <w:rPr>
          <w:b/>
          <w:sz w:val="20"/>
          <w:szCs w:val="20"/>
          <w:lang w:val="en-US"/>
        </w:rPr>
        <w:t xml:space="preserve"> methods</w:t>
      </w:r>
      <w:r w:rsidR="00862D4B" w:rsidRPr="002A1DFC">
        <w:rPr>
          <w:sz w:val="20"/>
          <w:szCs w:val="20"/>
          <w:lang w:val="en-US"/>
        </w:rPr>
        <w:t>:</w:t>
      </w:r>
      <w:r w:rsidR="00712CBD" w:rsidRPr="002A1DFC">
        <w:rPr>
          <w:sz w:val="20"/>
          <w:szCs w:val="20"/>
          <w:lang w:val="en-US"/>
        </w:rPr>
        <w:t xml:space="preserve"> Gender is, throughout the various single publications of this site, never </w:t>
      </w:r>
      <w:r w:rsidR="00060968">
        <w:rPr>
          <w:sz w:val="20"/>
          <w:szCs w:val="20"/>
          <w:lang w:val="en-US"/>
        </w:rPr>
        <w:t>explicitly mentioned</w:t>
      </w:r>
      <w:r w:rsidR="005C37B9" w:rsidRPr="002A1DFC">
        <w:rPr>
          <w:sz w:val="20"/>
          <w:szCs w:val="20"/>
          <w:lang w:val="en-US"/>
        </w:rPr>
        <w:t xml:space="preserve"> and</w:t>
      </w:r>
      <w:r w:rsidR="001F2E49" w:rsidRPr="002A1DFC">
        <w:rPr>
          <w:sz w:val="20"/>
          <w:szCs w:val="20"/>
          <w:lang w:val="en-US"/>
        </w:rPr>
        <w:t xml:space="preserve">, </w:t>
      </w:r>
      <w:r w:rsidR="0059756B" w:rsidRPr="002A1DFC">
        <w:rPr>
          <w:sz w:val="20"/>
          <w:szCs w:val="20"/>
          <w:lang w:val="en-US"/>
        </w:rPr>
        <w:t xml:space="preserve">since </w:t>
      </w:r>
      <w:r w:rsidR="001F2E49" w:rsidRPr="002A1DFC">
        <w:rPr>
          <w:sz w:val="20"/>
          <w:szCs w:val="20"/>
          <w:lang w:val="en-US"/>
        </w:rPr>
        <w:t xml:space="preserve">sex and gender are </w:t>
      </w:r>
      <w:r w:rsidR="0059756B" w:rsidRPr="002A1DFC">
        <w:rPr>
          <w:sz w:val="20"/>
          <w:szCs w:val="20"/>
          <w:lang w:val="en-US"/>
        </w:rPr>
        <w:t xml:space="preserve">used to cross-validate each other, they are generally </w:t>
      </w:r>
      <w:r w:rsidR="001F2E49" w:rsidRPr="002A1DFC">
        <w:rPr>
          <w:sz w:val="20"/>
          <w:szCs w:val="20"/>
          <w:lang w:val="en-US"/>
        </w:rPr>
        <w:t>confounded</w:t>
      </w:r>
      <w:r w:rsidR="00712CBD" w:rsidRPr="002A1DFC">
        <w:rPr>
          <w:sz w:val="20"/>
          <w:szCs w:val="20"/>
          <w:lang w:val="en-US"/>
        </w:rPr>
        <w:t>. The time lag between the analyses, focused on either the archaeological or the anthropological aspect of the site</w:t>
      </w:r>
      <w:r w:rsidR="00060968">
        <w:rPr>
          <w:sz w:val="20"/>
          <w:szCs w:val="20"/>
          <w:lang w:val="en-US"/>
        </w:rPr>
        <w:t>,</w:t>
      </w:r>
      <w:r w:rsidR="00712CBD" w:rsidRPr="002A1DFC">
        <w:rPr>
          <w:sz w:val="20"/>
          <w:szCs w:val="20"/>
          <w:lang w:val="en-US"/>
        </w:rPr>
        <w:t xml:space="preserve"> further hampers the understanding of the interrelation of sex and gender: </w:t>
      </w:r>
      <w:r w:rsidR="00275CAB">
        <w:rPr>
          <w:sz w:val="20"/>
          <w:szCs w:val="20"/>
          <w:lang w:val="en-US"/>
        </w:rPr>
        <w:t>A</w:t>
      </w:r>
      <w:r w:rsidR="00712CBD" w:rsidRPr="002A1DFC">
        <w:rPr>
          <w:sz w:val="20"/>
          <w:szCs w:val="20"/>
          <w:lang w:val="en-US"/>
        </w:rPr>
        <w:t xml:space="preserve">ll authors seriate the objects associated with sexed burials, however these seriations are based on different data: Bastian’s </w:t>
      </w:r>
      <w:r w:rsidR="00407642" w:rsidRPr="002A1DFC">
        <w:rPr>
          <w:noProof/>
          <w:sz w:val="20"/>
          <w:szCs w:val="20"/>
          <w:lang w:val="en-US"/>
        </w:rPr>
        <w:t>(1961)</w:t>
      </w:r>
      <w:r w:rsidR="00712CBD" w:rsidRPr="002A1DFC">
        <w:rPr>
          <w:sz w:val="20"/>
          <w:szCs w:val="20"/>
          <w:lang w:val="en-US"/>
        </w:rPr>
        <w:t xml:space="preserve"> interpretations are based on </w:t>
      </w:r>
      <w:r w:rsidR="00DD7A4A" w:rsidRPr="002A1DFC">
        <w:rPr>
          <w:sz w:val="20"/>
          <w:szCs w:val="20"/>
          <w:lang w:val="en-US"/>
        </w:rPr>
        <w:t xml:space="preserve">the excavated burials of 1904 and 1935 (and those of comparable sites of e.g. </w:t>
      </w:r>
      <w:proofErr w:type="spellStart"/>
      <w:r w:rsidR="00DD7A4A" w:rsidRPr="002A1DFC">
        <w:rPr>
          <w:sz w:val="20"/>
          <w:szCs w:val="20"/>
          <w:lang w:val="en-US"/>
        </w:rPr>
        <w:t>Tangermünde</w:t>
      </w:r>
      <w:proofErr w:type="spellEnd"/>
      <w:r w:rsidR="00773F2A" w:rsidRPr="002A1DFC">
        <w:rPr>
          <w:sz w:val="20"/>
          <w:szCs w:val="20"/>
          <w:lang w:val="en-US"/>
        </w:rPr>
        <w:t>, Germany</w:t>
      </w:r>
      <w:r w:rsidR="00DD7A4A" w:rsidRPr="002A1DFC">
        <w:rPr>
          <w:sz w:val="20"/>
          <w:szCs w:val="20"/>
          <w:lang w:val="en-US"/>
        </w:rPr>
        <w:t xml:space="preserve"> and </w:t>
      </w:r>
      <w:proofErr w:type="spellStart"/>
      <w:r w:rsidR="00DD7A4A" w:rsidRPr="002A1DFC">
        <w:rPr>
          <w:sz w:val="20"/>
          <w:szCs w:val="20"/>
          <w:lang w:val="en-US"/>
        </w:rPr>
        <w:t>Västerbjers</w:t>
      </w:r>
      <w:proofErr w:type="spellEnd"/>
      <w:r w:rsidR="00773F2A" w:rsidRPr="002A1DFC">
        <w:rPr>
          <w:sz w:val="20"/>
          <w:szCs w:val="20"/>
          <w:lang w:val="en-US"/>
        </w:rPr>
        <w:t>, Sweden</w:t>
      </w:r>
      <w:r w:rsidR="00DD7A4A" w:rsidRPr="002A1DFC">
        <w:rPr>
          <w:sz w:val="20"/>
          <w:szCs w:val="20"/>
          <w:lang w:val="en-US"/>
        </w:rPr>
        <w:t xml:space="preserve">) and </w:t>
      </w:r>
      <w:r w:rsidR="00712CBD" w:rsidRPr="002A1DFC">
        <w:rPr>
          <w:sz w:val="20"/>
          <w:szCs w:val="20"/>
          <w:lang w:val="en-US"/>
        </w:rPr>
        <w:t xml:space="preserve">the </w:t>
      </w:r>
      <w:r w:rsidR="009D7719" w:rsidRPr="002A1DFC">
        <w:rPr>
          <w:sz w:val="20"/>
          <w:szCs w:val="20"/>
          <w:lang w:val="en-US"/>
        </w:rPr>
        <w:t xml:space="preserve">osteological </w:t>
      </w:r>
      <w:r w:rsidR="00712CBD" w:rsidRPr="002A1DFC">
        <w:rPr>
          <w:sz w:val="20"/>
          <w:szCs w:val="20"/>
          <w:lang w:val="en-US"/>
        </w:rPr>
        <w:t xml:space="preserve">results of </w:t>
      </w:r>
      <w:proofErr w:type="spellStart"/>
      <w:r w:rsidR="00712CBD" w:rsidRPr="002A1DFC">
        <w:rPr>
          <w:sz w:val="20"/>
          <w:szCs w:val="20"/>
          <w:lang w:val="en-US"/>
        </w:rPr>
        <w:t>Asmus</w:t>
      </w:r>
      <w:proofErr w:type="spellEnd"/>
      <w:r w:rsidR="00712CBD" w:rsidRPr="002A1DFC">
        <w:rPr>
          <w:sz w:val="20"/>
          <w:szCs w:val="20"/>
          <w:lang w:val="en-US"/>
        </w:rPr>
        <w:t xml:space="preserve"> </w:t>
      </w:r>
      <w:r w:rsidR="00407642" w:rsidRPr="002A1DFC">
        <w:rPr>
          <w:noProof/>
          <w:sz w:val="20"/>
          <w:szCs w:val="20"/>
          <w:lang w:val="en-US"/>
        </w:rPr>
        <w:t>(1939)</w:t>
      </w:r>
      <w:r w:rsidR="001F2E49" w:rsidRPr="002A1DFC">
        <w:rPr>
          <w:sz w:val="20"/>
          <w:szCs w:val="20"/>
          <w:lang w:val="en-US"/>
        </w:rPr>
        <w:t>.</w:t>
      </w:r>
      <w:r w:rsidR="00712CBD" w:rsidRPr="002A1DFC">
        <w:rPr>
          <w:sz w:val="20"/>
          <w:szCs w:val="20"/>
          <w:lang w:val="en-US"/>
        </w:rPr>
        <w:t xml:space="preserve"> Schuldt’s </w:t>
      </w:r>
      <w:r w:rsidR="00407642" w:rsidRPr="002A1DFC">
        <w:rPr>
          <w:noProof/>
          <w:sz w:val="20"/>
          <w:szCs w:val="20"/>
          <w:lang w:val="en-US"/>
        </w:rPr>
        <w:t>(1961)</w:t>
      </w:r>
      <w:r w:rsidR="00712CBD" w:rsidRPr="002A1DFC">
        <w:rPr>
          <w:sz w:val="20"/>
          <w:szCs w:val="20"/>
          <w:lang w:val="en-US"/>
        </w:rPr>
        <w:t xml:space="preserve"> interpretation</w:t>
      </w:r>
      <w:r w:rsidR="001F2E49" w:rsidRPr="002A1DFC">
        <w:rPr>
          <w:sz w:val="20"/>
          <w:szCs w:val="20"/>
          <w:lang w:val="en-US"/>
        </w:rPr>
        <w:t>s</w:t>
      </w:r>
      <w:r w:rsidR="00712CBD" w:rsidRPr="002A1DFC">
        <w:rPr>
          <w:sz w:val="20"/>
          <w:szCs w:val="20"/>
          <w:lang w:val="en-US"/>
        </w:rPr>
        <w:t xml:space="preserve"> includes the former and Grimm’s </w:t>
      </w:r>
      <w:r w:rsidR="00407642" w:rsidRPr="002A1DFC">
        <w:rPr>
          <w:noProof/>
          <w:sz w:val="20"/>
          <w:szCs w:val="20"/>
          <w:lang w:val="en-US"/>
        </w:rPr>
        <w:t>(1965)</w:t>
      </w:r>
      <w:r w:rsidR="00712CBD" w:rsidRPr="002A1DFC">
        <w:rPr>
          <w:sz w:val="20"/>
          <w:szCs w:val="20"/>
          <w:lang w:val="en-US"/>
        </w:rPr>
        <w:t xml:space="preserve"> determinations of the 1961</w:t>
      </w:r>
      <w:r w:rsidR="00DD7A4A" w:rsidRPr="002A1DFC">
        <w:rPr>
          <w:sz w:val="20"/>
          <w:szCs w:val="20"/>
          <w:lang w:val="en-US"/>
        </w:rPr>
        <w:t>-</w:t>
      </w:r>
      <w:r w:rsidR="00712CBD" w:rsidRPr="002A1DFC">
        <w:rPr>
          <w:sz w:val="20"/>
          <w:szCs w:val="20"/>
          <w:lang w:val="en-US"/>
        </w:rPr>
        <w:t xml:space="preserve">individuals. </w:t>
      </w:r>
      <w:proofErr w:type="spellStart"/>
      <w:r w:rsidR="00712CBD" w:rsidRPr="002A1DFC">
        <w:rPr>
          <w:sz w:val="20"/>
          <w:szCs w:val="20"/>
          <w:lang w:val="en-US"/>
        </w:rPr>
        <w:t>Schiesberg</w:t>
      </w:r>
      <w:proofErr w:type="spellEnd"/>
      <w:r w:rsidR="00712CBD" w:rsidRPr="002A1DFC">
        <w:rPr>
          <w:sz w:val="20"/>
          <w:szCs w:val="20"/>
          <w:lang w:val="en-US"/>
        </w:rPr>
        <w:t xml:space="preserve"> </w:t>
      </w:r>
      <w:r w:rsidR="00407642" w:rsidRPr="002A1DFC">
        <w:rPr>
          <w:noProof/>
          <w:sz w:val="20"/>
          <w:szCs w:val="20"/>
          <w:lang w:val="en-US"/>
        </w:rPr>
        <w:t>(2013</w:t>
      </w:r>
      <w:r w:rsidR="001659E5" w:rsidRPr="002A1DFC">
        <w:rPr>
          <w:noProof/>
          <w:sz w:val="20"/>
          <w:szCs w:val="20"/>
          <w:lang w:val="en-US"/>
        </w:rPr>
        <w:t>,</w:t>
      </w:r>
      <w:r w:rsidR="00407642" w:rsidRPr="002A1DFC">
        <w:rPr>
          <w:noProof/>
          <w:sz w:val="20"/>
          <w:szCs w:val="20"/>
          <w:lang w:val="en-US"/>
        </w:rPr>
        <w:t xml:space="preserve"> 201 and fig. 6)</w:t>
      </w:r>
      <w:r w:rsidR="00712CBD" w:rsidRPr="002A1DFC">
        <w:rPr>
          <w:sz w:val="20"/>
          <w:szCs w:val="20"/>
          <w:lang w:val="en-US"/>
        </w:rPr>
        <w:t xml:space="preserve"> </w:t>
      </w:r>
      <w:r w:rsidR="00D753C1" w:rsidRPr="002A1DFC">
        <w:rPr>
          <w:sz w:val="20"/>
          <w:szCs w:val="20"/>
          <w:lang w:val="en-US"/>
        </w:rPr>
        <w:t xml:space="preserve">also </w:t>
      </w:r>
      <w:r w:rsidR="00712CBD" w:rsidRPr="002A1DFC">
        <w:rPr>
          <w:sz w:val="20"/>
          <w:szCs w:val="20"/>
          <w:lang w:val="en-US"/>
        </w:rPr>
        <w:t xml:space="preserve">does not generally focus on the question of gender, but nonetheless features a revised seriation of selected burials of which the </w:t>
      </w:r>
      <w:r w:rsidR="009D7719" w:rsidRPr="002A1DFC">
        <w:rPr>
          <w:sz w:val="20"/>
          <w:szCs w:val="20"/>
          <w:lang w:val="en-US"/>
        </w:rPr>
        <w:t xml:space="preserve">osteological </w:t>
      </w:r>
      <w:r w:rsidR="00712CBD" w:rsidRPr="002A1DFC">
        <w:rPr>
          <w:sz w:val="20"/>
          <w:szCs w:val="20"/>
          <w:lang w:val="en-US"/>
        </w:rPr>
        <w:t xml:space="preserve">determinations had been revised by </w:t>
      </w:r>
      <w:r w:rsidR="00D83CBF" w:rsidRPr="002A1DFC">
        <w:rPr>
          <w:sz w:val="20"/>
          <w:szCs w:val="20"/>
          <w:lang w:val="en-US"/>
        </w:rPr>
        <w:t xml:space="preserve">M. </w:t>
      </w:r>
      <w:proofErr w:type="spellStart"/>
      <w:r w:rsidR="00712CBD" w:rsidRPr="002A1DFC">
        <w:rPr>
          <w:sz w:val="20"/>
          <w:szCs w:val="20"/>
          <w:lang w:val="en-US"/>
        </w:rPr>
        <w:t>Patolla</w:t>
      </w:r>
      <w:proofErr w:type="spellEnd"/>
      <w:r w:rsidR="00712CBD" w:rsidRPr="002A1DFC">
        <w:rPr>
          <w:sz w:val="20"/>
          <w:szCs w:val="20"/>
          <w:lang w:val="en-US"/>
        </w:rPr>
        <w:t>.</w:t>
      </w:r>
      <w:r w:rsidR="00773F2A" w:rsidRPr="002A1DFC">
        <w:rPr>
          <w:sz w:val="20"/>
          <w:szCs w:val="20"/>
          <w:lang w:val="en-US"/>
        </w:rPr>
        <w:t xml:space="preserve"> </w:t>
      </w:r>
      <w:r w:rsidR="001F2E49" w:rsidRPr="002A1DFC">
        <w:rPr>
          <w:sz w:val="20"/>
          <w:szCs w:val="20"/>
          <w:lang w:val="en-US"/>
        </w:rPr>
        <w:t xml:space="preserve">The integrity of the information relevant to the gender-determinations are accessible in </w:t>
      </w:r>
      <w:r w:rsidR="00DA60DB" w:rsidRPr="002A1DFC">
        <w:rPr>
          <w:sz w:val="20"/>
          <w:szCs w:val="20"/>
          <w:lang w:val="en-US"/>
        </w:rPr>
        <w:t>the main site publications</w:t>
      </w:r>
      <w:r w:rsidR="001F2E49" w:rsidRPr="002A1DFC">
        <w:rPr>
          <w:sz w:val="20"/>
          <w:szCs w:val="20"/>
          <w:lang w:val="en-US"/>
        </w:rPr>
        <w:t xml:space="preserve"> </w:t>
      </w:r>
      <w:r w:rsidR="00407642" w:rsidRPr="002A1DFC">
        <w:rPr>
          <w:noProof/>
          <w:sz w:val="20"/>
          <w:szCs w:val="20"/>
          <w:lang w:val="en-US"/>
        </w:rPr>
        <w:t>(Bastian 1961; Schuldt 1961)</w:t>
      </w:r>
      <w:r w:rsidR="001F2E49" w:rsidRPr="002A1DFC">
        <w:rPr>
          <w:sz w:val="20"/>
          <w:szCs w:val="20"/>
          <w:lang w:val="en-US"/>
        </w:rPr>
        <w:t xml:space="preserve">. Both publications include </w:t>
      </w:r>
      <w:r w:rsidR="00773F2A" w:rsidRPr="002A1DFC">
        <w:rPr>
          <w:sz w:val="20"/>
          <w:szCs w:val="20"/>
          <w:lang w:val="en-US"/>
        </w:rPr>
        <w:t xml:space="preserve">detailed </w:t>
      </w:r>
      <w:r w:rsidR="001F2E49" w:rsidRPr="002A1DFC">
        <w:rPr>
          <w:sz w:val="20"/>
          <w:szCs w:val="20"/>
          <w:lang w:val="en-US"/>
        </w:rPr>
        <w:t>inventories</w:t>
      </w:r>
      <w:r w:rsidR="00773F2A" w:rsidRPr="002A1DFC">
        <w:rPr>
          <w:sz w:val="20"/>
          <w:szCs w:val="20"/>
          <w:lang w:val="en-US"/>
        </w:rPr>
        <w:t xml:space="preserve"> of </w:t>
      </w:r>
      <w:r w:rsidR="001F2E49" w:rsidRPr="002A1DFC">
        <w:rPr>
          <w:sz w:val="20"/>
          <w:szCs w:val="20"/>
          <w:lang w:val="en-US"/>
        </w:rPr>
        <w:t xml:space="preserve">each burial. If existent, </w:t>
      </w:r>
      <w:r w:rsidR="009D7719" w:rsidRPr="002A1DFC">
        <w:rPr>
          <w:sz w:val="20"/>
          <w:szCs w:val="20"/>
          <w:lang w:val="en-US"/>
        </w:rPr>
        <w:t xml:space="preserve">osteological </w:t>
      </w:r>
      <w:r w:rsidRPr="002A1DFC">
        <w:rPr>
          <w:sz w:val="20"/>
          <w:szCs w:val="20"/>
          <w:lang w:val="en-US"/>
        </w:rPr>
        <w:t>sex-determination</w:t>
      </w:r>
      <w:r w:rsidR="001F2E49" w:rsidRPr="002A1DFC">
        <w:rPr>
          <w:sz w:val="20"/>
          <w:szCs w:val="20"/>
          <w:lang w:val="en-US"/>
        </w:rPr>
        <w:t xml:space="preserve">s </w:t>
      </w:r>
      <w:r w:rsidR="00DA60DB" w:rsidRPr="002A1DFC">
        <w:rPr>
          <w:sz w:val="20"/>
          <w:szCs w:val="20"/>
          <w:lang w:val="en-US"/>
        </w:rPr>
        <w:t xml:space="preserve">of 1939 and 1961 </w:t>
      </w:r>
      <w:r w:rsidR="001F2E49" w:rsidRPr="002A1DFC">
        <w:rPr>
          <w:sz w:val="20"/>
          <w:szCs w:val="20"/>
          <w:lang w:val="en-US"/>
        </w:rPr>
        <w:t>are included.</w:t>
      </w:r>
      <w:r w:rsidR="00D753C1" w:rsidRPr="002A1DFC">
        <w:rPr>
          <w:sz w:val="20"/>
          <w:szCs w:val="20"/>
          <w:lang w:val="en-US"/>
        </w:rPr>
        <w:t xml:space="preserve"> </w:t>
      </w:r>
      <w:r w:rsidR="001F2E49" w:rsidRPr="002A1DFC">
        <w:rPr>
          <w:sz w:val="20"/>
          <w:szCs w:val="20"/>
          <w:lang w:val="en-US"/>
        </w:rPr>
        <w:t xml:space="preserve">Archaeological </w:t>
      </w:r>
      <w:r w:rsidRPr="002A1DFC">
        <w:rPr>
          <w:sz w:val="20"/>
          <w:szCs w:val="20"/>
          <w:lang w:val="en-US"/>
        </w:rPr>
        <w:t>gender-determination</w:t>
      </w:r>
      <w:r w:rsidR="001F2E49" w:rsidRPr="002A1DFC">
        <w:rPr>
          <w:sz w:val="20"/>
          <w:szCs w:val="20"/>
          <w:lang w:val="en-US"/>
        </w:rPr>
        <w:t>s are, by contrast,</w:t>
      </w:r>
      <w:r w:rsidR="00EB1DC0" w:rsidRPr="002A1DFC">
        <w:rPr>
          <w:sz w:val="20"/>
          <w:szCs w:val="20"/>
          <w:lang w:val="en-US"/>
        </w:rPr>
        <w:t xml:space="preserve"> rarely</w:t>
      </w:r>
      <w:r w:rsidR="001F2E49" w:rsidRPr="002A1DFC">
        <w:rPr>
          <w:sz w:val="20"/>
          <w:szCs w:val="20"/>
          <w:lang w:val="en-US"/>
        </w:rPr>
        <w:t xml:space="preserve"> indicated</w:t>
      </w:r>
      <w:r w:rsidR="00DA60DB" w:rsidRPr="002A1DFC">
        <w:rPr>
          <w:sz w:val="20"/>
          <w:szCs w:val="20"/>
          <w:lang w:val="en-US"/>
        </w:rPr>
        <w:t>. Some of these may follow the results of mentioned seriations, others appear</w:t>
      </w:r>
      <w:r w:rsidR="00D753C1" w:rsidRPr="002A1DFC">
        <w:rPr>
          <w:sz w:val="20"/>
          <w:szCs w:val="20"/>
          <w:lang w:val="en-US"/>
        </w:rPr>
        <w:t>, however,</w:t>
      </w:r>
      <w:r w:rsidR="00DA60DB" w:rsidRPr="002A1DFC">
        <w:rPr>
          <w:sz w:val="20"/>
          <w:szCs w:val="20"/>
          <w:lang w:val="en-US"/>
        </w:rPr>
        <w:t xml:space="preserve"> more intuitive as they are not consistently applied to other burials</w:t>
      </w:r>
      <w:r w:rsidR="007248F7" w:rsidRPr="002A1DFC">
        <w:rPr>
          <w:sz w:val="20"/>
          <w:szCs w:val="20"/>
          <w:lang w:val="en-US"/>
        </w:rPr>
        <w:t xml:space="preserve"> containing comparable objects</w:t>
      </w:r>
      <w:r w:rsidR="00DA60DB" w:rsidRPr="002A1DFC">
        <w:rPr>
          <w:sz w:val="20"/>
          <w:szCs w:val="20"/>
          <w:lang w:val="en-US"/>
        </w:rPr>
        <w:t xml:space="preserve"> </w:t>
      </w:r>
      <w:r w:rsidR="001C1896" w:rsidRPr="002A1DFC">
        <w:rPr>
          <w:sz w:val="20"/>
          <w:lang w:val="en-US"/>
        </w:rPr>
        <w:t>(e.g. burial 1904/5; Bastian 1961</w:t>
      </w:r>
      <w:r w:rsidR="001659E5" w:rsidRPr="002A1DFC">
        <w:rPr>
          <w:sz w:val="20"/>
          <w:lang w:val="en-US"/>
        </w:rPr>
        <w:t>,</w:t>
      </w:r>
      <w:r w:rsidR="001C1896" w:rsidRPr="002A1DFC">
        <w:rPr>
          <w:sz w:val="20"/>
          <w:lang w:val="en-US"/>
        </w:rPr>
        <w:t xml:space="preserve"> 21: </w:t>
      </w:r>
      <w:r w:rsidR="00EB1DC0" w:rsidRPr="002A1DFC">
        <w:rPr>
          <w:sz w:val="20"/>
          <w:lang w:val="en-US"/>
        </w:rPr>
        <w:t xml:space="preserve">"This determination is further supported by the set of four </w:t>
      </w:r>
      <w:r w:rsidR="00EB1DC0" w:rsidRPr="002A1DFC">
        <w:rPr>
          <w:sz w:val="20"/>
          <w:szCs w:val="20"/>
          <w:lang w:val="en-US"/>
        </w:rPr>
        <w:t>flint blades"</w:t>
      </w:r>
      <w:r w:rsidR="002004DC" w:rsidRPr="002A1DFC">
        <w:rPr>
          <w:rStyle w:val="Funotenzeichen"/>
          <w:sz w:val="20"/>
          <w:szCs w:val="20"/>
        </w:rPr>
        <w:footnoteReference w:id="2"/>
      </w:r>
      <w:r w:rsidR="002004DC" w:rsidRPr="002A1DFC">
        <w:rPr>
          <w:sz w:val="20"/>
          <w:szCs w:val="20"/>
          <w:lang w:val="en-US"/>
        </w:rPr>
        <w:t>)</w:t>
      </w:r>
      <w:r w:rsidR="00DA60DB" w:rsidRPr="002A1DFC">
        <w:rPr>
          <w:sz w:val="20"/>
          <w:szCs w:val="20"/>
          <w:lang w:val="en-US"/>
        </w:rPr>
        <w:t xml:space="preserve">. </w:t>
      </w:r>
    </w:p>
    <w:p w14:paraId="1C97D267" w14:textId="7394EFDC" w:rsidR="00E87CB1" w:rsidRPr="002A1DFC" w:rsidRDefault="004523B2" w:rsidP="00985F7D">
      <w:pPr>
        <w:jc w:val="both"/>
        <w:rPr>
          <w:sz w:val="20"/>
          <w:szCs w:val="20"/>
          <w:lang w:val="en-US"/>
        </w:rPr>
      </w:pPr>
      <w:r w:rsidRPr="002A1DFC">
        <w:rPr>
          <w:sz w:val="20"/>
          <w:szCs w:val="20"/>
          <w:lang w:val="en-US"/>
        </w:rPr>
        <w:t xml:space="preserve">Following Bastian </w:t>
      </w:r>
      <w:r w:rsidR="00407642" w:rsidRPr="002A1DFC">
        <w:rPr>
          <w:noProof/>
          <w:sz w:val="20"/>
          <w:szCs w:val="20"/>
          <w:lang w:val="en-US"/>
        </w:rPr>
        <w:t>(1961</w:t>
      </w:r>
      <w:r w:rsidR="00582D48" w:rsidRPr="002A1DFC">
        <w:rPr>
          <w:noProof/>
          <w:sz w:val="20"/>
          <w:szCs w:val="20"/>
          <w:lang w:val="en-US"/>
        </w:rPr>
        <w:t>,</w:t>
      </w:r>
      <w:r w:rsidR="00407642" w:rsidRPr="002A1DFC">
        <w:rPr>
          <w:noProof/>
          <w:sz w:val="20"/>
          <w:szCs w:val="20"/>
          <w:lang w:val="en-US"/>
        </w:rPr>
        <w:t xml:space="preserve"> 77-106)</w:t>
      </w:r>
      <w:r w:rsidRPr="002A1DFC">
        <w:rPr>
          <w:sz w:val="20"/>
          <w:szCs w:val="20"/>
          <w:lang w:val="en-US"/>
        </w:rPr>
        <w:t xml:space="preserve">, </w:t>
      </w:r>
      <w:r w:rsidR="00B76CCE" w:rsidRPr="002A1DFC">
        <w:rPr>
          <w:sz w:val="20"/>
          <w:szCs w:val="20"/>
          <w:lang w:val="en-US"/>
        </w:rPr>
        <w:t xml:space="preserve">masculine </w:t>
      </w:r>
      <w:r w:rsidR="008546A3" w:rsidRPr="002A1DFC">
        <w:rPr>
          <w:sz w:val="20"/>
          <w:szCs w:val="20"/>
          <w:lang w:val="en-US"/>
        </w:rPr>
        <w:t xml:space="preserve">attributes include </w:t>
      </w:r>
      <w:r w:rsidR="00275CAB">
        <w:rPr>
          <w:sz w:val="20"/>
          <w:szCs w:val="20"/>
          <w:lang w:val="en-US"/>
        </w:rPr>
        <w:t xml:space="preserve">polished </w:t>
      </w:r>
      <w:r w:rsidR="008546A3" w:rsidRPr="002A1DFC">
        <w:rPr>
          <w:sz w:val="20"/>
          <w:szCs w:val="20"/>
          <w:lang w:val="en-US"/>
        </w:rPr>
        <w:t>stone and flint axes</w:t>
      </w:r>
      <w:r w:rsidR="00275CAB">
        <w:rPr>
          <w:sz w:val="20"/>
          <w:szCs w:val="20"/>
          <w:lang w:val="en-US"/>
        </w:rPr>
        <w:t xml:space="preserve">, as well as </w:t>
      </w:r>
      <w:r w:rsidR="008546A3" w:rsidRPr="002A1DFC">
        <w:rPr>
          <w:sz w:val="20"/>
          <w:szCs w:val="20"/>
          <w:lang w:val="en-US"/>
        </w:rPr>
        <w:t xml:space="preserve">transversal arrowheads. Given their scarcity, or their rare association with </w:t>
      </w:r>
      <w:r w:rsidR="00B76CCE" w:rsidRPr="002A1DFC">
        <w:rPr>
          <w:sz w:val="20"/>
          <w:szCs w:val="20"/>
          <w:lang w:val="en-US"/>
        </w:rPr>
        <w:t xml:space="preserve">osteological </w:t>
      </w:r>
      <w:r w:rsidR="008546A3" w:rsidRPr="002A1DFC">
        <w:rPr>
          <w:sz w:val="20"/>
          <w:szCs w:val="20"/>
          <w:lang w:val="en-US"/>
        </w:rPr>
        <w:t xml:space="preserve">females, fish hooks, crescent-shaped </w:t>
      </w:r>
      <w:r w:rsidR="008546A3" w:rsidRPr="002A1DFC">
        <w:rPr>
          <w:sz w:val="20"/>
          <w:szCs w:val="20"/>
          <w:lang w:val="en-US"/>
        </w:rPr>
        <w:lastRenderedPageBreak/>
        <w:t xml:space="preserve">and regular flint blades, </w:t>
      </w:r>
      <w:r w:rsidR="00BE7023" w:rsidRPr="002A1DFC">
        <w:rPr>
          <w:sz w:val="20"/>
          <w:szCs w:val="20"/>
          <w:lang w:val="en-US"/>
        </w:rPr>
        <w:t>wild boar tusks,</w:t>
      </w:r>
      <w:r w:rsidRPr="002A1DFC">
        <w:rPr>
          <w:sz w:val="20"/>
          <w:szCs w:val="20"/>
          <w:lang w:val="en-US"/>
        </w:rPr>
        <w:t xml:space="preserve"> </w:t>
      </w:r>
      <w:r w:rsidR="008546A3" w:rsidRPr="002A1DFC">
        <w:rPr>
          <w:sz w:val="20"/>
          <w:szCs w:val="20"/>
          <w:lang w:val="en-US"/>
        </w:rPr>
        <w:t xml:space="preserve">as well as perforated animal teeth foremost found at hip-height </w:t>
      </w:r>
      <w:r w:rsidRPr="002A1DFC">
        <w:rPr>
          <w:sz w:val="20"/>
          <w:szCs w:val="20"/>
          <w:lang w:val="en-US"/>
        </w:rPr>
        <w:t>are considered</w:t>
      </w:r>
      <w:r w:rsidR="008546A3" w:rsidRPr="002A1DFC">
        <w:rPr>
          <w:sz w:val="20"/>
          <w:szCs w:val="20"/>
          <w:lang w:val="en-US"/>
        </w:rPr>
        <w:t xml:space="preserve"> </w:t>
      </w:r>
      <w:r w:rsidRPr="002A1DFC">
        <w:rPr>
          <w:sz w:val="20"/>
          <w:szCs w:val="20"/>
          <w:lang w:val="en-US"/>
        </w:rPr>
        <w:t>‘</w:t>
      </w:r>
      <w:r w:rsidR="008546A3" w:rsidRPr="002A1DFC">
        <w:rPr>
          <w:sz w:val="20"/>
          <w:szCs w:val="20"/>
          <w:lang w:val="en-US"/>
        </w:rPr>
        <w:t>rather</w:t>
      </w:r>
      <w:r w:rsidRPr="002A1DFC">
        <w:rPr>
          <w:sz w:val="20"/>
          <w:szCs w:val="20"/>
          <w:lang w:val="en-US"/>
        </w:rPr>
        <w:t>’</w:t>
      </w:r>
      <w:r w:rsidR="008546A3" w:rsidRPr="002A1DFC">
        <w:rPr>
          <w:sz w:val="20"/>
          <w:szCs w:val="20"/>
          <w:lang w:val="en-US"/>
        </w:rPr>
        <w:t xml:space="preserve"> </w:t>
      </w:r>
      <w:r w:rsidR="00B76CCE" w:rsidRPr="002A1DFC">
        <w:rPr>
          <w:sz w:val="20"/>
          <w:szCs w:val="20"/>
          <w:lang w:val="en-US"/>
        </w:rPr>
        <w:t xml:space="preserve">masculine </w:t>
      </w:r>
      <w:r w:rsidR="008546A3" w:rsidRPr="002A1DFC">
        <w:rPr>
          <w:sz w:val="20"/>
          <w:szCs w:val="20"/>
          <w:lang w:val="en-US"/>
        </w:rPr>
        <w:t xml:space="preserve">attributes. </w:t>
      </w:r>
      <w:r w:rsidRPr="002A1DFC">
        <w:rPr>
          <w:sz w:val="20"/>
          <w:szCs w:val="20"/>
          <w:lang w:val="en-US"/>
        </w:rPr>
        <w:t>Textile tools (e.g. bo</w:t>
      </w:r>
      <w:r w:rsidR="00773F2A" w:rsidRPr="002A1DFC">
        <w:rPr>
          <w:sz w:val="20"/>
          <w:szCs w:val="20"/>
          <w:lang w:val="en-US"/>
        </w:rPr>
        <w:t>ne</w:t>
      </w:r>
      <w:r w:rsidRPr="002A1DFC">
        <w:rPr>
          <w:sz w:val="20"/>
          <w:szCs w:val="20"/>
          <w:lang w:val="en-US"/>
        </w:rPr>
        <w:t xml:space="preserve"> awls and ‘spindle whorls’) </w:t>
      </w:r>
      <w:r w:rsidR="007248F7" w:rsidRPr="002A1DFC">
        <w:rPr>
          <w:sz w:val="20"/>
          <w:szCs w:val="20"/>
          <w:lang w:val="en-US"/>
        </w:rPr>
        <w:t>are considered</w:t>
      </w:r>
      <w:r w:rsidRPr="002A1DFC">
        <w:rPr>
          <w:sz w:val="20"/>
          <w:szCs w:val="20"/>
          <w:lang w:val="en-US"/>
        </w:rPr>
        <w:t xml:space="preserve"> a</w:t>
      </w:r>
      <w:r w:rsidR="007248F7" w:rsidRPr="002A1DFC">
        <w:rPr>
          <w:sz w:val="20"/>
          <w:szCs w:val="20"/>
          <w:lang w:val="en-US"/>
        </w:rPr>
        <w:t xml:space="preserve"> </w:t>
      </w:r>
      <w:r w:rsidR="00B76CCE" w:rsidRPr="002A1DFC">
        <w:rPr>
          <w:sz w:val="20"/>
          <w:szCs w:val="20"/>
          <w:lang w:val="en-US"/>
        </w:rPr>
        <w:t xml:space="preserve">feminine </w:t>
      </w:r>
      <w:r w:rsidRPr="002A1DFC">
        <w:rPr>
          <w:sz w:val="20"/>
          <w:szCs w:val="20"/>
          <w:lang w:val="en-US"/>
        </w:rPr>
        <w:t xml:space="preserve">attribute and rich head gears consisting of perforated animal teeth rather </w:t>
      </w:r>
      <w:r w:rsidR="00B76CCE" w:rsidRPr="002A1DFC">
        <w:rPr>
          <w:sz w:val="20"/>
          <w:szCs w:val="20"/>
          <w:lang w:val="en-US"/>
        </w:rPr>
        <w:t>feminine</w:t>
      </w:r>
      <w:r w:rsidRPr="002A1DFC">
        <w:rPr>
          <w:sz w:val="20"/>
          <w:szCs w:val="20"/>
          <w:lang w:val="en-US"/>
        </w:rPr>
        <w:t>.</w:t>
      </w:r>
      <w:r w:rsidR="00D753C1" w:rsidRPr="002A1DFC">
        <w:rPr>
          <w:sz w:val="20"/>
          <w:szCs w:val="20"/>
          <w:lang w:val="en-US"/>
        </w:rPr>
        <w:t xml:space="preserve"> </w:t>
      </w:r>
      <w:r w:rsidRPr="002A1DFC">
        <w:rPr>
          <w:sz w:val="20"/>
          <w:szCs w:val="20"/>
          <w:lang w:val="en-US"/>
        </w:rPr>
        <w:t xml:space="preserve">Schuldt </w:t>
      </w:r>
      <w:r w:rsidR="00407642" w:rsidRPr="002A1DFC">
        <w:rPr>
          <w:noProof/>
          <w:sz w:val="20"/>
          <w:szCs w:val="20"/>
          <w:lang w:val="en-US"/>
        </w:rPr>
        <w:t>(1961</w:t>
      </w:r>
      <w:r w:rsidR="00582D48" w:rsidRPr="002A1DFC">
        <w:rPr>
          <w:noProof/>
          <w:sz w:val="20"/>
          <w:szCs w:val="20"/>
          <w:lang w:val="en-US"/>
        </w:rPr>
        <w:t>,</w:t>
      </w:r>
      <w:r w:rsidR="00407642" w:rsidRPr="002A1DFC">
        <w:rPr>
          <w:noProof/>
          <w:sz w:val="20"/>
          <w:szCs w:val="20"/>
          <w:lang w:val="en-US"/>
        </w:rPr>
        <w:t xml:space="preserve"> 172-175)</w:t>
      </w:r>
      <w:r w:rsidR="00D753C1" w:rsidRPr="002A1DFC">
        <w:rPr>
          <w:sz w:val="20"/>
          <w:szCs w:val="20"/>
          <w:lang w:val="en-US"/>
        </w:rPr>
        <w:t xml:space="preserve"> follows the previous archaeological gender-criteria, and further underlines the association of amber pendants and fish hooks with male individuals. </w:t>
      </w:r>
      <w:proofErr w:type="spellStart"/>
      <w:r w:rsidR="00A36932" w:rsidRPr="002A1DFC">
        <w:rPr>
          <w:sz w:val="20"/>
          <w:szCs w:val="20"/>
          <w:lang w:val="en-US"/>
        </w:rPr>
        <w:t>Schiesberg’s</w:t>
      </w:r>
      <w:proofErr w:type="spellEnd"/>
      <w:r w:rsidR="00A36932" w:rsidRPr="002A1DFC">
        <w:rPr>
          <w:sz w:val="20"/>
          <w:szCs w:val="20"/>
          <w:lang w:val="en-US"/>
        </w:rPr>
        <w:t xml:space="preserve"> small seriation</w:t>
      </w:r>
      <w:r w:rsidR="00A63C9F" w:rsidRPr="002A1DFC">
        <w:rPr>
          <w:sz w:val="20"/>
          <w:szCs w:val="20"/>
          <w:lang w:val="en-US"/>
        </w:rPr>
        <w:t xml:space="preserve"> of 11 burials</w:t>
      </w:r>
      <w:r w:rsidR="002A207B" w:rsidRPr="002A1DFC">
        <w:rPr>
          <w:sz w:val="20"/>
          <w:szCs w:val="20"/>
          <w:lang w:val="en-US"/>
        </w:rPr>
        <w:t xml:space="preserve"> </w:t>
      </w:r>
      <w:r w:rsidR="00407642" w:rsidRPr="002A1DFC">
        <w:rPr>
          <w:noProof/>
          <w:sz w:val="20"/>
          <w:szCs w:val="20"/>
          <w:lang w:val="en-US"/>
        </w:rPr>
        <w:t>(2013</w:t>
      </w:r>
      <w:r w:rsidR="00582D48" w:rsidRPr="002A1DFC">
        <w:rPr>
          <w:noProof/>
          <w:sz w:val="20"/>
          <w:szCs w:val="20"/>
          <w:lang w:val="en-US"/>
        </w:rPr>
        <w:t>,</w:t>
      </w:r>
      <w:r w:rsidR="00407642" w:rsidRPr="002A1DFC">
        <w:rPr>
          <w:noProof/>
          <w:sz w:val="20"/>
          <w:szCs w:val="20"/>
          <w:lang w:val="en-US"/>
        </w:rPr>
        <w:t xml:space="preserve"> 202, fig. 6)</w:t>
      </w:r>
      <w:r w:rsidR="002D6115" w:rsidRPr="002A1DFC">
        <w:rPr>
          <w:sz w:val="20"/>
          <w:szCs w:val="20"/>
          <w:lang w:val="en-US"/>
        </w:rPr>
        <w:t>,</w:t>
      </w:r>
      <w:r w:rsidR="00A63C9F" w:rsidRPr="002A1DFC">
        <w:rPr>
          <w:sz w:val="20"/>
          <w:szCs w:val="20"/>
          <w:lang w:val="en-US"/>
        </w:rPr>
        <w:t xml:space="preserve"> which includes more </w:t>
      </w:r>
      <w:r w:rsidR="00B76CCE" w:rsidRPr="002A1DFC">
        <w:rPr>
          <w:sz w:val="20"/>
          <w:szCs w:val="20"/>
          <w:lang w:val="en-US"/>
        </w:rPr>
        <w:t xml:space="preserve">osteological </w:t>
      </w:r>
      <w:r w:rsidR="00A63C9F" w:rsidRPr="002A1DFC">
        <w:rPr>
          <w:sz w:val="20"/>
          <w:szCs w:val="20"/>
          <w:lang w:val="en-US"/>
        </w:rPr>
        <w:t>female individuals than previously determined,</w:t>
      </w:r>
      <w:r w:rsidR="002A207B" w:rsidRPr="002A1DFC">
        <w:rPr>
          <w:sz w:val="20"/>
          <w:szCs w:val="20"/>
          <w:lang w:val="en-US"/>
        </w:rPr>
        <w:t xml:space="preserve"> </w:t>
      </w:r>
      <w:r w:rsidR="00E02C6B" w:rsidRPr="002A1DFC">
        <w:rPr>
          <w:sz w:val="20"/>
          <w:szCs w:val="20"/>
          <w:lang w:val="en-US"/>
        </w:rPr>
        <w:t>c</w:t>
      </w:r>
      <w:r w:rsidR="00A63C9F" w:rsidRPr="002A1DFC">
        <w:rPr>
          <w:sz w:val="20"/>
          <w:szCs w:val="20"/>
          <w:lang w:val="en-US"/>
        </w:rPr>
        <w:t xml:space="preserve">ould </w:t>
      </w:r>
      <w:r w:rsidR="002D6115" w:rsidRPr="002A1DFC">
        <w:rPr>
          <w:sz w:val="20"/>
          <w:szCs w:val="20"/>
          <w:lang w:val="en-US"/>
        </w:rPr>
        <w:t>imply</w:t>
      </w:r>
      <w:r w:rsidR="00A63C9F" w:rsidRPr="002A1DFC">
        <w:rPr>
          <w:sz w:val="20"/>
          <w:szCs w:val="20"/>
          <w:lang w:val="en-US"/>
        </w:rPr>
        <w:t xml:space="preserve"> that perforated animal teeth, flint artefacts (other than axes and arrowheads), ceramic vessels and bone/antler tools are associated with both sexes and </w:t>
      </w:r>
      <w:r w:rsidR="0059756B" w:rsidRPr="002A1DFC">
        <w:rPr>
          <w:sz w:val="20"/>
          <w:szCs w:val="20"/>
          <w:lang w:val="en-US"/>
        </w:rPr>
        <w:t xml:space="preserve">are </w:t>
      </w:r>
      <w:r w:rsidR="00A63C9F" w:rsidRPr="002A1DFC">
        <w:rPr>
          <w:sz w:val="20"/>
          <w:szCs w:val="20"/>
          <w:lang w:val="en-US"/>
        </w:rPr>
        <w:t xml:space="preserve">therefore ‘indifferent attributes’. </w:t>
      </w:r>
      <w:r w:rsidR="005924C3" w:rsidRPr="002A1DFC">
        <w:rPr>
          <w:sz w:val="20"/>
          <w:szCs w:val="20"/>
          <w:lang w:val="en-US"/>
        </w:rPr>
        <w:t>The author’s</w:t>
      </w:r>
      <w:r w:rsidR="00E02C6B" w:rsidRPr="002A1DFC">
        <w:rPr>
          <w:sz w:val="20"/>
          <w:szCs w:val="20"/>
          <w:lang w:val="en-US"/>
        </w:rPr>
        <w:t xml:space="preserve"> figure could also confirm the previous general </w:t>
      </w:r>
      <w:r w:rsidR="00B76CCE" w:rsidRPr="002A1DFC">
        <w:rPr>
          <w:sz w:val="20"/>
          <w:szCs w:val="20"/>
          <w:lang w:val="en-US"/>
        </w:rPr>
        <w:t xml:space="preserve">masculine </w:t>
      </w:r>
      <w:r w:rsidR="00E02C6B" w:rsidRPr="002A1DFC">
        <w:rPr>
          <w:sz w:val="20"/>
          <w:szCs w:val="20"/>
          <w:lang w:val="en-US"/>
        </w:rPr>
        <w:t xml:space="preserve">attributes of axes, arrowheads, hammerstones, and amber artefacts. </w:t>
      </w:r>
      <w:r w:rsidR="002D6115" w:rsidRPr="002A1DFC">
        <w:rPr>
          <w:sz w:val="20"/>
          <w:szCs w:val="20"/>
          <w:lang w:val="en-US"/>
        </w:rPr>
        <w:t>However, t</w:t>
      </w:r>
      <w:r w:rsidR="00773F2A" w:rsidRPr="002A1DFC">
        <w:rPr>
          <w:sz w:val="20"/>
          <w:szCs w:val="20"/>
          <w:lang w:val="en-US"/>
        </w:rPr>
        <w:t>he categories used are broader than the ones used by the site excavators</w:t>
      </w:r>
      <w:r w:rsidR="00E02C6B" w:rsidRPr="002A1DFC">
        <w:rPr>
          <w:sz w:val="20"/>
          <w:szCs w:val="20"/>
          <w:lang w:val="en-US"/>
        </w:rPr>
        <w:t xml:space="preserve">, and such interpretations regarding ‘gendered attributes’ are not addressed in the article, which was focused on the practice of secondary burial rites. Finally, </w:t>
      </w:r>
      <w:proofErr w:type="spellStart"/>
      <w:r w:rsidR="00E02C6B" w:rsidRPr="002A1DFC">
        <w:rPr>
          <w:sz w:val="20"/>
          <w:szCs w:val="20"/>
          <w:lang w:val="en-US"/>
        </w:rPr>
        <w:t>Ostorf-Tannenwerder</w:t>
      </w:r>
      <w:proofErr w:type="spellEnd"/>
      <w:r w:rsidR="00275CAB">
        <w:rPr>
          <w:sz w:val="20"/>
          <w:szCs w:val="20"/>
          <w:lang w:val="en-US"/>
        </w:rPr>
        <w:t xml:space="preserve"> is</w:t>
      </w:r>
      <w:r w:rsidR="00E02C6B" w:rsidRPr="002A1DFC">
        <w:rPr>
          <w:sz w:val="20"/>
          <w:szCs w:val="20"/>
          <w:lang w:val="en-US"/>
        </w:rPr>
        <w:t xml:space="preserve"> a site which has been frequently questioned regarding neolithization processes in Northern Europe </w:t>
      </w:r>
      <w:r w:rsidR="00407642" w:rsidRPr="002A1DFC">
        <w:rPr>
          <w:sz w:val="20"/>
          <w:lang w:val="en-US"/>
        </w:rPr>
        <w:t>(Bastian 1961</w:t>
      </w:r>
      <w:r w:rsidR="00582D48" w:rsidRPr="002A1DFC">
        <w:rPr>
          <w:sz w:val="20"/>
          <w:lang w:val="en-US"/>
        </w:rPr>
        <w:t>,</w:t>
      </w:r>
      <w:r w:rsidR="00407642" w:rsidRPr="002A1DFC">
        <w:rPr>
          <w:sz w:val="20"/>
          <w:lang w:val="en-US"/>
        </w:rPr>
        <w:t xml:space="preserve"> 109; </w:t>
      </w:r>
      <w:proofErr w:type="spellStart"/>
      <w:r w:rsidR="00407642" w:rsidRPr="002A1DFC">
        <w:rPr>
          <w:sz w:val="20"/>
          <w:lang w:val="en-US"/>
        </w:rPr>
        <w:t>Lübke</w:t>
      </w:r>
      <w:proofErr w:type="spellEnd"/>
      <w:r w:rsidR="00407642" w:rsidRPr="002A1DFC">
        <w:rPr>
          <w:sz w:val="20"/>
          <w:lang w:val="en-US"/>
        </w:rPr>
        <w:t xml:space="preserve"> </w:t>
      </w:r>
      <w:r w:rsidR="00407642" w:rsidRPr="00CA6877">
        <w:rPr>
          <w:i/>
          <w:sz w:val="20"/>
          <w:lang w:val="en-US"/>
        </w:rPr>
        <w:t>et al.</w:t>
      </w:r>
      <w:r w:rsidR="00407642" w:rsidRPr="002A1DFC">
        <w:rPr>
          <w:sz w:val="20"/>
          <w:lang w:val="en-US"/>
        </w:rPr>
        <w:t xml:space="preserve"> 2007; </w:t>
      </w:r>
      <w:proofErr w:type="spellStart"/>
      <w:r w:rsidR="00407642" w:rsidRPr="002A1DFC">
        <w:rPr>
          <w:sz w:val="20"/>
          <w:lang w:val="en-US"/>
        </w:rPr>
        <w:t>Schiesberg</w:t>
      </w:r>
      <w:proofErr w:type="spellEnd"/>
      <w:r w:rsidR="00407642" w:rsidRPr="002A1DFC">
        <w:rPr>
          <w:sz w:val="20"/>
          <w:lang w:val="en-US"/>
        </w:rPr>
        <w:t xml:space="preserve"> 2013)</w:t>
      </w:r>
      <w:r w:rsidR="00E02C6B" w:rsidRPr="002A1DFC">
        <w:rPr>
          <w:sz w:val="20"/>
          <w:szCs w:val="20"/>
          <w:lang w:val="en-US"/>
        </w:rPr>
        <w:t xml:space="preserve">, </w:t>
      </w:r>
      <w:r w:rsidR="00E4679C" w:rsidRPr="002A1DFC">
        <w:rPr>
          <w:sz w:val="20"/>
          <w:szCs w:val="20"/>
          <w:lang w:val="en-US"/>
        </w:rPr>
        <w:t>as it</w:t>
      </w:r>
      <w:r w:rsidR="00E02C6B" w:rsidRPr="002A1DFC">
        <w:rPr>
          <w:sz w:val="20"/>
          <w:szCs w:val="20"/>
          <w:lang w:val="en-US"/>
        </w:rPr>
        <w:t xml:space="preserve"> </w:t>
      </w:r>
      <w:r w:rsidR="00E4679C" w:rsidRPr="002A1DFC">
        <w:rPr>
          <w:sz w:val="20"/>
          <w:szCs w:val="20"/>
          <w:lang w:val="en-US"/>
        </w:rPr>
        <w:t xml:space="preserve">has </w:t>
      </w:r>
      <w:r w:rsidR="00E02C6B" w:rsidRPr="002A1DFC">
        <w:rPr>
          <w:sz w:val="20"/>
          <w:szCs w:val="20"/>
          <w:lang w:val="en-US"/>
        </w:rPr>
        <w:t xml:space="preserve">yielded </w:t>
      </w:r>
      <w:r w:rsidR="00E4679C" w:rsidRPr="002A1DFC">
        <w:rPr>
          <w:sz w:val="20"/>
          <w:szCs w:val="20"/>
          <w:lang w:val="en-US"/>
        </w:rPr>
        <w:t xml:space="preserve">numerous </w:t>
      </w:r>
      <w:r w:rsidR="00E02C6B" w:rsidRPr="002A1DFC">
        <w:rPr>
          <w:sz w:val="20"/>
          <w:szCs w:val="20"/>
          <w:lang w:val="en-US"/>
        </w:rPr>
        <w:t>objects related to hunting activities (e.g. arrowheads, animal bones/teeth). The ‘Man-the-Hunter’-</w:t>
      </w:r>
      <w:r w:rsidR="00E4679C" w:rsidRPr="002A1DFC">
        <w:rPr>
          <w:sz w:val="20"/>
          <w:szCs w:val="20"/>
          <w:lang w:val="en-US"/>
        </w:rPr>
        <w:t>t</w:t>
      </w:r>
      <w:r w:rsidR="00E02C6B" w:rsidRPr="002A1DFC">
        <w:rPr>
          <w:sz w:val="20"/>
          <w:szCs w:val="20"/>
          <w:lang w:val="en-US"/>
        </w:rPr>
        <w:t xml:space="preserve">heme is therefore implicit throughout the site-publications. </w:t>
      </w:r>
    </w:p>
    <w:p w14:paraId="34118344" w14:textId="522C85F9" w:rsidR="00E02C6B" w:rsidRPr="00CA6877" w:rsidRDefault="00605888" w:rsidP="00985F7D">
      <w:pPr>
        <w:jc w:val="both"/>
        <w:rPr>
          <w:bCs/>
          <w:sz w:val="20"/>
          <w:szCs w:val="20"/>
          <w:lang w:val="en-US"/>
        </w:rPr>
      </w:pPr>
      <w:r w:rsidRPr="002A1DFC">
        <w:rPr>
          <w:b/>
          <w:sz w:val="20"/>
          <w:szCs w:val="20"/>
          <w:lang w:val="en-US"/>
        </w:rPr>
        <w:t>Data use and reconstruction for this article</w:t>
      </w:r>
      <w:r w:rsidR="003B32D0" w:rsidRPr="002A1DFC">
        <w:rPr>
          <w:b/>
          <w:sz w:val="20"/>
          <w:szCs w:val="20"/>
          <w:lang w:val="en-US"/>
        </w:rPr>
        <w:t>:</w:t>
      </w:r>
      <w:r w:rsidR="009569D2" w:rsidRPr="002A1DFC">
        <w:rPr>
          <w:b/>
          <w:sz w:val="20"/>
          <w:szCs w:val="20"/>
          <w:lang w:val="en-US"/>
        </w:rPr>
        <w:t xml:space="preserve"> </w:t>
      </w:r>
      <w:r w:rsidR="002D6115" w:rsidRPr="002A1DFC">
        <w:rPr>
          <w:sz w:val="20"/>
          <w:szCs w:val="20"/>
          <w:lang w:val="en-US"/>
        </w:rPr>
        <w:t>The ‘old’ sex</w:t>
      </w:r>
      <w:r w:rsidR="00E02C6B" w:rsidRPr="002A1DFC">
        <w:rPr>
          <w:sz w:val="20"/>
          <w:szCs w:val="20"/>
          <w:lang w:val="en-US"/>
        </w:rPr>
        <w:t>-</w:t>
      </w:r>
      <w:r w:rsidR="002D6115" w:rsidRPr="002A1DFC">
        <w:rPr>
          <w:sz w:val="20"/>
          <w:szCs w:val="20"/>
          <w:lang w:val="en-US"/>
        </w:rPr>
        <w:t xml:space="preserve">data is based on </w:t>
      </w:r>
      <w:proofErr w:type="spellStart"/>
      <w:r w:rsidR="002D6115" w:rsidRPr="002A1DFC">
        <w:rPr>
          <w:sz w:val="20"/>
          <w:szCs w:val="20"/>
          <w:lang w:val="en-US"/>
        </w:rPr>
        <w:t>Asmus</w:t>
      </w:r>
      <w:proofErr w:type="spellEnd"/>
      <w:r w:rsidR="002D6115" w:rsidRPr="002A1DFC">
        <w:rPr>
          <w:sz w:val="20"/>
          <w:szCs w:val="20"/>
          <w:lang w:val="en-US"/>
        </w:rPr>
        <w:t>’ and Grimm’s results, which are indicated in their respective publications and in the grave inventories of Bastian</w:t>
      </w:r>
      <w:r w:rsidR="00014A5E" w:rsidRPr="002A1DFC">
        <w:rPr>
          <w:sz w:val="20"/>
          <w:szCs w:val="20"/>
          <w:lang w:val="en-US"/>
        </w:rPr>
        <w:t xml:space="preserve"> </w:t>
      </w:r>
      <w:r w:rsidR="002D6115" w:rsidRPr="002A1DFC">
        <w:rPr>
          <w:sz w:val="20"/>
          <w:szCs w:val="20"/>
          <w:lang w:val="en-US"/>
        </w:rPr>
        <w:t>and Schuld</w:t>
      </w:r>
      <w:r w:rsidR="00014A5E" w:rsidRPr="002A1DFC">
        <w:rPr>
          <w:sz w:val="20"/>
          <w:szCs w:val="20"/>
          <w:lang w:val="en-US"/>
        </w:rPr>
        <w:t>t</w:t>
      </w:r>
      <w:r w:rsidR="002D6115" w:rsidRPr="002A1DFC">
        <w:rPr>
          <w:sz w:val="20"/>
          <w:szCs w:val="20"/>
          <w:lang w:val="en-US"/>
        </w:rPr>
        <w:t xml:space="preserve">. </w:t>
      </w:r>
      <w:r w:rsidR="009569D2" w:rsidRPr="002A1DFC">
        <w:rPr>
          <w:bCs/>
          <w:sz w:val="20"/>
          <w:szCs w:val="20"/>
          <w:lang w:val="en-US"/>
        </w:rPr>
        <w:t xml:space="preserve">The </w:t>
      </w:r>
      <w:r w:rsidR="008F4666" w:rsidRPr="002A1DFC">
        <w:rPr>
          <w:bCs/>
          <w:sz w:val="20"/>
          <w:szCs w:val="20"/>
          <w:lang w:val="en-US"/>
        </w:rPr>
        <w:t>gender-data</w:t>
      </w:r>
      <w:r w:rsidR="009569D2" w:rsidRPr="002A1DFC">
        <w:rPr>
          <w:bCs/>
          <w:sz w:val="20"/>
          <w:szCs w:val="20"/>
          <w:lang w:val="en-US"/>
        </w:rPr>
        <w:t xml:space="preserve"> is based on the occasional indications in the grave inventories </w:t>
      </w:r>
      <w:r w:rsidR="00096579" w:rsidRPr="002A1DFC">
        <w:rPr>
          <w:bCs/>
          <w:noProof/>
          <w:sz w:val="20"/>
          <w:szCs w:val="20"/>
          <w:lang w:val="en-US"/>
        </w:rPr>
        <w:t>(Bastian 1961; Schuldt 1961)</w:t>
      </w:r>
      <w:r w:rsidR="009569D2" w:rsidRPr="002A1DFC">
        <w:rPr>
          <w:bCs/>
          <w:sz w:val="20"/>
          <w:szCs w:val="20"/>
          <w:lang w:val="en-US"/>
        </w:rPr>
        <w:t xml:space="preserve">. In the case </w:t>
      </w:r>
      <w:r w:rsidR="00FF2637" w:rsidRPr="002A1DFC">
        <w:rPr>
          <w:bCs/>
          <w:sz w:val="20"/>
          <w:szCs w:val="20"/>
          <w:lang w:val="en-US"/>
        </w:rPr>
        <w:t xml:space="preserve">burials are associated with objects considered </w:t>
      </w:r>
      <w:r w:rsidR="00B76CCE" w:rsidRPr="002A1DFC">
        <w:rPr>
          <w:bCs/>
          <w:sz w:val="20"/>
          <w:szCs w:val="20"/>
          <w:lang w:val="en-US"/>
        </w:rPr>
        <w:t xml:space="preserve">masculine </w:t>
      </w:r>
      <w:r w:rsidR="00FF2637" w:rsidRPr="002A1DFC">
        <w:rPr>
          <w:bCs/>
          <w:sz w:val="20"/>
          <w:szCs w:val="20"/>
          <w:lang w:val="en-US"/>
        </w:rPr>
        <w:t xml:space="preserve">or </w:t>
      </w:r>
      <w:r w:rsidR="00B76CCE" w:rsidRPr="002A1DFC">
        <w:rPr>
          <w:bCs/>
          <w:sz w:val="20"/>
          <w:szCs w:val="20"/>
          <w:lang w:val="en-US"/>
        </w:rPr>
        <w:t xml:space="preserve">feminine </w:t>
      </w:r>
      <w:r w:rsidR="00FF2637" w:rsidRPr="002A1DFC">
        <w:rPr>
          <w:bCs/>
          <w:sz w:val="20"/>
          <w:szCs w:val="20"/>
          <w:lang w:val="en-US"/>
        </w:rPr>
        <w:t>attributes</w:t>
      </w:r>
      <w:r w:rsidR="00096579" w:rsidRPr="002A1DFC">
        <w:rPr>
          <w:bCs/>
          <w:sz w:val="20"/>
          <w:szCs w:val="20"/>
          <w:lang w:val="en-US"/>
        </w:rPr>
        <w:t xml:space="preserve"> </w:t>
      </w:r>
      <w:r w:rsidR="00014A5E" w:rsidRPr="002A1DFC">
        <w:rPr>
          <w:bCs/>
          <w:sz w:val="20"/>
          <w:szCs w:val="20"/>
          <w:lang w:val="en-US"/>
        </w:rPr>
        <w:t>in the interpretati</w:t>
      </w:r>
      <w:r w:rsidR="00E02C6B" w:rsidRPr="002A1DFC">
        <w:rPr>
          <w:bCs/>
          <w:sz w:val="20"/>
          <w:szCs w:val="20"/>
          <w:lang w:val="en-US"/>
        </w:rPr>
        <w:t xml:space="preserve">ons of ‘gendered’ burial practices </w:t>
      </w:r>
      <w:r w:rsidR="00407642" w:rsidRPr="002A1DFC">
        <w:rPr>
          <w:bCs/>
          <w:noProof/>
          <w:sz w:val="20"/>
          <w:szCs w:val="20"/>
          <w:lang w:val="en-US"/>
        </w:rPr>
        <w:t>(Bastian 1961</w:t>
      </w:r>
      <w:r w:rsidR="00582D48" w:rsidRPr="002A1DFC">
        <w:rPr>
          <w:bCs/>
          <w:noProof/>
          <w:sz w:val="20"/>
          <w:szCs w:val="20"/>
          <w:lang w:val="en-US"/>
        </w:rPr>
        <w:t>,</w:t>
      </w:r>
      <w:r w:rsidR="00407642" w:rsidRPr="002A1DFC">
        <w:rPr>
          <w:bCs/>
          <w:noProof/>
          <w:sz w:val="20"/>
          <w:szCs w:val="20"/>
          <w:lang w:val="en-US"/>
        </w:rPr>
        <w:t xml:space="preserve"> 77-106; Schuldt 1961</w:t>
      </w:r>
      <w:r w:rsidR="00582D48" w:rsidRPr="002A1DFC">
        <w:rPr>
          <w:bCs/>
          <w:noProof/>
          <w:sz w:val="20"/>
          <w:szCs w:val="20"/>
          <w:lang w:val="en-US"/>
        </w:rPr>
        <w:t>,</w:t>
      </w:r>
      <w:r w:rsidR="00407642" w:rsidRPr="002A1DFC">
        <w:rPr>
          <w:bCs/>
          <w:noProof/>
          <w:sz w:val="20"/>
          <w:szCs w:val="20"/>
          <w:lang w:val="en-US"/>
        </w:rPr>
        <w:t xml:space="preserve"> 172-175)</w:t>
      </w:r>
      <w:r w:rsidR="00E02C6B" w:rsidRPr="002A1DFC">
        <w:rPr>
          <w:bCs/>
          <w:sz w:val="20"/>
          <w:szCs w:val="20"/>
          <w:lang w:val="en-US"/>
        </w:rPr>
        <w:t xml:space="preserve"> </w:t>
      </w:r>
      <w:r w:rsidR="00096579" w:rsidRPr="002A1DFC">
        <w:rPr>
          <w:bCs/>
          <w:sz w:val="20"/>
          <w:szCs w:val="20"/>
          <w:lang w:val="en-US"/>
        </w:rPr>
        <w:t>and</w:t>
      </w:r>
      <w:r w:rsidR="00FF2637" w:rsidRPr="002A1DFC">
        <w:rPr>
          <w:bCs/>
          <w:sz w:val="20"/>
          <w:szCs w:val="20"/>
          <w:lang w:val="en-US"/>
        </w:rPr>
        <w:t xml:space="preserve"> a </w:t>
      </w:r>
      <w:r w:rsidR="008F4666" w:rsidRPr="002A1DFC">
        <w:rPr>
          <w:bCs/>
          <w:sz w:val="20"/>
          <w:szCs w:val="20"/>
          <w:lang w:val="en-US"/>
        </w:rPr>
        <w:t>gender-determination</w:t>
      </w:r>
      <w:r w:rsidR="00FF2637" w:rsidRPr="002A1DFC">
        <w:rPr>
          <w:bCs/>
          <w:sz w:val="20"/>
          <w:szCs w:val="20"/>
          <w:lang w:val="en-US"/>
        </w:rPr>
        <w:t xml:space="preserve"> was not made explicit by the authors, the </w:t>
      </w:r>
      <w:r w:rsidR="008F4666" w:rsidRPr="002A1DFC">
        <w:rPr>
          <w:bCs/>
          <w:sz w:val="20"/>
          <w:szCs w:val="20"/>
          <w:lang w:val="en-US"/>
        </w:rPr>
        <w:t>gender-determination</w:t>
      </w:r>
      <w:r w:rsidR="00FF2637" w:rsidRPr="002A1DFC">
        <w:rPr>
          <w:bCs/>
          <w:sz w:val="20"/>
          <w:szCs w:val="20"/>
          <w:lang w:val="en-US"/>
        </w:rPr>
        <w:t xml:space="preserve"> was completed. </w:t>
      </w:r>
      <w:r w:rsidR="00E4679C" w:rsidRPr="002A1DFC">
        <w:rPr>
          <w:bCs/>
          <w:sz w:val="20"/>
          <w:szCs w:val="20"/>
          <w:lang w:val="en-US"/>
        </w:rPr>
        <w:t xml:space="preserve">The ‘new’ sex-data is based on </w:t>
      </w:r>
      <w:proofErr w:type="spellStart"/>
      <w:r w:rsidR="00E4679C" w:rsidRPr="002A1DFC">
        <w:rPr>
          <w:bCs/>
          <w:sz w:val="20"/>
          <w:szCs w:val="20"/>
          <w:lang w:val="en-US"/>
        </w:rPr>
        <w:t>Patolla’s</w:t>
      </w:r>
      <w:proofErr w:type="spellEnd"/>
      <w:r w:rsidR="00E4679C" w:rsidRPr="002A1DFC">
        <w:rPr>
          <w:bCs/>
          <w:sz w:val="20"/>
          <w:szCs w:val="20"/>
          <w:lang w:val="en-US"/>
        </w:rPr>
        <w:t xml:space="preserve"> results </w:t>
      </w:r>
      <w:r w:rsidR="00407642" w:rsidRPr="002A1DFC">
        <w:rPr>
          <w:bCs/>
          <w:noProof/>
          <w:sz w:val="20"/>
          <w:szCs w:val="20"/>
          <w:lang w:val="en-US"/>
        </w:rPr>
        <w:t>(accessible in Schiesberg 2013)</w:t>
      </w:r>
      <w:r w:rsidR="00E4679C" w:rsidRPr="002A1DFC">
        <w:rPr>
          <w:bCs/>
          <w:sz w:val="20"/>
          <w:szCs w:val="20"/>
          <w:lang w:val="en-US"/>
        </w:rPr>
        <w:t xml:space="preserve"> and the gender on the ‘old’ dataset</w:t>
      </w:r>
      <w:r w:rsidR="00B354DD" w:rsidRPr="002A1DFC">
        <w:rPr>
          <w:bCs/>
          <w:sz w:val="20"/>
          <w:szCs w:val="20"/>
          <w:lang w:val="en-US"/>
        </w:rPr>
        <w:t xml:space="preserve">, in lack of a thorough re-evaluation of the site including both, archaeological and </w:t>
      </w:r>
      <w:r w:rsidR="009D7719" w:rsidRPr="002A1DFC">
        <w:rPr>
          <w:bCs/>
          <w:sz w:val="20"/>
          <w:szCs w:val="20"/>
          <w:lang w:val="en-US"/>
        </w:rPr>
        <w:t xml:space="preserve">osteological </w:t>
      </w:r>
      <w:r w:rsidR="00B354DD" w:rsidRPr="002A1DFC">
        <w:rPr>
          <w:bCs/>
          <w:sz w:val="20"/>
          <w:szCs w:val="20"/>
          <w:lang w:val="en-US"/>
        </w:rPr>
        <w:t>aspects</w:t>
      </w:r>
      <w:r w:rsidR="00E4679C" w:rsidRPr="002A1DFC">
        <w:rPr>
          <w:bCs/>
          <w:sz w:val="20"/>
          <w:szCs w:val="20"/>
          <w:lang w:val="en-US"/>
        </w:rPr>
        <w:t xml:space="preserve">. </w:t>
      </w:r>
    </w:p>
    <w:p w14:paraId="64165C2F" w14:textId="7E7D31B9" w:rsidR="00096579" w:rsidRPr="002A1DFC" w:rsidRDefault="00551D09" w:rsidP="00985F7D">
      <w:pPr>
        <w:jc w:val="both"/>
        <w:rPr>
          <w:b/>
          <w:sz w:val="20"/>
          <w:szCs w:val="20"/>
          <w:lang w:val="en-US"/>
        </w:rPr>
      </w:pPr>
      <w:r w:rsidRPr="002A1DFC">
        <w:rPr>
          <w:b/>
          <w:sz w:val="20"/>
          <w:szCs w:val="20"/>
          <w:lang w:val="en-US"/>
        </w:rPr>
        <w:t>S</w:t>
      </w:r>
      <w:r w:rsidR="00CA3F4F" w:rsidRPr="002A1DFC">
        <w:rPr>
          <w:b/>
          <w:sz w:val="20"/>
          <w:szCs w:val="20"/>
          <w:lang w:val="en-US"/>
        </w:rPr>
        <w:t>ex and gender associations</w:t>
      </w:r>
      <w:r w:rsidR="003B32D0" w:rsidRPr="002A1DFC">
        <w:rPr>
          <w:b/>
          <w:sz w:val="20"/>
          <w:szCs w:val="20"/>
          <w:lang w:val="en-US"/>
        </w:rPr>
        <w:t xml:space="preserve">: </w:t>
      </w:r>
      <w:r w:rsidR="00014A5E" w:rsidRPr="002A1DFC">
        <w:rPr>
          <w:bCs/>
          <w:sz w:val="20"/>
          <w:szCs w:val="20"/>
          <w:lang w:val="en-US"/>
        </w:rPr>
        <w:t>Associations i</w:t>
      </w:r>
      <w:r w:rsidR="00CE4B74" w:rsidRPr="002A1DFC">
        <w:rPr>
          <w:bCs/>
          <w:sz w:val="20"/>
          <w:szCs w:val="20"/>
          <w:lang w:val="en-US"/>
        </w:rPr>
        <w:t>ncluding the ‘old’ sex-</w:t>
      </w:r>
      <w:r w:rsidR="00096579" w:rsidRPr="002A1DFC">
        <w:rPr>
          <w:bCs/>
          <w:sz w:val="20"/>
          <w:szCs w:val="20"/>
          <w:lang w:val="en-US"/>
        </w:rPr>
        <w:t>data</w:t>
      </w:r>
      <w:r w:rsidR="00E4679C" w:rsidRPr="002A1DFC">
        <w:rPr>
          <w:bCs/>
          <w:sz w:val="20"/>
          <w:szCs w:val="20"/>
          <w:lang w:val="en-US"/>
        </w:rPr>
        <w:t xml:space="preserve"> (total n = 39)</w:t>
      </w:r>
      <w:r w:rsidR="00096579" w:rsidRPr="002A1DFC">
        <w:rPr>
          <w:bCs/>
          <w:sz w:val="20"/>
          <w:szCs w:val="20"/>
          <w:lang w:val="en-US"/>
        </w:rPr>
        <w:t xml:space="preserve">: </w:t>
      </w:r>
      <w:r w:rsidR="00DE0C73" w:rsidRPr="002A1DFC">
        <w:rPr>
          <w:bCs/>
          <w:sz w:val="20"/>
          <w:szCs w:val="20"/>
          <w:lang w:val="en-US"/>
        </w:rPr>
        <w:t>match (n) = 1</w:t>
      </w:r>
      <w:r w:rsidR="00CE4B74" w:rsidRPr="002A1DFC">
        <w:rPr>
          <w:bCs/>
          <w:sz w:val="20"/>
          <w:szCs w:val="20"/>
          <w:lang w:val="en-US"/>
        </w:rPr>
        <w:t>4</w:t>
      </w:r>
      <w:r w:rsidR="00DE0C73" w:rsidRPr="002A1DFC">
        <w:rPr>
          <w:bCs/>
          <w:sz w:val="20"/>
          <w:szCs w:val="20"/>
          <w:lang w:val="en-US"/>
        </w:rPr>
        <w:t xml:space="preserve">, opposite (n) = </w:t>
      </w:r>
      <w:r w:rsidR="00CE4B74" w:rsidRPr="002A1DFC">
        <w:rPr>
          <w:bCs/>
          <w:sz w:val="20"/>
          <w:szCs w:val="20"/>
          <w:lang w:val="en-US"/>
        </w:rPr>
        <w:t>4</w:t>
      </w:r>
      <w:r w:rsidR="00DE0C73" w:rsidRPr="002A1DFC">
        <w:rPr>
          <w:bCs/>
          <w:sz w:val="20"/>
          <w:szCs w:val="20"/>
          <w:lang w:val="en-US"/>
        </w:rPr>
        <w:t xml:space="preserve">, </w:t>
      </w:r>
      <w:r w:rsidR="00096579" w:rsidRPr="002A1DFC">
        <w:rPr>
          <w:bCs/>
          <w:sz w:val="20"/>
          <w:szCs w:val="20"/>
          <w:lang w:val="en-US"/>
        </w:rPr>
        <w:t>partial</w:t>
      </w:r>
      <w:r w:rsidR="00DE0C73" w:rsidRPr="002A1DFC">
        <w:rPr>
          <w:bCs/>
          <w:sz w:val="20"/>
          <w:szCs w:val="20"/>
          <w:lang w:val="en-US"/>
        </w:rPr>
        <w:t xml:space="preserve"> (n) = </w:t>
      </w:r>
      <w:r w:rsidR="00CE4B74" w:rsidRPr="002A1DFC">
        <w:rPr>
          <w:bCs/>
          <w:sz w:val="20"/>
          <w:szCs w:val="20"/>
          <w:lang w:val="en-US"/>
        </w:rPr>
        <w:t>7</w:t>
      </w:r>
      <w:r w:rsidR="00DE0C73" w:rsidRPr="002A1DFC">
        <w:rPr>
          <w:bCs/>
          <w:sz w:val="20"/>
          <w:szCs w:val="20"/>
          <w:lang w:val="en-US"/>
        </w:rPr>
        <w:t xml:space="preserve">, </w:t>
      </w:r>
      <w:r w:rsidR="00096579" w:rsidRPr="002A1DFC">
        <w:rPr>
          <w:bCs/>
          <w:sz w:val="20"/>
          <w:szCs w:val="20"/>
          <w:lang w:val="en-US"/>
        </w:rPr>
        <w:t>no data</w:t>
      </w:r>
      <w:r w:rsidR="00DE0C73" w:rsidRPr="002A1DFC">
        <w:rPr>
          <w:bCs/>
          <w:sz w:val="20"/>
          <w:szCs w:val="20"/>
          <w:lang w:val="en-US"/>
        </w:rPr>
        <w:t xml:space="preserve"> (n) = </w:t>
      </w:r>
      <w:r w:rsidR="00096579" w:rsidRPr="002A1DFC">
        <w:rPr>
          <w:bCs/>
          <w:sz w:val="20"/>
          <w:szCs w:val="20"/>
          <w:lang w:val="en-US"/>
        </w:rPr>
        <w:t>1</w:t>
      </w:r>
      <w:r w:rsidR="00CE4B74" w:rsidRPr="002A1DFC">
        <w:rPr>
          <w:bCs/>
          <w:sz w:val="20"/>
          <w:szCs w:val="20"/>
          <w:lang w:val="en-US"/>
        </w:rPr>
        <w:t>4.</w:t>
      </w:r>
      <w:r w:rsidR="00DE0C73" w:rsidRPr="002A1DFC">
        <w:rPr>
          <w:bCs/>
          <w:sz w:val="20"/>
          <w:szCs w:val="20"/>
          <w:lang w:val="en-US"/>
        </w:rPr>
        <w:t xml:space="preserve"> </w:t>
      </w:r>
      <w:r w:rsidR="00014A5E" w:rsidRPr="002A1DFC">
        <w:rPr>
          <w:bCs/>
          <w:sz w:val="20"/>
          <w:szCs w:val="20"/>
          <w:lang w:val="en-US"/>
        </w:rPr>
        <w:t>Associations i</w:t>
      </w:r>
      <w:r w:rsidR="00CE4B74" w:rsidRPr="002A1DFC">
        <w:rPr>
          <w:bCs/>
          <w:sz w:val="20"/>
          <w:szCs w:val="20"/>
          <w:lang w:val="en-US"/>
        </w:rPr>
        <w:t>ncluding the ‘n</w:t>
      </w:r>
      <w:r w:rsidR="00096579" w:rsidRPr="002A1DFC">
        <w:rPr>
          <w:bCs/>
          <w:sz w:val="20"/>
          <w:szCs w:val="20"/>
          <w:lang w:val="en-US"/>
        </w:rPr>
        <w:t>ew</w:t>
      </w:r>
      <w:r w:rsidR="00CE4B74" w:rsidRPr="002A1DFC">
        <w:rPr>
          <w:bCs/>
          <w:sz w:val="20"/>
          <w:szCs w:val="20"/>
          <w:lang w:val="en-US"/>
        </w:rPr>
        <w:t>’</w:t>
      </w:r>
      <w:r w:rsidR="00096579" w:rsidRPr="002A1DFC">
        <w:rPr>
          <w:bCs/>
          <w:sz w:val="20"/>
          <w:szCs w:val="20"/>
          <w:lang w:val="en-US"/>
        </w:rPr>
        <w:t xml:space="preserve"> </w:t>
      </w:r>
      <w:r w:rsidR="00CE4B74" w:rsidRPr="002A1DFC">
        <w:rPr>
          <w:bCs/>
          <w:sz w:val="20"/>
          <w:szCs w:val="20"/>
          <w:lang w:val="en-US"/>
        </w:rPr>
        <w:t>sex-</w:t>
      </w:r>
      <w:r w:rsidR="00096579" w:rsidRPr="002A1DFC">
        <w:rPr>
          <w:bCs/>
          <w:sz w:val="20"/>
          <w:szCs w:val="20"/>
          <w:lang w:val="en-US"/>
        </w:rPr>
        <w:t>data</w:t>
      </w:r>
      <w:r w:rsidR="00E4679C" w:rsidRPr="002A1DFC">
        <w:rPr>
          <w:bCs/>
          <w:sz w:val="20"/>
          <w:szCs w:val="20"/>
          <w:lang w:val="en-US"/>
        </w:rPr>
        <w:t xml:space="preserve"> (total n = 70)</w:t>
      </w:r>
      <w:r w:rsidR="00096579" w:rsidRPr="002A1DFC">
        <w:rPr>
          <w:bCs/>
          <w:sz w:val="20"/>
          <w:szCs w:val="20"/>
          <w:lang w:val="en-US"/>
        </w:rPr>
        <w:t>: match (n) = 11, opposite (n) = 8, partial (n) = 24, no data (n) = 27</w:t>
      </w:r>
      <w:r w:rsidR="00CE4B74" w:rsidRPr="002A1DFC">
        <w:rPr>
          <w:bCs/>
          <w:sz w:val="20"/>
          <w:szCs w:val="20"/>
          <w:lang w:val="en-US"/>
        </w:rPr>
        <w:t>. Th</w:t>
      </w:r>
      <w:r w:rsidR="00014A5E" w:rsidRPr="002A1DFC">
        <w:rPr>
          <w:bCs/>
          <w:sz w:val="20"/>
          <w:szCs w:val="20"/>
          <w:lang w:val="en-US"/>
        </w:rPr>
        <w:t>is</w:t>
      </w:r>
      <w:r w:rsidR="00CE4B74" w:rsidRPr="002A1DFC">
        <w:rPr>
          <w:bCs/>
          <w:sz w:val="20"/>
          <w:szCs w:val="20"/>
          <w:lang w:val="en-US"/>
        </w:rPr>
        <w:t xml:space="preserve"> ‘new’ count</w:t>
      </w:r>
      <w:r w:rsidR="00096579" w:rsidRPr="002A1DFC">
        <w:rPr>
          <w:bCs/>
          <w:sz w:val="20"/>
          <w:szCs w:val="20"/>
          <w:lang w:val="en-US"/>
        </w:rPr>
        <w:t xml:space="preserve"> includ</w:t>
      </w:r>
      <w:r w:rsidR="00CE4B74" w:rsidRPr="002A1DFC">
        <w:rPr>
          <w:bCs/>
          <w:sz w:val="20"/>
          <w:szCs w:val="20"/>
          <w:lang w:val="en-US"/>
        </w:rPr>
        <w:t>es</w:t>
      </w:r>
      <w:r w:rsidR="00096579" w:rsidRPr="002A1DFC">
        <w:rPr>
          <w:bCs/>
          <w:sz w:val="20"/>
          <w:szCs w:val="20"/>
          <w:lang w:val="en-US"/>
        </w:rPr>
        <w:t xml:space="preserve"> a minimum number of </w:t>
      </w:r>
      <w:r w:rsidR="009859A9" w:rsidRPr="002A1DFC">
        <w:rPr>
          <w:bCs/>
          <w:sz w:val="20"/>
          <w:szCs w:val="20"/>
          <w:lang w:val="en-US"/>
        </w:rPr>
        <w:t>31</w:t>
      </w:r>
      <w:r w:rsidR="00096579" w:rsidRPr="002A1DFC">
        <w:rPr>
          <w:bCs/>
          <w:sz w:val="20"/>
          <w:szCs w:val="20"/>
          <w:lang w:val="en-US"/>
        </w:rPr>
        <w:t xml:space="preserve"> individuals</w:t>
      </w:r>
      <w:r w:rsidR="00CF4D85" w:rsidRPr="002A1DFC">
        <w:rPr>
          <w:bCs/>
          <w:sz w:val="20"/>
          <w:szCs w:val="20"/>
          <w:lang w:val="en-US"/>
        </w:rPr>
        <w:t>,</w:t>
      </w:r>
      <w:r w:rsidR="009859A9" w:rsidRPr="002A1DFC">
        <w:rPr>
          <w:bCs/>
          <w:sz w:val="20"/>
          <w:szCs w:val="20"/>
          <w:lang w:val="en-US"/>
        </w:rPr>
        <w:t xml:space="preserve"> which were </w:t>
      </w:r>
      <w:r w:rsidR="004A5D75" w:rsidRPr="002A1DFC">
        <w:rPr>
          <w:bCs/>
          <w:sz w:val="20"/>
          <w:szCs w:val="20"/>
          <w:lang w:val="en-US"/>
        </w:rPr>
        <w:t xml:space="preserve">only </w:t>
      </w:r>
      <w:r w:rsidR="00CF4D85" w:rsidRPr="002A1DFC">
        <w:rPr>
          <w:bCs/>
          <w:sz w:val="20"/>
          <w:szCs w:val="20"/>
          <w:lang w:val="en-US"/>
        </w:rPr>
        <w:t xml:space="preserve">retrospectively </w:t>
      </w:r>
      <w:r w:rsidR="009859A9" w:rsidRPr="002A1DFC">
        <w:rPr>
          <w:bCs/>
          <w:sz w:val="20"/>
          <w:szCs w:val="20"/>
          <w:lang w:val="en-US"/>
        </w:rPr>
        <w:t>identified as skeletal remains of secondary burials</w:t>
      </w:r>
      <w:r w:rsidR="00096579" w:rsidRPr="002A1DFC">
        <w:rPr>
          <w:bCs/>
          <w:sz w:val="20"/>
          <w:szCs w:val="20"/>
          <w:lang w:val="en-US"/>
        </w:rPr>
        <w:t xml:space="preserve">. </w:t>
      </w:r>
    </w:p>
    <w:p w14:paraId="7BA6F6EA" w14:textId="111C7C46" w:rsidR="00F166D6" w:rsidRPr="002A1DFC" w:rsidRDefault="00B013E6" w:rsidP="00985F7D">
      <w:pPr>
        <w:jc w:val="both"/>
        <w:rPr>
          <w:sz w:val="20"/>
          <w:szCs w:val="20"/>
        </w:rPr>
      </w:pPr>
      <w:r w:rsidRPr="002A1DFC">
        <w:rPr>
          <w:b/>
          <w:sz w:val="20"/>
          <w:szCs w:val="20"/>
        </w:rPr>
        <w:t>General site references:</w:t>
      </w:r>
      <w:r w:rsidRPr="002A1DFC">
        <w:rPr>
          <w:sz w:val="20"/>
          <w:szCs w:val="20"/>
        </w:rPr>
        <w:t xml:space="preserve"> </w:t>
      </w:r>
      <w:r w:rsidR="00407642" w:rsidRPr="002A1DFC">
        <w:rPr>
          <w:sz w:val="20"/>
        </w:rPr>
        <w:t xml:space="preserve">Asmus 1939; Bastian 1961; Grimm 1965; Lübke </w:t>
      </w:r>
      <w:r w:rsidR="00407642" w:rsidRPr="00CA6877">
        <w:rPr>
          <w:i/>
          <w:sz w:val="20"/>
        </w:rPr>
        <w:t>et al.</w:t>
      </w:r>
      <w:r w:rsidR="00407642" w:rsidRPr="002A1DFC">
        <w:rPr>
          <w:sz w:val="20"/>
        </w:rPr>
        <w:t xml:space="preserve"> 2007; Patolla</w:t>
      </w:r>
      <w:r w:rsidR="00582D48" w:rsidRPr="002A1DFC">
        <w:rPr>
          <w:sz w:val="20"/>
        </w:rPr>
        <w:t xml:space="preserve"> &amp;</w:t>
      </w:r>
      <w:r w:rsidR="002004DC" w:rsidRPr="002A1DFC">
        <w:rPr>
          <w:sz w:val="20"/>
        </w:rPr>
        <w:t xml:space="preserve"> </w:t>
      </w:r>
      <w:r w:rsidR="00407642" w:rsidRPr="002A1DFC">
        <w:rPr>
          <w:sz w:val="20"/>
        </w:rPr>
        <w:t>Henke 2007; Schiesberg 2013; Schuldt 1961</w:t>
      </w:r>
      <w:r w:rsidR="00582D48" w:rsidRPr="002A1DFC">
        <w:rPr>
          <w:sz w:val="20"/>
        </w:rPr>
        <w:t>.</w:t>
      </w:r>
    </w:p>
    <w:p w14:paraId="3B9B326E" w14:textId="77777777" w:rsidR="00657B4B" w:rsidRPr="002A1DFC" w:rsidRDefault="00657B4B">
      <w:pPr>
        <w:rPr>
          <w:sz w:val="20"/>
          <w:szCs w:val="20"/>
        </w:rPr>
      </w:pPr>
    </w:p>
    <w:p w14:paraId="765F0E04" w14:textId="55A86644" w:rsidR="0029211B" w:rsidRPr="002A1DFC" w:rsidRDefault="0029211B" w:rsidP="0029211B">
      <w:pPr>
        <w:rPr>
          <w:b/>
        </w:rPr>
      </w:pPr>
      <w:r w:rsidRPr="002A1DFC">
        <w:rPr>
          <w:b/>
        </w:rPr>
        <w:t>Lauda-Königshofen</w:t>
      </w:r>
      <w:r w:rsidR="00E41B77" w:rsidRPr="002A1DFC">
        <w:rPr>
          <w:b/>
        </w:rPr>
        <w:t xml:space="preserve"> ‘Wöllerspfad’</w:t>
      </w:r>
      <w:r w:rsidRPr="002A1DFC">
        <w:rPr>
          <w:b/>
        </w:rPr>
        <w:t xml:space="preserve"> (Germany)</w:t>
      </w:r>
    </w:p>
    <w:p w14:paraId="79000F8A" w14:textId="39CB50D9" w:rsidR="00E160E7" w:rsidRPr="002A1DFC" w:rsidRDefault="00E160E7" w:rsidP="00E2075F">
      <w:pPr>
        <w:jc w:val="both"/>
        <w:rPr>
          <w:sz w:val="20"/>
          <w:szCs w:val="20"/>
        </w:rPr>
      </w:pPr>
      <w:r w:rsidRPr="002A1DFC">
        <w:rPr>
          <w:b/>
          <w:sz w:val="20"/>
          <w:szCs w:val="20"/>
        </w:rPr>
        <w:t>Location</w:t>
      </w:r>
      <w:r w:rsidRPr="002A1DFC">
        <w:rPr>
          <w:sz w:val="20"/>
          <w:szCs w:val="20"/>
        </w:rPr>
        <w:t xml:space="preserve">: </w:t>
      </w:r>
      <w:r w:rsidR="007416EC" w:rsidRPr="002A1DFC">
        <w:rPr>
          <w:sz w:val="20"/>
          <w:szCs w:val="20"/>
        </w:rPr>
        <w:t>Main-Tauber-Kreis, Baden-Württemberg, Germany</w:t>
      </w:r>
      <w:r w:rsidR="008858A2">
        <w:rPr>
          <w:sz w:val="20"/>
          <w:szCs w:val="20"/>
        </w:rPr>
        <w:t>.</w:t>
      </w:r>
    </w:p>
    <w:p w14:paraId="332353BF" w14:textId="47E965D4" w:rsidR="00E160E7" w:rsidRPr="002A1DFC" w:rsidRDefault="00E160E7" w:rsidP="00E2075F">
      <w:pPr>
        <w:jc w:val="both"/>
        <w:rPr>
          <w:sz w:val="20"/>
          <w:szCs w:val="20"/>
          <w:lang w:val="en-US"/>
        </w:rPr>
      </w:pPr>
      <w:r w:rsidRPr="002A1DFC">
        <w:rPr>
          <w:b/>
          <w:sz w:val="20"/>
          <w:szCs w:val="20"/>
          <w:lang w:val="en-US"/>
        </w:rPr>
        <w:t>Excavation</w:t>
      </w:r>
      <w:r w:rsidRPr="002A1DFC">
        <w:rPr>
          <w:sz w:val="20"/>
          <w:szCs w:val="20"/>
          <w:lang w:val="en-US"/>
        </w:rPr>
        <w:t xml:space="preserve">: </w:t>
      </w:r>
      <w:r w:rsidR="007416EC" w:rsidRPr="002A1DFC">
        <w:rPr>
          <w:sz w:val="20"/>
          <w:szCs w:val="20"/>
          <w:lang w:val="en-US"/>
        </w:rPr>
        <w:t>1998-2000</w:t>
      </w:r>
      <w:r w:rsidR="00E41B77" w:rsidRPr="002A1DFC">
        <w:rPr>
          <w:sz w:val="20"/>
          <w:szCs w:val="20"/>
          <w:lang w:val="en-US"/>
        </w:rPr>
        <w:t xml:space="preserve"> (rescue-excavation</w:t>
      </w:r>
      <w:r w:rsidR="00476F19" w:rsidRPr="002A1DFC">
        <w:rPr>
          <w:sz w:val="20"/>
          <w:szCs w:val="20"/>
          <w:lang w:val="en-US"/>
        </w:rPr>
        <w:t xml:space="preserve">; </w:t>
      </w:r>
      <w:r w:rsidR="00E41B77" w:rsidRPr="002A1DFC">
        <w:rPr>
          <w:sz w:val="20"/>
          <w:szCs w:val="20"/>
          <w:lang w:val="en-US"/>
        </w:rPr>
        <w:t xml:space="preserve">C. </w:t>
      </w:r>
      <w:proofErr w:type="spellStart"/>
      <w:r w:rsidR="00E41B77" w:rsidRPr="002A1DFC">
        <w:rPr>
          <w:sz w:val="20"/>
          <w:szCs w:val="20"/>
          <w:lang w:val="en-US"/>
        </w:rPr>
        <w:t>Oeftiger</w:t>
      </w:r>
      <w:proofErr w:type="spellEnd"/>
      <w:r w:rsidR="00476F19" w:rsidRPr="002A1DFC">
        <w:rPr>
          <w:sz w:val="20"/>
          <w:szCs w:val="20"/>
          <w:lang w:val="en-US"/>
        </w:rPr>
        <w:t>)</w:t>
      </w:r>
      <w:r w:rsidR="008858A2">
        <w:rPr>
          <w:sz w:val="20"/>
          <w:szCs w:val="20"/>
          <w:lang w:val="en-US"/>
        </w:rPr>
        <w:t>.</w:t>
      </w:r>
    </w:p>
    <w:p w14:paraId="3BAC8E5C" w14:textId="33C2B0C0" w:rsidR="00D00A71" w:rsidRPr="002A1DFC" w:rsidRDefault="00E160E7" w:rsidP="00E2075F">
      <w:pPr>
        <w:jc w:val="both"/>
        <w:rPr>
          <w:sz w:val="20"/>
          <w:szCs w:val="20"/>
          <w:lang w:val="en-US"/>
        </w:rPr>
      </w:pPr>
      <w:r w:rsidRPr="002A1DFC">
        <w:rPr>
          <w:b/>
          <w:sz w:val="20"/>
          <w:szCs w:val="20"/>
          <w:lang w:val="en-US"/>
        </w:rPr>
        <w:t>Chronology</w:t>
      </w:r>
      <w:r w:rsidRPr="002A1DFC">
        <w:rPr>
          <w:sz w:val="20"/>
          <w:szCs w:val="20"/>
          <w:lang w:val="en-US"/>
        </w:rPr>
        <w:t>: Final Neolithic</w:t>
      </w:r>
      <w:r w:rsidR="00957AA8" w:rsidRPr="002A1DFC">
        <w:rPr>
          <w:sz w:val="20"/>
          <w:szCs w:val="20"/>
          <w:lang w:val="en-US"/>
        </w:rPr>
        <w:t xml:space="preserve"> (1</w:t>
      </w:r>
      <w:r w:rsidR="00957AA8" w:rsidRPr="002A1DFC">
        <w:rPr>
          <w:sz w:val="20"/>
          <w:szCs w:val="20"/>
          <w:vertAlign w:val="superscript"/>
          <w:lang w:val="en-US"/>
        </w:rPr>
        <w:t>st</w:t>
      </w:r>
      <w:r w:rsidR="00957AA8" w:rsidRPr="002A1DFC">
        <w:rPr>
          <w:sz w:val="20"/>
          <w:szCs w:val="20"/>
          <w:lang w:val="en-US"/>
        </w:rPr>
        <w:t xml:space="preserve"> half of the third millennium BC)</w:t>
      </w:r>
      <w:r w:rsidR="008858A2">
        <w:rPr>
          <w:sz w:val="20"/>
          <w:szCs w:val="20"/>
          <w:lang w:val="en-US"/>
        </w:rPr>
        <w:t xml:space="preserve">. </w:t>
      </w:r>
    </w:p>
    <w:p w14:paraId="5611EE16" w14:textId="5EC9CD08" w:rsidR="00862D4B" w:rsidRPr="002A1DFC" w:rsidRDefault="00862D4B" w:rsidP="00E2075F">
      <w:pPr>
        <w:jc w:val="both"/>
        <w:rPr>
          <w:sz w:val="20"/>
          <w:szCs w:val="20"/>
          <w:lang w:val="en-US"/>
        </w:rPr>
      </w:pPr>
      <w:r w:rsidRPr="002A1DFC">
        <w:rPr>
          <w:b/>
          <w:sz w:val="20"/>
          <w:szCs w:val="20"/>
          <w:lang w:val="en-US"/>
        </w:rPr>
        <w:t>Material culture</w:t>
      </w:r>
      <w:r w:rsidRPr="002A1DFC">
        <w:rPr>
          <w:sz w:val="20"/>
          <w:szCs w:val="20"/>
          <w:lang w:val="en-US"/>
        </w:rPr>
        <w:t xml:space="preserve">: </w:t>
      </w:r>
      <w:r w:rsidR="009B3041" w:rsidRPr="002A1DFC">
        <w:rPr>
          <w:sz w:val="20"/>
          <w:szCs w:val="20"/>
          <w:lang w:val="en-US"/>
        </w:rPr>
        <w:t>(</w:t>
      </w:r>
      <w:r w:rsidR="00411CC2" w:rsidRPr="002A1DFC">
        <w:rPr>
          <w:sz w:val="20"/>
          <w:szCs w:val="20"/>
          <w:lang w:val="en-US"/>
        </w:rPr>
        <w:t>E</w:t>
      </w:r>
      <w:r w:rsidR="009B3041" w:rsidRPr="002A1DFC">
        <w:rPr>
          <w:sz w:val="20"/>
          <w:szCs w:val="20"/>
          <w:lang w:val="en-US"/>
        </w:rPr>
        <w:t xml:space="preserve">arly) </w:t>
      </w:r>
      <w:proofErr w:type="spellStart"/>
      <w:r w:rsidRPr="002A1DFC">
        <w:rPr>
          <w:sz w:val="20"/>
          <w:szCs w:val="20"/>
          <w:lang w:val="en-US"/>
        </w:rPr>
        <w:t>Coarded</w:t>
      </w:r>
      <w:proofErr w:type="spellEnd"/>
      <w:r w:rsidRPr="002A1DFC">
        <w:rPr>
          <w:sz w:val="20"/>
          <w:szCs w:val="20"/>
          <w:lang w:val="en-US"/>
        </w:rPr>
        <w:t xml:space="preserve"> Ware</w:t>
      </w:r>
      <w:r w:rsidR="003657CE" w:rsidRPr="002A1DFC">
        <w:rPr>
          <w:sz w:val="20"/>
          <w:szCs w:val="20"/>
          <w:lang w:val="en-US"/>
        </w:rPr>
        <w:t xml:space="preserve"> Culture</w:t>
      </w:r>
      <w:r w:rsidR="008858A2">
        <w:rPr>
          <w:sz w:val="20"/>
          <w:szCs w:val="20"/>
          <w:lang w:val="en-US"/>
        </w:rPr>
        <w:t>.</w:t>
      </w:r>
    </w:p>
    <w:p w14:paraId="47ACD36D" w14:textId="7ECB9793" w:rsidR="00E160E7" w:rsidRPr="002A1DFC" w:rsidRDefault="00E160E7" w:rsidP="00E2075F">
      <w:pPr>
        <w:jc w:val="both"/>
        <w:rPr>
          <w:sz w:val="20"/>
          <w:szCs w:val="20"/>
          <w:lang w:val="en-US"/>
        </w:rPr>
      </w:pPr>
      <w:r w:rsidRPr="002A1DFC">
        <w:rPr>
          <w:b/>
          <w:sz w:val="20"/>
          <w:szCs w:val="20"/>
          <w:lang w:val="en-US"/>
        </w:rPr>
        <w:t>Use duration</w:t>
      </w:r>
      <w:r w:rsidRPr="002A1DFC">
        <w:rPr>
          <w:sz w:val="20"/>
          <w:szCs w:val="20"/>
          <w:lang w:val="en-US"/>
        </w:rPr>
        <w:t xml:space="preserve">: </w:t>
      </w:r>
      <w:r w:rsidR="00D00A71" w:rsidRPr="002A1DFC">
        <w:rPr>
          <w:sz w:val="20"/>
          <w:szCs w:val="20"/>
          <w:lang w:val="en-US"/>
        </w:rPr>
        <w:t>c. 2800/2700 – 2500 BCE</w:t>
      </w:r>
      <w:r w:rsidR="008858A2">
        <w:rPr>
          <w:sz w:val="20"/>
          <w:szCs w:val="20"/>
          <w:lang w:val="en-US"/>
        </w:rPr>
        <w:t>.</w:t>
      </w:r>
    </w:p>
    <w:p w14:paraId="4C37D098" w14:textId="4F0389E5" w:rsidR="00E160E7" w:rsidRPr="002A1DFC" w:rsidRDefault="00E160E7" w:rsidP="00E2075F">
      <w:pPr>
        <w:jc w:val="both"/>
        <w:rPr>
          <w:sz w:val="20"/>
          <w:szCs w:val="20"/>
          <w:lang w:val="en-US"/>
        </w:rPr>
      </w:pPr>
      <w:r w:rsidRPr="002A1DFC">
        <w:rPr>
          <w:b/>
          <w:sz w:val="20"/>
          <w:szCs w:val="20"/>
          <w:lang w:val="en-US"/>
        </w:rPr>
        <w:t>Preservation</w:t>
      </w:r>
      <w:r w:rsidRPr="002A1DFC">
        <w:rPr>
          <w:sz w:val="20"/>
          <w:szCs w:val="20"/>
          <w:lang w:val="en-US"/>
        </w:rPr>
        <w:t xml:space="preserve">: </w:t>
      </w:r>
      <w:r w:rsidR="00C403C5" w:rsidRPr="002A1DFC">
        <w:rPr>
          <w:sz w:val="20"/>
          <w:szCs w:val="20"/>
          <w:lang w:val="en-US"/>
        </w:rPr>
        <w:t xml:space="preserve">S. </w:t>
      </w:r>
      <w:proofErr w:type="spellStart"/>
      <w:r w:rsidR="00C67086" w:rsidRPr="002A1DFC">
        <w:rPr>
          <w:sz w:val="20"/>
          <w:szCs w:val="20"/>
          <w:lang w:val="en-US"/>
        </w:rPr>
        <w:t>Ortolf</w:t>
      </w:r>
      <w:proofErr w:type="spellEnd"/>
      <w:r w:rsidR="00C67086" w:rsidRPr="002A1DFC">
        <w:rPr>
          <w:sz w:val="20"/>
          <w:szCs w:val="20"/>
          <w:lang w:val="en-US"/>
        </w:rPr>
        <w:t xml:space="preserve"> sporadically mentions variable preservation states on site: Single burials </w:t>
      </w:r>
      <w:r w:rsidR="006E5442" w:rsidRPr="002A1DFC">
        <w:rPr>
          <w:sz w:val="20"/>
          <w:szCs w:val="20"/>
          <w:lang w:val="en-US"/>
        </w:rPr>
        <w:t xml:space="preserve">or object categories (e.g. canine teeth) </w:t>
      </w:r>
      <w:r w:rsidR="00C67086" w:rsidRPr="002A1DFC">
        <w:rPr>
          <w:sz w:val="20"/>
          <w:szCs w:val="20"/>
          <w:lang w:val="en-US"/>
        </w:rPr>
        <w:t xml:space="preserve">are qualified </w:t>
      </w:r>
      <w:r w:rsidR="00424BDE" w:rsidRPr="002A1DFC">
        <w:rPr>
          <w:sz w:val="20"/>
          <w:szCs w:val="20"/>
          <w:lang w:val="en-US"/>
        </w:rPr>
        <w:t xml:space="preserve">as </w:t>
      </w:r>
      <w:r w:rsidR="00C67086" w:rsidRPr="002A1DFC">
        <w:rPr>
          <w:sz w:val="20"/>
          <w:szCs w:val="20"/>
          <w:lang w:val="en-US"/>
        </w:rPr>
        <w:t xml:space="preserve">poorly preserved. According to </w:t>
      </w:r>
      <w:r w:rsidR="00D64057" w:rsidRPr="002A1DFC">
        <w:rPr>
          <w:sz w:val="20"/>
          <w:szCs w:val="20"/>
          <w:lang w:val="en-US"/>
        </w:rPr>
        <w:t xml:space="preserve">M. </w:t>
      </w:r>
      <w:proofErr w:type="spellStart"/>
      <w:r w:rsidR="00E2075F" w:rsidRPr="002A1DFC">
        <w:rPr>
          <w:sz w:val="20"/>
          <w:szCs w:val="20"/>
          <w:lang w:val="en-US"/>
        </w:rPr>
        <w:t>Trautmann</w:t>
      </w:r>
      <w:proofErr w:type="spellEnd"/>
      <w:r w:rsidR="006E5442" w:rsidRPr="002A1DFC">
        <w:rPr>
          <w:sz w:val="20"/>
          <w:szCs w:val="20"/>
          <w:lang w:val="en-US"/>
        </w:rPr>
        <w:t xml:space="preserve"> </w:t>
      </w:r>
      <w:r w:rsidR="00407642" w:rsidRPr="002A1DFC">
        <w:rPr>
          <w:noProof/>
          <w:sz w:val="20"/>
          <w:szCs w:val="20"/>
          <w:lang w:val="en-US"/>
        </w:rPr>
        <w:t>(2012</w:t>
      </w:r>
      <w:r w:rsidR="00582D48" w:rsidRPr="002A1DFC">
        <w:rPr>
          <w:noProof/>
          <w:sz w:val="20"/>
          <w:szCs w:val="20"/>
          <w:lang w:val="en-US"/>
        </w:rPr>
        <w:t>,</w:t>
      </w:r>
      <w:r w:rsidR="00407642" w:rsidRPr="002A1DFC">
        <w:rPr>
          <w:noProof/>
          <w:sz w:val="20"/>
          <w:szCs w:val="20"/>
          <w:lang w:val="en-US"/>
        </w:rPr>
        <w:t xml:space="preserve"> 307)</w:t>
      </w:r>
      <w:r w:rsidR="00E2075F" w:rsidRPr="002A1DFC">
        <w:rPr>
          <w:sz w:val="20"/>
          <w:szCs w:val="20"/>
          <w:lang w:val="en-US"/>
        </w:rPr>
        <w:t xml:space="preserve"> </w:t>
      </w:r>
      <w:r w:rsidR="006E5442" w:rsidRPr="002A1DFC">
        <w:rPr>
          <w:sz w:val="20"/>
          <w:szCs w:val="20"/>
          <w:lang w:val="en-US"/>
        </w:rPr>
        <w:t xml:space="preserve">nearly 60% of the skeletons are moderately to poorly preserved. The author considers </w:t>
      </w:r>
      <w:proofErr w:type="spellStart"/>
      <w:r w:rsidR="006E5442" w:rsidRPr="002A1DFC">
        <w:rPr>
          <w:sz w:val="20"/>
          <w:szCs w:val="20"/>
          <w:lang w:val="en-US"/>
        </w:rPr>
        <w:t>taphonomic</w:t>
      </w:r>
      <w:proofErr w:type="spellEnd"/>
      <w:r w:rsidR="006E5442" w:rsidRPr="002A1DFC">
        <w:rPr>
          <w:sz w:val="20"/>
          <w:szCs w:val="20"/>
          <w:lang w:val="en-US"/>
        </w:rPr>
        <w:t xml:space="preserve"> processes rather than anthropogenic disturbances as </w:t>
      </w:r>
      <w:r w:rsidR="005750E6">
        <w:rPr>
          <w:sz w:val="20"/>
          <w:szCs w:val="20"/>
          <w:lang w:val="en-US"/>
        </w:rPr>
        <w:t>the</w:t>
      </w:r>
      <w:r w:rsidR="006E5442" w:rsidRPr="002A1DFC">
        <w:rPr>
          <w:sz w:val="20"/>
          <w:szCs w:val="20"/>
          <w:lang w:val="en-US"/>
        </w:rPr>
        <w:t xml:space="preserve"> cause of the poor preservation state of the bones. For 27 skeletal units only c. 30%, and for 53 skeletal units less than 30% of the bone elements are preserved. The bone remains of 20 individuals of indeterminate sex further did not qualify for </w:t>
      </w:r>
      <w:proofErr w:type="spellStart"/>
      <w:r w:rsidR="006E5442" w:rsidRPr="002A1DFC">
        <w:rPr>
          <w:sz w:val="20"/>
          <w:szCs w:val="20"/>
          <w:lang w:val="en-US"/>
        </w:rPr>
        <w:t>aDNA</w:t>
      </w:r>
      <w:proofErr w:type="spellEnd"/>
      <w:r w:rsidR="006E5442" w:rsidRPr="002A1DFC">
        <w:rPr>
          <w:sz w:val="20"/>
          <w:szCs w:val="20"/>
          <w:lang w:val="en-US"/>
        </w:rPr>
        <w:t>-typing</w:t>
      </w:r>
      <w:r w:rsidR="00424BDE" w:rsidRPr="002A1DFC">
        <w:rPr>
          <w:sz w:val="20"/>
          <w:szCs w:val="20"/>
          <w:lang w:val="en-US"/>
        </w:rPr>
        <w:t xml:space="preserve">. Although paleogenetic methods are mentioned, no paleogenetic study of the site was published. </w:t>
      </w:r>
    </w:p>
    <w:p w14:paraId="7B185756" w14:textId="403424FA" w:rsidR="00E160E7" w:rsidRPr="002A1DFC" w:rsidRDefault="00E160E7" w:rsidP="00E2075F">
      <w:pPr>
        <w:jc w:val="both"/>
        <w:rPr>
          <w:sz w:val="20"/>
          <w:szCs w:val="20"/>
          <w:lang w:val="en-US"/>
        </w:rPr>
      </w:pPr>
      <w:r w:rsidRPr="002A1DFC">
        <w:rPr>
          <w:b/>
          <w:sz w:val="20"/>
          <w:szCs w:val="20"/>
          <w:lang w:val="en-US"/>
        </w:rPr>
        <w:t>Burial structures</w:t>
      </w:r>
      <w:r w:rsidRPr="002A1DFC">
        <w:rPr>
          <w:sz w:val="20"/>
          <w:szCs w:val="20"/>
          <w:lang w:val="en-US"/>
        </w:rPr>
        <w:t xml:space="preserve">: </w:t>
      </w:r>
      <w:r w:rsidR="0098066D" w:rsidRPr="002A1DFC">
        <w:rPr>
          <w:sz w:val="20"/>
          <w:szCs w:val="20"/>
          <w:lang w:val="en-US"/>
        </w:rPr>
        <w:t>69</w:t>
      </w:r>
    </w:p>
    <w:p w14:paraId="6FDB7BF8" w14:textId="55CDEF5B" w:rsidR="00E160E7" w:rsidRPr="002A1DFC" w:rsidRDefault="00E160E7" w:rsidP="00E2075F">
      <w:pPr>
        <w:jc w:val="both"/>
        <w:rPr>
          <w:sz w:val="20"/>
          <w:szCs w:val="20"/>
          <w:lang w:val="en-US"/>
        </w:rPr>
      </w:pPr>
      <w:r w:rsidRPr="002A1DFC">
        <w:rPr>
          <w:b/>
          <w:sz w:val="20"/>
          <w:szCs w:val="20"/>
          <w:lang w:val="en-US"/>
        </w:rPr>
        <w:t>Burial practice</w:t>
      </w:r>
      <w:r w:rsidRPr="002A1DFC">
        <w:rPr>
          <w:sz w:val="20"/>
          <w:szCs w:val="20"/>
          <w:lang w:val="en-US"/>
        </w:rPr>
        <w:t xml:space="preserve">: </w:t>
      </w:r>
      <w:r w:rsidR="00F8528D">
        <w:rPr>
          <w:sz w:val="20"/>
          <w:szCs w:val="20"/>
          <w:lang w:val="en-US"/>
        </w:rPr>
        <w:t>I</w:t>
      </w:r>
      <w:r w:rsidR="0098066D" w:rsidRPr="002A1DFC">
        <w:rPr>
          <w:sz w:val="20"/>
          <w:szCs w:val="20"/>
          <w:lang w:val="en-US"/>
        </w:rPr>
        <w:t xml:space="preserve">nhumation burials, of which </w:t>
      </w:r>
      <w:r w:rsidR="009D6254" w:rsidRPr="002A1DFC">
        <w:rPr>
          <w:sz w:val="20"/>
          <w:szCs w:val="20"/>
          <w:lang w:val="en-US"/>
        </w:rPr>
        <w:t xml:space="preserve">58 single burials, </w:t>
      </w:r>
      <w:r w:rsidR="00E2075F" w:rsidRPr="002A1DFC">
        <w:rPr>
          <w:sz w:val="20"/>
          <w:szCs w:val="20"/>
          <w:lang w:val="en-US"/>
        </w:rPr>
        <w:t>5</w:t>
      </w:r>
      <w:r w:rsidR="009D6254" w:rsidRPr="002A1DFC">
        <w:rPr>
          <w:sz w:val="20"/>
          <w:szCs w:val="20"/>
          <w:lang w:val="en-US"/>
        </w:rPr>
        <w:t xml:space="preserve"> double burials</w:t>
      </w:r>
      <w:r w:rsidR="006E5442" w:rsidRPr="002A1DFC">
        <w:rPr>
          <w:sz w:val="20"/>
          <w:szCs w:val="20"/>
          <w:lang w:val="en-US"/>
        </w:rPr>
        <w:t xml:space="preserve">, </w:t>
      </w:r>
      <w:r w:rsidR="00E2075F" w:rsidRPr="002A1DFC">
        <w:rPr>
          <w:sz w:val="20"/>
          <w:szCs w:val="20"/>
          <w:lang w:val="en-US"/>
        </w:rPr>
        <w:t>9</w:t>
      </w:r>
      <w:r w:rsidR="0098066D" w:rsidRPr="002A1DFC">
        <w:rPr>
          <w:sz w:val="20"/>
          <w:szCs w:val="20"/>
          <w:lang w:val="en-US"/>
        </w:rPr>
        <w:t xml:space="preserve"> multiple burials</w:t>
      </w:r>
      <w:r w:rsidR="009D6254" w:rsidRPr="002A1DFC">
        <w:rPr>
          <w:sz w:val="20"/>
          <w:szCs w:val="20"/>
          <w:lang w:val="en-US"/>
        </w:rPr>
        <w:t xml:space="preserve"> (incl</w:t>
      </w:r>
      <w:r w:rsidR="006E5442" w:rsidRPr="002A1DFC">
        <w:rPr>
          <w:sz w:val="20"/>
          <w:szCs w:val="20"/>
          <w:lang w:val="en-US"/>
        </w:rPr>
        <w:t>.</w:t>
      </w:r>
      <w:r w:rsidR="009D6254" w:rsidRPr="002A1DFC">
        <w:rPr>
          <w:sz w:val="20"/>
          <w:szCs w:val="20"/>
          <w:lang w:val="en-US"/>
        </w:rPr>
        <w:t xml:space="preserve"> </w:t>
      </w:r>
      <w:r w:rsidR="00E2075F" w:rsidRPr="002A1DFC">
        <w:rPr>
          <w:sz w:val="20"/>
          <w:szCs w:val="20"/>
          <w:lang w:val="en-US"/>
        </w:rPr>
        <w:t>3</w:t>
      </w:r>
      <w:r w:rsidR="009D6254" w:rsidRPr="002A1DFC">
        <w:rPr>
          <w:sz w:val="20"/>
          <w:szCs w:val="20"/>
          <w:lang w:val="en-US"/>
        </w:rPr>
        <w:t xml:space="preserve"> or </w:t>
      </w:r>
      <w:r w:rsidR="00E2075F" w:rsidRPr="002A1DFC">
        <w:rPr>
          <w:sz w:val="20"/>
          <w:szCs w:val="20"/>
          <w:lang w:val="en-US"/>
        </w:rPr>
        <w:t>4</w:t>
      </w:r>
      <w:r w:rsidR="009D6254" w:rsidRPr="002A1DFC">
        <w:rPr>
          <w:sz w:val="20"/>
          <w:szCs w:val="20"/>
          <w:lang w:val="en-US"/>
        </w:rPr>
        <w:t xml:space="preserve"> individuals)</w:t>
      </w:r>
      <w:r w:rsidR="006E5442" w:rsidRPr="002A1DFC">
        <w:rPr>
          <w:sz w:val="20"/>
          <w:szCs w:val="20"/>
          <w:lang w:val="en-US"/>
        </w:rPr>
        <w:t>.</w:t>
      </w:r>
    </w:p>
    <w:p w14:paraId="522FD181" w14:textId="76F56481" w:rsidR="00E160E7" w:rsidRPr="002A1DFC" w:rsidRDefault="00E160E7" w:rsidP="00E2075F">
      <w:pPr>
        <w:jc w:val="both"/>
        <w:rPr>
          <w:sz w:val="20"/>
          <w:szCs w:val="20"/>
          <w:lang w:val="en-US"/>
        </w:rPr>
      </w:pPr>
      <w:r w:rsidRPr="002A1DFC">
        <w:rPr>
          <w:b/>
          <w:sz w:val="20"/>
          <w:szCs w:val="20"/>
          <w:lang w:val="en-US"/>
        </w:rPr>
        <w:t>Minimum number of individuals</w:t>
      </w:r>
      <w:r w:rsidRPr="002A1DFC">
        <w:rPr>
          <w:sz w:val="20"/>
          <w:szCs w:val="20"/>
          <w:lang w:val="en-US"/>
        </w:rPr>
        <w:t xml:space="preserve">: </w:t>
      </w:r>
      <w:r w:rsidR="0098066D" w:rsidRPr="002A1DFC">
        <w:rPr>
          <w:sz w:val="20"/>
          <w:szCs w:val="20"/>
          <w:lang w:val="en-US"/>
        </w:rPr>
        <w:t>88 (of which 54 non-adult individual</w:t>
      </w:r>
      <w:r w:rsidR="006E5442" w:rsidRPr="002A1DFC">
        <w:rPr>
          <w:sz w:val="20"/>
          <w:szCs w:val="20"/>
          <w:lang w:val="en-US"/>
        </w:rPr>
        <w:t>s</w:t>
      </w:r>
      <w:r w:rsidR="0041264B" w:rsidRPr="002A1DFC">
        <w:rPr>
          <w:sz w:val="20"/>
          <w:szCs w:val="20"/>
          <w:lang w:val="en-US"/>
        </w:rPr>
        <w:t>,</w:t>
      </w:r>
      <w:r w:rsidR="006E5442" w:rsidRPr="002A1DFC">
        <w:rPr>
          <w:sz w:val="20"/>
          <w:szCs w:val="20"/>
          <w:lang w:val="en-US"/>
        </w:rPr>
        <w:t xml:space="preserve"> incl. 25 </w:t>
      </w:r>
      <w:proofErr w:type="spellStart"/>
      <w:r w:rsidR="006E5442" w:rsidRPr="002A1DFC">
        <w:rPr>
          <w:i/>
          <w:sz w:val="20"/>
          <w:szCs w:val="20"/>
          <w:lang w:val="en-US"/>
        </w:rPr>
        <w:t>infan</w:t>
      </w:r>
      <w:r w:rsidR="0041264B" w:rsidRPr="002A1DFC">
        <w:rPr>
          <w:i/>
          <w:sz w:val="20"/>
          <w:szCs w:val="20"/>
          <w:lang w:val="en-US"/>
        </w:rPr>
        <w:t>s</w:t>
      </w:r>
      <w:proofErr w:type="spellEnd"/>
      <w:r w:rsidR="0041264B" w:rsidRPr="002A1DFC">
        <w:rPr>
          <w:i/>
          <w:sz w:val="20"/>
          <w:szCs w:val="20"/>
          <w:lang w:val="en-US"/>
        </w:rPr>
        <w:t xml:space="preserve"> I</w:t>
      </w:r>
      <w:r w:rsidR="0041264B" w:rsidRPr="002A1DFC">
        <w:rPr>
          <w:sz w:val="20"/>
          <w:szCs w:val="20"/>
          <w:lang w:val="en-US"/>
        </w:rPr>
        <w:t>-</w:t>
      </w:r>
      <w:r w:rsidR="006E5442" w:rsidRPr="002A1DFC">
        <w:rPr>
          <w:sz w:val="20"/>
          <w:szCs w:val="20"/>
          <w:lang w:val="en-US"/>
        </w:rPr>
        <w:t>individuals,</w:t>
      </w:r>
      <w:r w:rsidR="0098066D" w:rsidRPr="002A1DFC">
        <w:rPr>
          <w:sz w:val="20"/>
          <w:szCs w:val="20"/>
          <w:lang w:val="en-US"/>
        </w:rPr>
        <w:t xml:space="preserve"> 32 adult individuals </w:t>
      </w:r>
      <w:r w:rsidR="006E5442" w:rsidRPr="002A1DFC">
        <w:rPr>
          <w:sz w:val="20"/>
          <w:szCs w:val="20"/>
          <w:lang w:val="en-US"/>
        </w:rPr>
        <w:t xml:space="preserve">and </w:t>
      </w:r>
      <w:r w:rsidR="00E2075F" w:rsidRPr="002A1DFC">
        <w:rPr>
          <w:sz w:val="20"/>
          <w:szCs w:val="20"/>
          <w:lang w:val="en-US"/>
        </w:rPr>
        <w:t>2</w:t>
      </w:r>
      <w:r w:rsidR="006E5442" w:rsidRPr="002A1DFC">
        <w:rPr>
          <w:sz w:val="20"/>
          <w:szCs w:val="20"/>
          <w:lang w:val="en-US"/>
        </w:rPr>
        <w:t xml:space="preserve"> individuals of indeterminate age</w:t>
      </w:r>
      <w:r w:rsidR="0098066D" w:rsidRPr="002A1DFC">
        <w:rPr>
          <w:sz w:val="20"/>
          <w:szCs w:val="20"/>
          <w:lang w:val="en-US"/>
        </w:rPr>
        <w:t>)</w:t>
      </w:r>
      <w:r w:rsidR="006E5442" w:rsidRPr="002A1DFC">
        <w:rPr>
          <w:sz w:val="20"/>
          <w:szCs w:val="20"/>
          <w:lang w:val="en-US"/>
        </w:rPr>
        <w:t>.</w:t>
      </w:r>
      <w:r w:rsidR="0098066D" w:rsidRPr="002A1DFC">
        <w:rPr>
          <w:sz w:val="20"/>
          <w:szCs w:val="20"/>
          <w:lang w:val="en-US"/>
        </w:rPr>
        <w:t xml:space="preserve"> </w:t>
      </w:r>
    </w:p>
    <w:p w14:paraId="395E186A" w14:textId="7C302993" w:rsidR="006E5442" w:rsidRPr="002A1DFC" w:rsidRDefault="006E5442" w:rsidP="0022126F">
      <w:pPr>
        <w:jc w:val="both"/>
        <w:rPr>
          <w:sz w:val="20"/>
          <w:szCs w:val="20"/>
          <w:lang w:val="en-US"/>
        </w:rPr>
      </w:pPr>
      <w:r w:rsidRPr="002A1DFC">
        <w:rPr>
          <w:b/>
          <w:sz w:val="20"/>
          <w:szCs w:val="20"/>
          <w:lang w:val="en-US"/>
        </w:rPr>
        <w:t xml:space="preserve">Anthropologist: </w:t>
      </w:r>
      <w:r w:rsidRPr="002A1DFC">
        <w:rPr>
          <w:sz w:val="20"/>
          <w:szCs w:val="20"/>
          <w:lang w:val="en-US"/>
        </w:rPr>
        <w:t xml:space="preserve">M. </w:t>
      </w:r>
      <w:proofErr w:type="spellStart"/>
      <w:r w:rsidR="005C246E" w:rsidRPr="002A1DFC">
        <w:rPr>
          <w:sz w:val="20"/>
          <w:szCs w:val="20"/>
          <w:lang w:val="en-US"/>
        </w:rPr>
        <w:t>Trautmann</w:t>
      </w:r>
      <w:proofErr w:type="spellEnd"/>
      <w:r w:rsidRPr="002A1DFC">
        <w:rPr>
          <w:sz w:val="20"/>
          <w:szCs w:val="20"/>
          <w:lang w:val="en-US"/>
        </w:rPr>
        <w:t xml:space="preserve"> [</w:t>
      </w:r>
      <w:r w:rsidR="005C246E" w:rsidRPr="002A1DFC">
        <w:rPr>
          <w:sz w:val="20"/>
          <w:szCs w:val="20"/>
          <w:lang w:val="en-US"/>
        </w:rPr>
        <w:t xml:space="preserve">previously </w:t>
      </w:r>
      <w:r w:rsidR="00E2075F" w:rsidRPr="002A1DFC">
        <w:rPr>
          <w:sz w:val="20"/>
          <w:szCs w:val="20"/>
          <w:lang w:val="en-US"/>
        </w:rPr>
        <w:t xml:space="preserve">M. </w:t>
      </w:r>
      <w:r w:rsidR="005C246E" w:rsidRPr="002A1DFC">
        <w:rPr>
          <w:sz w:val="20"/>
          <w:szCs w:val="20"/>
          <w:lang w:val="en-US"/>
        </w:rPr>
        <w:t>Menninger</w:t>
      </w:r>
      <w:r w:rsidRPr="002A1DFC">
        <w:rPr>
          <w:sz w:val="20"/>
          <w:szCs w:val="20"/>
          <w:lang w:val="en-US"/>
        </w:rPr>
        <w:t>]</w:t>
      </w:r>
      <w:r w:rsidR="0041264B" w:rsidRPr="002A1DFC">
        <w:rPr>
          <w:sz w:val="20"/>
          <w:szCs w:val="20"/>
          <w:lang w:val="en-US"/>
        </w:rPr>
        <w:t>.</w:t>
      </w:r>
    </w:p>
    <w:p w14:paraId="114B73F2" w14:textId="469316B8" w:rsidR="00A22D46" w:rsidRPr="002A1DFC" w:rsidRDefault="008F4666" w:rsidP="0022126F">
      <w:pPr>
        <w:jc w:val="both"/>
        <w:rPr>
          <w:sz w:val="20"/>
          <w:szCs w:val="20"/>
          <w:lang w:val="en-US"/>
        </w:rPr>
      </w:pPr>
      <w:r w:rsidRPr="002A1DFC">
        <w:rPr>
          <w:b/>
          <w:sz w:val="20"/>
          <w:szCs w:val="20"/>
          <w:lang w:val="en-US"/>
        </w:rPr>
        <w:t>Sex-determination</w:t>
      </w:r>
      <w:r w:rsidR="00E160E7" w:rsidRPr="002A1DFC">
        <w:rPr>
          <w:b/>
          <w:sz w:val="20"/>
          <w:szCs w:val="20"/>
          <w:lang w:val="en-US"/>
        </w:rPr>
        <w:t xml:space="preserve"> methods:</w:t>
      </w:r>
      <w:r w:rsidR="00E160E7" w:rsidRPr="002A1DFC">
        <w:rPr>
          <w:sz w:val="20"/>
          <w:szCs w:val="20"/>
          <w:lang w:val="en-US"/>
        </w:rPr>
        <w:t xml:space="preserve"> </w:t>
      </w:r>
      <w:proofErr w:type="spellStart"/>
      <w:r w:rsidR="00E2075F" w:rsidRPr="002A1DFC">
        <w:rPr>
          <w:sz w:val="20"/>
          <w:szCs w:val="20"/>
          <w:lang w:val="en-US"/>
        </w:rPr>
        <w:t>Trautmann</w:t>
      </w:r>
      <w:proofErr w:type="spellEnd"/>
      <w:r w:rsidR="00E2075F" w:rsidRPr="002A1DFC">
        <w:rPr>
          <w:sz w:val="20"/>
          <w:szCs w:val="20"/>
          <w:lang w:val="en-US"/>
        </w:rPr>
        <w:t xml:space="preserve"> f</w:t>
      </w:r>
      <w:r w:rsidR="005C246E" w:rsidRPr="002A1DFC">
        <w:rPr>
          <w:sz w:val="20"/>
          <w:szCs w:val="20"/>
          <w:lang w:val="en-US"/>
        </w:rPr>
        <w:t>ollow</w:t>
      </w:r>
      <w:r w:rsidR="00E2075F" w:rsidRPr="002A1DFC">
        <w:rPr>
          <w:sz w:val="20"/>
          <w:szCs w:val="20"/>
          <w:lang w:val="en-US"/>
        </w:rPr>
        <w:t>s</w:t>
      </w:r>
      <w:r w:rsidR="005C246E" w:rsidRPr="002A1DFC">
        <w:rPr>
          <w:sz w:val="20"/>
          <w:szCs w:val="20"/>
          <w:lang w:val="en-US"/>
        </w:rPr>
        <w:t xml:space="preserve"> the standard methods of </w:t>
      </w:r>
      <w:proofErr w:type="spellStart"/>
      <w:r w:rsidR="005C246E" w:rsidRPr="002A1DFC">
        <w:rPr>
          <w:sz w:val="20"/>
          <w:szCs w:val="20"/>
          <w:lang w:val="en-US"/>
        </w:rPr>
        <w:t>Ferembach</w:t>
      </w:r>
      <w:proofErr w:type="spellEnd"/>
      <w:r w:rsidR="005C246E" w:rsidRPr="002A1DFC">
        <w:rPr>
          <w:sz w:val="20"/>
          <w:szCs w:val="20"/>
          <w:lang w:val="en-US"/>
        </w:rPr>
        <w:t xml:space="preserve"> et al. </w:t>
      </w:r>
      <w:r w:rsidR="00407642" w:rsidRPr="002A1DFC">
        <w:rPr>
          <w:noProof/>
          <w:sz w:val="20"/>
          <w:szCs w:val="20"/>
          <w:lang w:val="en-US"/>
        </w:rPr>
        <w:t>(1979)</w:t>
      </w:r>
      <w:r w:rsidR="005C246E" w:rsidRPr="002A1DFC">
        <w:rPr>
          <w:sz w:val="20"/>
          <w:szCs w:val="20"/>
          <w:lang w:val="en-US"/>
        </w:rPr>
        <w:t xml:space="preserve">, A. </w:t>
      </w:r>
      <w:proofErr w:type="spellStart"/>
      <w:r w:rsidR="005C246E" w:rsidRPr="002A1DFC">
        <w:rPr>
          <w:sz w:val="20"/>
          <w:szCs w:val="20"/>
          <w:lang w:val="en-US"/>
        </w:rPr>
        <w:t>Czarnetzki</w:t>
      </w:r>
      <w:proofErr w:type="spellEnd"/>
      <w:r w:rsidR="005C246E" w:rsidRPr="002A1DFC">
        <w:rPr>
          <w:sz w:val="20"/>
          <w:szCs w:val="20"/>
          <w:lang w:val="en-US"/>
        </w:rPr>
        <w:t xml:space="preserve"> (no reference), and J. Wahl (no reference). Further sex estimation methods based on the angle of the </w:t>
      </w:r>
      <w:proofErr w:type="spellStart"/>
      <w:r w:rsidR="005C246E" w:rsidRPr="002A1DFC">
        <w:rPr>
          <w:i/>
          <w:sz w:val="20"/>
          <w:szCs w:val="20"/>
          <w:lang w:val="en-US"/>
        </w:rPr>
        <w:t>meaticus</w:t>
      </w:r>
      <w:proofErr w:type="spellEnd"/>
      <w:r w:rsidR="005C246E" w:rsidRPr="002A1DFC">
        <w:rPr>
          <w:i/>
          <w:sz w:val="20"/>
          <w:szCs w:val="20"/>
          <w:lang w:val="en-US"/>
        </w:rPr>
        <w:t xml:space="preserve"> </w:t>
      </w:r>
      <w:proofErr w:type="spellStart"/>
      <w:r w:rsidR="005C246E" w:rsidRPr="002A1DFC">
        <w:rPr>
          <w:i/>
          <w:sz w:val="20"/>
          <w:szCs w:val="20"/>
          <w:lang w:val="en-US"/>
        </w:rPr>
        <w:t>acusticus</w:t>
      </w:r>
      <w:proofErr w:type="spellEnd"/>
      <w:r w:rsidR="005C246E" w:rsidRPr="002A1DFC">
        <w:rPr>
          <w:i/>
          <w:sz w:val="20"/>
          <w:szCs w:val="20"/>
          <w:lang w:val="en-US"/>
        </w:rPr>
        <w:t xml:space="preserve"> internus</w:t>
      </w:r>
      <w:r w:rsidR="005C246E" w:rsidRPr="002A1DFC">
        <w:rPr>
          <w:sz w:val="20"/>
          <w:szCs w:val="20"/>
          <w:lang w:val="en-US"/>
        </w:rPr>
        <w:t xml:space="preserve"> were applied mainly to non-adult individuals </w:t>
      </w:r>
      <w:r w:rsidR="00407642" w:rsidRPr="002A1DFC">
        <w:rPr>
          <w:noProof/>
          <w:sz w:val="20"/>
          <w:szCs w:val="20"/>
          <w:lang w:val="en-US"/>
        </w:rPr>
        <w:t>(following Wahl 1981; Wahl</w:t>
      </w:r>
      <w:r w:rsidR="00582D48" w:rsidRPr="002A1DFC">
        <w:rPr>
          <w:noProof/>
          <w:sz w:val="20"/>
          <w:szCs w:val="20"/>
          <w:lang w:val="en-US"/>
        </w:rPr>
        <w:t xml:space="preserve"> &amp;</w:t>
      </w:r>
      <w:r w:rsidR="00407642" w:rsidRPr="002A1DFC">
        <w:rPr>
          <w:noProof/>
          <w:sz w:val="20"/>
          <w:szCs w:val="20"/>
          <w:lang w:val="en-US"/>
        </w:rPr>
        <w:t xml:space="preserve"> Graw 2001)</w:t>
      </w:r>
      <w:r w:rsidR="005C246E" w:rsidRPr="002A1DFC">
        <w:rPr>
          <w:sz w:val="20"/>
          <w:szCs w:val="20"/>
          <w:lang w:val="en-US"/>
        </w:rPr>
        <w:t xml:space="preserve">. The size of specific permanent teeth </w:t>
      </w:r>
      <w:r w:rsidR="00407642" w:rsidRPr="002A1DFC">
        <w:rPr>
          <w:noProof/>
          <w:sz w:val="20"/>
          <w:szCs w:val="20"/>
          <w:lang w:val="en-US"/>
        </w:rPr>
        <w:t xml:space="preserve">(following Alt </w:t>
      </w:r>
      <w:r w:rsidR="00407642" w:rsidRPr="00CA6877">
        <w:rPr>
          <w:i/>
          <w:noProof/>
          <w:sz w:val="20"/>
          <w:szCs w:val="20"/>
          <w:lang w:val="en-US"/>
        </w:rPr>
        <w:t>et al.</w:t>
      </w:r>
      <w:r w:rsidR="00407642" w:rsidRPr="002A1DFC">
        <w:rPr>
          <w:noProof/>
          <w:sz w:val="20"/>
          <w:szCs w:val="20"/>
          <w:lang w:val="en-US"/>
        </w:rPr>
        <w:t xml:space="preserve"> 1998; Ellendt 1993; Fritz 1994; Starp 1990)</w:t>
      </w:r>
      <w:r w:rsidR="005C246E" w:rsidRPr="002A1DFC">
        <w:rPr>
          <w:sz w:val="20"/>
          <w:szCs w:val="20"/>
          <w:lang w:val="en-US"/>
        </w:rPr>
        <w:t xml:space="preserve"> also served for sex estimation, in particular for non-adult skeletal remains or for burials featuring tooth remains only </w:t>
      </w:r>
      <w:r w:rsidR="00407642" w:rsidRPr="002A1DFC">
        <w:rPr>
          <w:noProof/>
          <w:sz w:val="20"/>
          <w:szCs w:val="20"/>
          <w:lang w:val="en-US"/>
        </w:rPr>
        <w:t>(Trautmann 2012</w:t>
      </w:r>
      <w:r w:rsidR="00582D48" w:rsidRPr="002A1DFC">
        <w:rPr>
          <w:noProof/>
          <w:sz w:val="20"/>
          <w:szCs w:val="20"/>
          <w:lang w:val="en-US"/>
        </w:rPr>
        <w:t>,</w:t>
      </w:r>
      <w:r w:rsidR="00407642" w:rsidRPr="002A1DFC">
        <w:rPr>
          <w:noProof/>
          <w:sz w:val="20"/>
          <w:szCs w:val="20"/>
          <w:lang w:val="en-US"/>
        </w:rPr>
        <w:t xml:space="preserve"> 313-314)</w:t>
      </w:r>
      <w:r w:rsidR="005C246E" w:rsidRPr="002A1DFC">
        <w:rPr>
          <w:sz w:val="20"/>
          <w:szCs w:val="20"/>
          <w:lang w:val="en-US"/>
        </w:rPr>
        <w:t xml:space="preserve">. </w:t>
      </w:r>
    </w:p>
    <w:p w14:paraId="40F00F1D" w14:textId="75A90AF6" w:rsidR="00D5664D" w:rsidRPr="002A1DFC" w:rsidRDefault="009D7719" w:rsidP="00E2075F">
      <w:pPr>
        <w:jc w:val="both"/>
        <w:rPr>
          <w:sz w:val="20"/>
          <w:szCs w:val="20"/>
          <w:lang w:val="en-US"/>
        </w:rPr>
      </w:pPr>
      <w:r w:rsidRPr="002A1DFC">
        <w:rPr>
          <w:b/>
          <w:sz w:val="20"/>
          <w:szCs w:val="20"/>
          <w:lang w:val="en-US"/>
        </w:rPr>
        <w:t xml:space="preserve">Osteological </w:t>
      </w:r>
      <w:r w:rsidR="00E160E7" w:rsidRPr="002A1DFC">
        <w:rPr>
          <w:b/>
          <w:sz w:val="20"/>
          <w:szCs w:val="20"/>
          <w:lang w:val="en-US"/>
        </w:rPr>
        <w:t>data-analyses</w:t>
      </w:r>
      <w:r w:rsidR="00E160E7" w:rsidRPr="002A1DFC">
        <w:rPr>
          <w:sz w:val="20"/>
          <w:szCs w:val="20"/>
          <w:lang w:val="en-US"/>
        </w:rPr>
        <w:t>:</w:t>
      </w:r>
      <w:r w:rsidR="00D5664D" w:rsidRPr="002A1DFC">
        <w:rPr>
          <w:sz w:val="20"/>
          <w:szCs w:val="20"/>
          <w:lang w:val="en-US"/>
        </w:rPr>
        <w:t xml:space="preserve"> </w:t>
      </w:r>
      <w:proofErr w:type="spellStart"/>
      <w:r w:rsidR="00E2075F" w:rsidRPr="002A1DFC">
        <w:rPr>
          <w:sz w:val="20"/>
          <w:szCs w:val="20"/>
          <w:lang w:val="en-US"/>
        </w:rPr>
        <w:t>Trautmanns</w:t>
      </w:r>
      <w:proofErr w:type="spellEnd"/>
      <w:r w:rsidR="00E2075F" w:rsidRPr="002A1DFC">
        <w:rPr>
          <w:sz w:val="20"/>
          <w:szCs w:val="20"/>
          <w:lang w:val="en-US"/>
        </w:rPr>
        <w:t>’</w:t>
      </w:r>
      <w:r w:rsidR="00D5664D" w:rsidRPr="002A1DFC">
        <w:rPr>
          <w:sz w:val="20"/>
          <w:szCs w:val="20"/>
          <w:lang w:val="en-US"/>
        </w:rPr>
        <w:t xml:space="preserve"> PhD manuscript is accessible online</w:t>
      </w:r>
      <w:r w:rsidR="00E2075F" w:rsidRPr="002A1DFC">
        <w:rPr>
          <w:sz w:val="20"/>
          <w:szCs w:val="20"/>
          <w:lang w:val="en-US"/>
        </w:rPr>
        <w:t xml:space="preserve"> </w:t>
      </w:r>
      <w:r w:rsidR="00407642" w:rsidRPr="002A1DFC">
        <w:rPr>
          <w:noProof/>
          <w:sz w:val="20"/>
          <w:szCs w:val="20"/>
          <w:lang w:val="en-US"/>
        </w:rPr>
        <w:t>(Menninger 2008)</w:t>
      </w:r>
      <w:r w:rsidR="00D5664D" w:rsidRPr="002A1DFC">
        <w:rPr>
          <w:sz w:val="20"/>
          <w:szCs w:val="20"/>
          <w:lang w:val="en-US"/>
        </w:rPr>
        <w:t xml:space="preserve">. The latter contains all analyses, incl. the raw </w:t>
      </w:r>
      <w:r w:rsidRPr="002A1DFC">
        <w:rPr>
          <w:sz w:val="20"/>
          <w:szCs w:val="20"/>
          <w:lang w:val="en-US"/>
        </w:rPr>
        <w:t xml:space="preserve">osteological </w:t>
      </w:r>
      <w:r w:rsidR="00D5664D" w:rsidRPr="002A1DFC">
        <w:rPr>
          <w:sz w:val="20"/>
          <w:szCs w:val="20"/>
          <w:lang w:val="en-US"/>
        </w:rPr>
        <w:t xml:space="preserve">data of the single individuals and, among others, the indications regarding which skeletal portions were used for the </w:t>
      </w:r>
      <w:r w:rsidR="008F4666" w:rsidRPr="002A1DFC">
        <w:rPr>
          <w:sz w:val="20"/>
          <w:szCs w:val="20"/>
          <w:lang w:val="en-US"/>
        </w:rPr>
        <w:t>sex-determination</w:t>
      </w:r>
      <w:r w:rsidR="00D5664D" w:rsidRPr="002A1DFC">
        <w:rPr>
          <w:sz w:val="20"/>
          <w:szCs w:val="20"/>
          <w:lang w:val="en-US"/>
        </w:rPr>
        <w:t>s.</w:t>
      </w:r>
      <w:r w:rsidR="000B1007" w:rsidRPr="002A1DFC">
        <w:rPr>
          <w:sz w:val="20"/>
          <w:szCs w:val="20"/>
          <w:lang w:val="en-US"/>
        </w:rPr>
        <w:t xml:space="preserve"> The same author’s final publication </w:t>
      </w:r>
      <w:r w:rsidR="00407642" w:rsidRPr="002A1DFC">
        <w:rPr>
          <w:noProof/>
          <w:sz w:val="20"/>
          <w:szCs w:val="20"/>
          <w:lang w:val="en-US"/>
        </w:rPr>
        <w:t>(Trautmann 2012)</w:t>
      </w:r>
      <w:r w:rsidR="00E2075F" w:rsidRPr="002A1DFC">
        <w:rPr>
          <w:sz w:val="20"/>
          <w:szCs w:val="20"/>
          <w:lang w:val="en-US"/>
        </w:rPr>
        <w:t xml:space="preserve"> </w:t>
      </w:r>
      <w:r w:rsidR="000B1007" w:rsidRPr="002A1DFC">
        <w:rPr>
          <w:sz w:val="20"/>
          <w:szCs w:val="20"/>
          <w:lang w:val="en-US"/>
        </w:rPr>
        <w:t>includes the analyses, yet not the raw data.</w:t>
      </w:r>
      <w:r w:rsidR="00D5664D" w:rsidRPr="002A1DFC">
        <w:rPr>
          <w:sz w:val="20"/>
          <w:szCs w:val="20"/>
          <w:lang w:val="en-US"/>
        </w:rPr>
        <w:t xml:space="preserve"> S. </w:t>
      </w:r>
      <w:proofErr w:type="spellStart"/>
      <w:r w:rsidR="00D5664D" w:rsidRPr="002A1DFC">
        <w:rPr>
          <w:sz w:val="20"/>
          <w:szCs w:val="20"/>
          <w:lang w:val="en-US"/>
        </w:rPr>
        <w:t>Ortolf</w:t>
      </w:r>
      <w:proofErr w:type="spellEnd"/>
      <w:r w:rsidR="00D5664D" w:rsidRPr="002A1DFC">
        <w:rPr>
          <w:sz w:val="20"/>
          <w:szCs w:val="20"/>
          <w:lang w:val="en-US"/>
        </w:rPr>
        <w:t xml:space="preserve"> </w:t>
      </w:r>
      <w:r w:rsidR="00407642" w:rsidRPr="002A1DFC">
        <w:rPr>
          <w:noProof/>
          <w:sz w:val="20"/>
          <w:szCs w:val="20"/>
          <w:lang w:val="en-US"/>
        </w:rPr>
        <w:t>(2014)</w:t>
      </w:r>
      <w:r w:rsidR="00D5664D" w:rsidRPr="002A1DFC">
        <w:rPr>
          <w:sz w:val="20"/>
          <w:szCs w:val="20"/>
          <w:lang w:val="en-US"/>
        </w:rPr>
        <w:t xml:space="preserve"> summarizes the </w:t>
      </w:r>
      <w:r w:rsidRPr="002A1DFC">
        <w:rPr>
          <w:sz w:val="20"/>
          <w:szCs w:val="20"/>
          <w:lang w:val="en-US"/>
        </w:rPr>
        <w:t xml:space="preserve">osteological </w:t>
      </w:r>
      <w:r w:rsidR="00D5664D" w:rsidRPr="002A1DFC">
        <w:rPr>
          <w:sz w:val="20"/>
          <w:szCs w:val="20"/>
          <w:lang w:val="en-US"/>
        </w:rPr>
        <w:t xml:space="preserve">analyses in </w:t>
      </w:r>
      <w:r w:rsidR="005924C3" w:rsidRPr="002A1DFC">
        <w:rPr>
          <w:sz w:val="20"/>
          <w:szCs w:val="20"/>
          <w:lang w:val="en-US"/>
        </w:rPr>
        <w:t xml:space="preserve">the </w:t>
      </w:r>
      <w:r w:rsidR="00D5664D" w:rsidRPr="002A1DFC">
        <w:rPr>
          <w:sz w:val="20"/>
          <w:szCs w:val="20"/>
          <w:lang w:val="en-US"/>
        </w:rPr>
        <w:t xml:space="preserve">general publication of the archaeological site (excl. the raw data). Of a total of 88 </w:t>
      </w:r>
      <w:r w:rsidR="007554D1" w:rsidRPr="002A1DFC">
        <w:rPr>
          <w:sz w:val="20"/>
          <w:szCs w:val="20"/>
          <w:lang w:val="en-US"/>
        </w:rPr>
        <w:t xml:space="preserve">adult and non-adult </w:t>
      </w:r>
      <w:r w:rsidR="00D5664D" w:rsidRPr="002A1DFC">
        <w:rPr>
          <w:sz w:val="20"/>
          <w:szCs w:val="20"/>
          <w:lang w:val="en-US"/>
        </w:rPr>
        <w:t xml:space="preserve">individuals, 28 individuals were generally determined female (1 ‘overly’ female, 11 female, 26 rather </w:t>
      </w:r>
      <w:r w:rsidR="00D5664D" w:rsidRPr="002A1DFC">
        <w:rPr>
          <w:sz w:val="20"/>
          <w:szCs w:val="20"/>
          <w:lang w:val="en-US"/>
        </w:rPr>
        <w:lastRenderedPageBreak/>
        <w:t xml:space="preserve">female), 29 individuals male (1 ‘overly’ male, 10 male, 18 rather male), 1 individual indifferent, and 20 individuals are of indeterminate sex. </w:t>
      </w:r>
      <w:proofErr w:type="spellStart"/>
      <w:r w:rsidR="003823BD" w:rsidRPr="002A1DFC">
        <w:rPr>
          <w:sz w:val="20"/>
          <w:szCs w:val="20"/>
          <w:lang w:val="en-US"/>
        </w:rPr>
        <w:t>Trautmann</w:t>
      </w:r>
      <w:proofErr w:type="spellEnd"/>
      <w:r w:rsidR="007554D1" w:rsidRPr="002A1DFC">
        <w:rPr>
          <w:sz w:val="20"/>
          <w:szCs w:val="20"/>
          <w:lang w:val="en-US"/>
        </w:rPr>
        <w:t xml:space="preserve"> </w:t>
      </w:r>
      <w:r w:rsidR="00407642" w:rsidRPr="002A1DFC">
        <w:rPr>
          <w:noProof/>
          <w:sz w:val="20"/>
          <w:szCs w:val="20"/>
          <w:lang w:val="en-US"/>
        </w:rPr>
        <w:t>(2012</w:t>
      </w:r>
      <w:r w:rsidR="00582D48" w:rsidRPr="002A1DFC">
        <w:rPr>
          <w:noProof/>
          <w:sz w:val="20"/>
          <w:szCs w:val="20"/>
          <w:lang w:val="en-US"/>
        </w:rPr>
        <w:t>,</w:t>
      </w:r>
      <w:r w:rsidR="00407642" w:rsidRPr="002A1DFC">
        <w:rPr>
          <w:noProof/>
          <w:sz w:val="20"/>
          <w:szCs w:val="20"/>
          <w:lang w:val="en-US"/>
        </w:rPr>
        <w:t xml:space="preserve"> 312)</w:t>
      </w:r>
      <w:r w:rsidR="00D74EF4" w:rsidRPr="002A1DFC">
        <w:rPr>
          <w:sz w:val="20"/>
          <w:szCs w:val="20"/>
          <w:lang w:val="en-US"/>
        </w:rPr>
        <w:t xml:space="preserve"> </w:t>
      </w:r>
      <w:r w:rsidR="007554D1" w:rsidRPr="002A1DFC">
        <w:rPr>
          <w:sz w:val="20"/>
          <w:szCs w:val="20"/>
          <w:lang w:val="en-US"/>
        </w:rPr>
        <w:t xml:space="preserve">warns of the reliability of determinations obtained by means of </w:t>
      </w:r>
      <w:r w:rsidRPr="002A1DFC">
        <w:rPr>
          <w:sz w:val="20"/>
          <w:szCs w:val="20"/>
          <w:lang w:val="en-US"/>
        </w:rPr>
        <w:t>osteological</w:t>
      </w:r>
      <w:r w:rsidR="007554D1" w:rsidRPr="002A1DFC">
        <w:rPr>
          <w:sz w:val="20"/>
          <w:szCs w:val="20"/>
          <w:lang w:val="en-US"/>
        </w:rPr>
        <w:t xml:space="preserve"> methods. </w:t>
      </w:r>
    </w:p>
    <w:p w14:paraId="4767CA2B" w14:textId="181CBEBF" w:rsidR="00BD4E00" w:rsidRPr="002A1DFC" w:rsidRDefault="008F4666" w:rsidP="0096116A">
      <w:pPr>
        <w:jc w:val="both"/>
        <w:rPr>
          <w:sz w:val="20"/>
          <w:szCs w:val="20"/>
          <w:lang w:val="en-US"/>
        </w:rPr>
      </w:pPr>
      <w:r w:rsidRPr="002A1DFC">
        <w:rPr>
          <w:b/>
          <w:sz w:val="20"/>
          <w:szCs w:val="20"/>
          <w:lang w:val="en-US"/>
        </w:rPr>
        <w:t>Gender-determination</w:t>
      </w:r>
      <w:r w:rsidR="00E160E7" w:rsidRPr="002A1DFC">
        <w:rPr>
          <w:b/>
          <w:sz w:val="20"/>
          <w:szCs w:val="20"/>
          <w:lang w:val="en-US"/>
        </w:rPr>
        <w:t xml:space="preserve"> methods</w:t>
      </w:r>
      <w:r w:rsidR="00E160E7" w:rsidRPr="002A1DFC">
        <w:rPr>
          <w:sz w:val="20"/>
          <w:szCs w:val="20"/>
          <w:lang w:val="en-US"/>
        </w:rPr>
        <w:t>:</w:t>
      </w:r>
      <w:r w:rsidR="00FE122C" w:rsidRPr="002A1DFC">
        <w:rPr>
          <w:sz w:val="20"/>
          <w:szCs w:val="20"/>
          <w:lang w:val="en-US"/>
        </w:rPr>
        <w:t xml:space="preserve"> </w:t>
      </w:r>
      <w:r w:rsidR="00BD4E00" w:rsidRPr="002A1DFC">
        <w:rPr>
          <w:sz w:val="20"/>
          <w:szCs w:val="20"/>
          <w:lang w:val="en-US"/>
        </w:rPr>
        <w:t xml:space="preserve">Publications of other sites are mentioned, incl. previous results regarding </w:t>
      </w:r>
      <w:r w:rsidR="009D7719" w:rsidRPr="002A1DFC">
        <w:rPr>
          <w:sz w:val="20"/>
          <w:szCs w:val="20"/>
          <w:lang w:val="en-US"/>
        </w:rPr>
        <w:t xml:space="preserve">osteological </w:t>
      </w:r>
      <w:r w:rsidR="00BD4E00" w:rsidRPr="002A1DFC">
        <w:rPr>
          <w:sz w:val="20"/>
          <w:szCs w:val="20"/>
          <w:lang w:val="en-US"/>
        </w:rPr>
        <w:t>and archaeological sex</w:t>
      </w:r>
      <w:r w:rsidR="003E6490" w:rsidRPr="002A1DFC">
        <w:rPr>
          <w:sz w:val="20"/>
          <w:szCs w:val="20"/>
          <w:lang w:val="en-US"/>
        </w:rPr>
        <w:t xml:space="preserve"> and gender</w:t>
      </w:r>
      <w:r w:rsidR="00BD4E00" w:rsidRPr="002A1DFC">
        <w:rPr>
          <w:sz w:val="20"/>
          <w:szCs w:val="20"/>
          <w:lang w:val="en-US"/>
        </w:rPr>
        <w:t xml:space="preserve"> estimates. </w:t>
      </w:r>
      <w:proofErr w:type="spellStart"/>
      <w:r w:rsidR="00FE122C" w:rsidRPr="002A1DFC">
        <w:rPr>
          <w:sz w:val="20"/>
          <w:szCs w:val="20"/>
          <w:lang w:val="en-US"/>
        </w:rPr>
        <w:t>Ortolf</w:t>
      </w:r>
      <w:r w:rsidR="00353CA0" w:rsidRPr="002A1DFC">
        <w:rPr>
          <w:sz w:val="20"/>
          <w:szCs w:val="20"/>
          <w:lang w:val="en-US"/>
        </w:rPr>
        <w:t>’s</w:t>
      </w:r>
      <w:proofErr w:type="spellEnd"/>
      <w:r w:rsidR="00353CA0" w:rsidRPr="002A1DFC">
        <w:rPr>
          <w:sz w:val="20"/>
          <w:szCs w:val="20"/>
          <w:lang w:val="en-US"/>
        </w:rPr>
        <w:t xml:space="preserve"> archaeological </w:t>
      </w:r>
      <w:r w:rsidRPr="002A1DFC">
        <w:rPr>
          <w:sz w:val="20"/>
          <w:szCs w:val="20"/>
          <w:lang w:val="en-US"/>
        </w:rPr>
        <w:t>gender-determination</w:t>
      </w:r>
      <w:r w:rsidR="00353CA0" w:rsidRPr="002A1DFC">
        <w:rPr>
          <w:sz w:val="20"/>
          <w:szCs w:val="20"/>
          <w:lang w:val="en-US"/>
        </w:rPr>
        <w:t>s are</w:t>
      </w:r>
      <w:r w:rsidR="00BD4E00" w:rsidRPr="002A1DFC">
        <w:rPr>
          <w:sz w:val="20"/>
          <w:szCs w:val="20"/>
          <w:lang w:val="en-US"/>
        </w:rPr>
        <w:t xml:space="preserve"> nonetheless</w:t>
      </w:r>
      <w:r w:rsidR="00353CA0" w:rsidRPr="002A1DFC">
        <w:rPr>
          <w:sz w:val="20"/>
          <w:szCs w:val="20"/>
          <w:lang w:val="en-US"/>
        </w:rPr>
        <w:t xml:space="preserve"> based on the quantification of objects associated with the </w:t>
      </w:r>
      <w:r w:rsidR="009D7719" w:rsidRPr="002A1DFC">
        <w:rPr>
          <w:sz w:val="20"/>
          <w:szCs w:val="20"/>
          <w:lang w:val="en-US"/>
        </w:rPr>
        <w:t xml:space="preserve">osteological </w:t>
      </w:r>
      <w:r w:rsidR="00353CA0" w:rsidRPr="002A1DFC">
        <w:rPr>
          <w:sz w:val="20"/>
          <w:szCs w:val="20"/>
          <w:lang w:val="en-US"/>
        </w:rPr>
        <w:t xml:space="preserve">sex (and age) determinations of the deceased individuals – clear archaeological </w:t>
      </w:r>
      <w:r w:rsidRPr="002A1DFC">
        <w:rPr>
          <w:sz w:val="20"/>
          <w:szCs w:val="20"/>
          <w:lang w:val="en-US"/>
        </w:rPr>
        <w:t>gender-determination</w:t>
      </w:r>
      <w:r w:rsidR="00353CA0" w:rsidRPr="002A1DFC">
        <w:rPr>
          <w:sz w:val="20"/>
          <w:szCs w:val="20"/>
          <w:lang w:val="en-US"/>
        </w:rPr>
        <w:t xml:space="preserve">s, however, </w:t>
      </w:r>
      <w:r w:rsidR="00BD4E00" w:rsidRPr="002A1DFC">
        <w:rPr>
          <w:sz w:val="20"/>
          <w:szCs w:val="20"/>
          <w:lang w:val="en-US"/>
        </w:rPr>
        <w:t xml:space="preserve">are </w:t>
      </w:r>
      <w:r w:rsidR="00353CA0" w:rsidRPr="002A1DFC">
        <w:rPr>
          <w:sz w:val="20"/>
          <w:szCs w:val="20"/>
          <w:lang w:val="en-US"/>
        </w:rPr>
        <w:t>not indicated individually</w:t>
      </w:r>
      <w:r w:rsidR="005B2426" w:rsidRPr="002A1DFC">
        <w:rPr>
          <w:sz w:val="20"/>
          <w:szCs w:val="20"/>
          <w:lang w:val="en-US"/>
        </w:rPr>
        <w:t xml:space="preserve"> </w:t>
      </w:r>
      <w:r w:rsidR="00407642" w:rsidRPr="002A1DFC">
        <w:rPr>
          <w:noProof/>
          <w:sz w:val="20"/>
          <w:szCs w:val="20"/>
          <w:lang w:val="en-US"/>
        </w:rPr>
        <w:t>(Ortolf 2014</w:t>
      </w:r>
      <w:r w:rsidR="00582D48" w:rsidRPr="002A1DFC">
        <w:rPr>
          <w:noProof/>
          <w:sz w:val="20"/>
          <w:szCs w:val="20"/>
          <w:lang w:val="en-US"/>
        </w:rPr>
        <w:t>,</w:t>
      </w:r>
      <w:r w:rsidR="00407642" w:rsidRPr="002A1DFC">
        <w:rPr>
          <w:noProof/>
          <w:sz w:val="20"/>
          <w:szCs w:val="20"/>
          <w:lang w:val="en-US"/>
        </w:rPr>
        <w:t xml:space="preserve"> 446-464)</w:t>
      </w:r>
      <w:r w:rsidR="00353CA0" w:rsidRPr="002A1DFC">
        <w:rPr>
          <w:sz w:val="20"/>
          <w:szCs w:val="20"/>
          <w:lang w:val="en-US"/>
        </w:rPr>
        <w:t xml:space="preserve">. </w:t>
      </w:r>
      <w:proofErr w:type="spellStart"/>
      <w:r w:rsidR="005B2426" w:rsidRPr="002A1DFC">
        <w:rPr>
          <w:sz w:val="20"/>
          <w:szCs w:val="20"/>
          <w:lang w:val="en-US"/>
        </w:rPr>
        <w:t>Trautmann</w:t>
      </w:r>
      <w:proofErr w:type="spellEnd"/>
      <w:r w:rsidR="005B2426" w:rsidRPr="002A1DFC">
        <w:rPr>
          <w:sz w:val="20"/>
          <w:szCs w:val="20"/>
          <w:lang w:val="en-US"/>
        </w:rPr>
        <w:t xml:space="preserve"> </w:t>
      </w:r>
      <w:r w:rsidR="00407642" w:rsidRPr="002A1DFC">
        <w:rPr>
          <w:noProof/>
          <w:sz w:val="20"/>
          <w:szCs w:val="20"/>
          <w:lang w:val="en-US"/>
        </w:rPr>
        <w:t>(2012</w:t>
      </w:r>
      <w:r w:rsidR="00582D48" w:rsidRPr="002A1DFC">
        <w:rPr>
          <w:noProof/>
          <w:sz w:val="20"/>
          <w:szCs w:val="20"/>
          <w:lang w:val="en-US"/>
        </w:rPr>
        <w:t>,</w:t>
      </w:r>
      <w:r w:rsidR="00407642" w:rsidRPr="002A1DFC">
        <w:rPr>
          <w:noProof/>
          <w:sz w:val="20"/>
          <w:szCs w:val="20"/>
          <w:lang w:val="en-US"/>
        </w:rPr>
        <w:t xml:space="preserve"> 288-290)</w:t>
      </w:r>
      <w:r w:rsidR="00BD4E00" w:rsidRPr="002A1DFC">
        <w:rPr>
          <w:sz w:val="20"/>
          <w:szCs w:val="20"/>
          <w:lang w:val="en-US"/>
        </w:rPr>
        <w:t xml:space="preserve"> refers to </w:t>
      </w:r>
      <w:proofErr w:type="spellStart"/>
      <w:r w:rsidR="00BD4E00" w:rsidRPr="002A1DFC">
        <w:rPr>
          <w:sz w:val="20"/>
          <w:szCs w:val="20"/>
          <w:lang w:val="en-US"/>
        </w:rPr>
        <w:t>Ortolf’s</w:t>
      </w:r>
      <w:proofErr w:type="spellEnd"/>
      <w:r w:rsidR="00BD4E00" w:rsidRPr="002A1DFC">
        <w:rPr>
          <w:sz w:val="20"/>
          <w:szCs w:val="20"/>
          <w:lang w:val="en-US"/>
        </w:rPr>
        <w:t xml:space="preserve"> (</w:t>
      </w:r>
      <w:r w:rsidR="007B4FBD" w:rsidRPr="002A1DFC">
        <w:rPr>
          <w:sz w:val="20"/>
          <w:szCs w:val="20"/>
          <w:lang w:val="en-US"/>
        </w:rPr>
        <w:t>at that time</w:t>
      </w:r>
      <w:r w:rsidR="00BD4E00" w:rsidRPr="002A1DFC">
        <w:rPr>
          <w:sz w:val="20"/>
          <w:szCs w:val="20"/>
          <w:lang w:val="en-US"/>
        </w:rPr>
        <w:t xml:space="preserve"> unpublished) preliminary archaeological determinations, and suggests to use the archaeological </w:t>
      </w:r>
      <w:r w:rsidRPr="002A1DFC">
        <w:rPr>
          <w:sz w:val="20"/>
          <w:szCs w:val="20"/>
          <w:lang w:val="en-US"/>
        </w:rPr>
        <w:t>gender-determination</w:t>
      </w:r>
      <w:r w:rsidR="00BD4E00" w:rsidRPr="002A1DFC">
        <w:rPr>
          <w:sz w:val="20"/>
          <w:szCs w:val="20"/>
          <w:lang w:val="en-US"/>
        </w:rPr>
        <w:t xml:space="preserve"> whenever a determination cannot be achieved by means of anthropology. </w:t>
      </w:r>
    </w:p>
    <w:p w14:paraId="5DCC8148" w14:textId="1260EAE9" w:rsidR="00D50EB4" w:rsidRPr="002A1DFC" w:rsidRDefault="00BD4E00" w:rsidP="00713394">
      <w:pPr>
        <w:jc w:val="both"/>
        <w:rPr>
          <w:sz w:val="20"/>
          <w:szCs w:val="20"/>
          <w:lang w:val="en-US"/>
        </w:rPr>
      </w:pPr>
      <w:r w:rsidRPr="002A1DFC">
        <w:rPr>
          <w:b/>
          <w:sz w:val="20"/>
          <w:szCs w:val="20"/>
          <w:lang w:val="en-US"/>
        </w:rPr>
        <w:t>Gender</w:t>
      </w:r>
      <w:r w:rsidR="008F4666" w:rsidRPr="002A1DFC">
        <w:rPr>
          <w:b/>
          <w:sz w:val="20"/>
          <w:szCs w:val="20"/>
          <w:lang w:val="en-US"/>
        </w:rPr>
        <w:t>-</w:t>
      </w:r>
      <w:r w:rsidRPr="002A1DFC">
        <w:rPr>
          <w:b/>
          <w:sz w:val="20"/>
          <w:szCs w:val="20"/>
          <w:lang w:val="en-US"/>
        </w:rPr>
        <w:t>data</w:t>
      </w:r>
      <w:r w:rsidR="008F4666" w:rsidRPr="002A1DFC">
        <w:rPr>
          <w:b/>
          <w:sz w:val="20"/>
          <w:szCs w:val="20"/>
          <w:lang w:val="en-US"/>
        </w:rPr>
        <w:t xml:space="preserve"> </w:t>
      </w:r>
      <w:r w:rsidRPr="002A1DFC">
        <w:rPr>
          <w:b/>
          <w:sz w:val="20"/>
          <w:szCs w:val="20"/>
          <w:lang w:val="en-US"/>
        </w:rPr>
        <w:t>analyses</w:t>
      </w:r>
      <w:r w:rsidRPr="002A1DFC">
        <w:rPr>
          <w:sz w:val="20"/>
          <w:szCs w:val="20"/>
          <w:lang w:val="en-US"/>
        </w:rPr>
        <w:t xml:space="preserve">: </w:t>
      </w:r>
      <w:r w:rsidR="00353CA0" w:rsidRPr="002A1DFC">
        <w:rPr>
          <w:sz w:val="20"/>
          <w:szCs w:val="20"/>
          <w:lang w:val="en-US"/>
        </w:rPr>
        <w:t xml:space="preserve">The object finds include ceramic vessels, polished stone tools, silex and bone artefacts, and meat offerings. </w:t>
      </w:r>
      <w:r w:rsidR="00FE6817" w:rsidRPr="002A1DFC">
        <w:rPr>
          <w:sz w:val="20"/>
          <w:szCs w:val="20"/>
          <w:lang w:val="en-US"/>
        </w:rPr>
        <w:t xml:space="preserve">A total of 20 burials did not include objects, of which only 1 adult individual. </w:t>
      </w:r>
      <w:r w:rsidR="00353CA0" w:rsidRPr="002A1DFC">
        <w:rPr>
          <w:sz w:val="20"/>
          <w:szCs w:val="20"/>
          <w:lang w:val="en-US"/>
        </w:rPr>
        <w:t>Multiple burials were excluded from the seriation process</w:t>
      </w:r>
      <w:r w:rsidR="00353CA0" w:rsidRPr="00F46595">
        <w:rPr>
          <w:sz w:val="20"/>
          <w:szCs w:val="20"/>
          <w:lang w:val="en-US"/>
        </w:rPr>
        <w:t xml:space="preserve">. According to </w:t>
      </w:r>
      <w:proofErr w:type="spellStart"/>
      <w:r w:rsidRPr="00F46595">
        <w:rPr>
          <w:sz w:val="20"/>
          <w:szCs w:val="20"/>
          <w:lang w:val="en-US"/>
        </w:rPr>
        <w:t>Ortolf’s</w:t>
      </w:r>
      <w:proofErr w:type="spellEnd"/>
      <w:r w:rsidR="00353CA0" w:rsidRPr="00F46595">
        <w:rPr>
          <w:sz w:val="20"/>
          <w:szCs w:val="20"/>
          <w:lang w:val="en-US"/>
        </w:rPr>
        <w:t xml:space="preserve"> </w:t>
      </w:r>
      <w:r w:rsidR="0096116A" w:rsidRPr="00F46595">
        <w:rPr>
          <w:sz w:val="20"/>
          <w:szCs w:val="20"/>
          <w:lang w:val="en-US"/>
        </w:rPr>
        <w:t xml:space="preserve">analyses </w:t>
      </w:r>
      <w:r w:rsidR="00407642" w:rsidRPr="00F46595">
        <w:rPr>
          <w:noProof/>
          <w:sz w:val="20"/>
          <w:szCs w:val="20"/>
          <w:lang w:val="en-US"/>
        </w:rPr>
        <w:t>(2014</w:t>
      </w:r>
      <w:r w:rsidR="00582D48" w:rsidRPr="00F46595">
        <w:rPr>
          <w:noProof/>
          <w:sz w:val="20"/>
          <w:szCs w:val="20"/>
          <w:lang w:val="en-US"/>
        </w:rPr>
        <w:t>,</w:t>
      </w:r>
      <w:r w:rsidR="00407642" w:rsidRPr="00F46595">
        <w:rPr>
          <w:noProof/>
          <w:sz w:val="20"/>
          <w:szCs w:val="20"/>
          <w:lang w:val="en-US"/>
        </w:rPr>
        <w:t xml:space="preserve"> 446-464)</w:t>
      </w:r>
      <w:r w:rsidR="00353CA0" w:rsidRPr="00F46595">
        <w:rPr>
          <w:sz w:val="20"/>
          <w:szCs w:val="20"/>
          <w:lang w:val="en-US"/>
        </w:rPr>
        <w:t xml:space="preserve">, (adult) </w:t>
      </w:r>
      <w:r w:rsidR="00B76CCE" w:rsidRPr="00F46595">
        <w:rPr>
          <w:sz w:val="20"/>
          <w:szCs w:val="20"/>
          <w:lang w:val="en-US"/>
        </w:rPr>
        <w:t xml:space="preserve">feminine </w:t>
      </w:r>
      <w:r w:rsidR="00353CA0" w:rsidRPr="00F46595">
        <w:rPr>
          <w:sz w:val="20"/>
          <w:szCs w:val="20"/>
          <w:lang w:val="en-US"/>
        </w:rPr>
        <w:t>attributes include ceramic vessels</w:t>
      </w:r>
      <w:r w:rsidRPr="00F46595">
        <w:rPr>
          <w:sz w:val="20"/>
          <w:szCs w:val="20"/>
          <w:lang w:val="en-US"/>
        </w:rPr>
        <w:t xml:space="preserve"> and (adult) </w:t>
      </w:r>
      <w:r w:rsidR="00B76CCE" w:rsidRPr="00F46595">
        <w:rPr>
          <w:sz w:val="20"/>
          <w:szCs w:val="20"/>
          <w:lang w:val="en-US"/>
        </w:rPr>
        <w:t xml:space="preserve">masculine </w:t>
      </w:r>
      <w:r w:rsidRPr="00F46595">
        <w:rPr>
          <w:sz w:val="20"/>
          <w:szCs w:val="20"/>
          <w:lang w:val="en-US"/>
        </w:rPr>
        <w:t xml:space="preserve">attributes include polished stone axes and adzes. </w:t>
      </w:r>
      <w:r w:rsidR="00353CA0" w:rsidRPr="00F46595">
        <w:rPr>
          <w:sz w:val="20"/>
          <w:szCs w:val="20"/>
          <w:lang w:val="en-US"/>
        </w:rPr>
        <w:t xml:space="preserve">However, it is mentioned that 6 male burials did include ceramic vessels, and that </w:t>
      </w:r>
      <w:r w:rsidRPr="00F46595">
        <w:rPr>
          <w:sz w:val="20"/>
          <w:szCs w:val="20"/>
          <w:lang w:val="en-US"/>
        </w:rPr>
        <w:t xml:space="preserve">two </w:t>
      </w:r>
      <w:r w:rsidR="00FE6817" w:rsidRPr="00F46595">
        <w:rPr>
          <w:sz w:val="20"/>
          <w:szCs w:val="20"/>
          <w:lang w:val="en-US"/>
        </w:rPr>
        <w:t>(</w:t>
      </w:r>
      <w:r w:rsidRPr="00F46595">
        <w:rPr>
          <w:sz w:val="20"/>
          <w:szCs w:val="20"/>
          <w:lang w:val="en-US"/>
        </w:rPr>
        <w:t>non-adult</w:t>
      </w:r>
      <w:r w:rsidR="00FE6817" w:rsidRPr="00F46595">
        <w:rPr>
          <w:sz w:val="20"/>
          <w:szCs w:val="20"/>
          <w:lang w:val="en-US"/>
        </w:rPr>
        <w:t>)</w:t>
      </w:r>
      <w:r w:rsidRPr="00F46595">
        <w:rPr>
          <w:sz w:val="20"/>
          <w:szCs w:val="20"/>
          <w:lang w:val="en-US"/>
        </w:rPr>
        <w:t xml:space="preserve"> female individuals were associated with axes.</w:t>
      </w:r>
      <w:r w:rsidRPr="002A1DFC">
        <w:rPr>
          <w:sz w:val="20"/>
          <w:szCs w:val="20"/>
          <w:lang w:val="en-US"/>
        </w:rPr>
        <w:t xml:space="preserve"> Silex and bone artefacts, as well as food offerings are indifferent to either (biological) sexes. Animal tooth jewelry is generally considered indifferent to the sexes, however</w:t>
      </w:r>
      <w:r w:rsidR="00FE6817" w:rsidRPr="002A1DFC">
        <w:rPr>
          <w:sz w:val="20"/>
          <w:szCs w:val="20"/>
          <w:lang w:val="en-US"/>
        </w:rPr>
        <w:t xml:space="preserve">, based on the comparison to contemporary burial sites in Central Germany </w:t>
      </w:r>
      <w:r w:rsidR="00407642" w:rsidRPr="002A1DFC">
        <w:rPr>
          <w:noProof/>
          <w:sz w:val="20"/>
          <w:szCs w:val="20"/>
          <w:lang w:val="en-US"/>
        </w:rPr>
        <w:t>(Petzold 2005)</w:t>
      </w:r>
      <w:r w:rsidR="00FE6817" w:rsidRPr="002A1DFC">
        <w:rPr>
          <w:sz w:val="20"/>
          <w:szCs w:val="20"/>
          <w:lang w:val="en-US"/>
        </w:rPr>
        <w:t xml:space="preserve">, long necklaces out of dog canines are considered a </w:t>
      </w:r>
      <w:r w:rsidR="00B76CCE" w:rsidRPr="002A1DFC">
        <w:rPr>
          <w:sz w:val="20"/>
          <w:szCs w:val="20"/>
          <w:lang w:val="en-US"/>
        </w:rPr>
        <w:t xml:space="preserve">feminine </w:t>
      </w:r>
      <w:r w:rsidR="00FE6817" w:rsidRPr="002A1DFC">
        <w:rPr>
          <w:sz w:val="20"/>
          <w:szCs w:val="20"/>
          <w:lang w:val="en-US"/>
        </w:rPr>
        <w:t>attribute. The association of a biological</w:t>
      </w:r>
      <w:r w:rsidR="00B76CCE" w:rsidRPr="002A1DFC">
        <w:rPr>
          <w:sz w:val="20"/>
          <w:szCs w:val="20"/>
          <w:lang w:val="en-US"/>
        </w:rPr>
        <w:t>ly</w:t>
      </w:r>
      <w:r w:rsidR="00FE6817" w:rsidRPr="002A1DFC">
        <w:rPr>
          <w:sz w:val="20"/>
          <w:szCs w:val="20"/>
          <w:lang w:val="en-US"/>
        </w:rPr>
        <w:t xml:space="preserve"> male individual with such a necklace is left uncommented. </w:t>
      </w:r>
      <w:proofErr w:type="spellStart"/>
      <w:r w:rsidR="00954E1F" w:rsidRPr="002A1DFC">
        <w:rPr>
          <w:sz w:val="20"/>
          <w:szCs w:val="20"/>
          <w:lang w:val="en-US"/>
        </w:rPr>
        <w:t>Trautmann</w:t>
      </w:r>
      <w:proofErr w:type="spellEnd"/>
      <w:r w:rsidR="00954E1F" w:rsidRPr="002A1DFC">
        <w:rPr>
          <w:sz w:val="20"/>
          <w:szCs w:val="20"/>
          <w:lang w:val="en-US"/>
        </w:rPr>
        <w:t xml:space="preserve"> </w:t>
      </w:r>
      <w:r w:rsidR="00407642" w:rsidRPr="002A1DFC">
        <w:rPr>
          <w:noProof/>
          <w:sz w:val="20"/>
          <w:szCs w:val="20"/>
          <w:lang w:val="en-US"/>
        </w:rPr>
        <w:t>(2012</w:t>
      </w:r>
      <w:r w:rsidR="00582D48" w:rsidRPr="002A1DFC">
        <w:rPr>
          <w:noProof/>
          <w:sz w:val="20"/>
          <w:szCs w:val="20"/>
          <w:lang w:val="en-US"/>
        </w:rPr>
        <w:t>,</w:t>
      </w:r>
      <w:r w:rsidR="00407642" w:rsidRPr="002A1DFC">
        <w:rPr>
          <w:noProof/>
          <w:sz w:val="20"/>
          <w:szCs w:val="20"/>
          <w:lang w:val="en-US"/>
        </w:rPr>
        <w:t xml:space="preserve"> 291)</w:t>
      </w:r>
      <w:r w:rsidR="00954E1F" w:rsidRPr="002A1DFC">
        <w:rPr>
          <w:sz w:val="20"/>
          <w:szCs w:val="20"/>
          <w:lang w:val="en-US"/>
        </w:rPr>
        <w:t xml:space="preserve"> evokes </w:t>
      </w:r>
      <w:r w:rsidR="00D50EB4" w:rsidRPr="002A1DFC">
        <w:rPr>
          <w:sz w:val="20"/>
          <w:szCs w:val="20"/>
          <w:lang w:val="en-US"/>
        </w:rPr>
        <w:t xml:space="preserve">up to 18 </w:t>
      </w:r>
      <w:r w:rsidR="00FE6817" w:rsidRPr="002A1DFC">
        <w:rPr>
          <w:sz w:val="20"/>
          <w:szCs w:val="20"/>
          <w:lang w:val="en-US"/>
        </w:rPr>
        <w:t>contradict</w:t>
      </w:r>
      <w:r w:rsidR="00D50EB4" w:rsidRPr="002A1DFC">
        <w:rPr>
          <w:sz w:val="20"/>
          <w:szCs w:val="20"/>
          <w:lang w:val="en-US"/>
        </w:rPr>
        <w:t xml:space="preserve">ory sex/gender-determinations, of which 5 female and 13 male individuals. The </w:t>
      </w:r>
      <w:r w:rsidR="008F4666" w:rsidRPr="002A1DFC">
        <w:rPr>
          <w:sz w:val="20"/>
          <w:szCs w:val="20"/>
          <w:lang w:val="en-US"/>
        </w:rPr>
        <w:t>gender-determination</w:t>
      </w:r>
      <w:r w:rsidR="00D50EB4" w:rsidRPr="002A1DFC">
        <w:rPr>
          <w:sz w:val="20"/>
          <w:szCs w:val="20"/>
          <w:lang w:val="en-US"/>
        </w:rPr>
        <w:t>s evoke</w:t>
      </w:r>
      <w:r w:rsidR="00A561E1" w:rsidRPr="002A1DFC">
        <w:rPr>
          <w:sz w:val="20"/>
          <w:szCs w:val="20"/>
          <w:lang w:val="en-US"/>
        </w:rPr>
        <w:t>d</w:t>
      </w:r>
      <w:r w:rsidR="00D50EB4" w:rsidRPr="002A1DFC">
        <w:rPr>
          <w:sz w:val="20"/>
          <w:szCs w:val="20"/>
          <w:lang w:val="en-US"/>
        </w:rPr>
        <w:t>, however, are mostly based on sex-typical body orientation and position</w:t>
      </w:r>
      <w:r w:rsidR="00713394" w:rsidRPr="002A1DFC">
        <w:rPr>
          <w:sz w:val="20"/>
          <w:szCs w:val="20"/>
          <w:lang w:val="en-US"/>
        </w:rPr>
        <w:t xml:space="preserve"> </w:t>
      </w:r>
      <w:r w:rsidR="00713D78" w:rsidRPr="002A1DFC">
        <w:rPr>
          <w:sz w:val="20"/>
          <w:szCs w:val="20"/>
          <w:lang w:val="en-US"/>
        </w:rPr>
        <w:t xml:space="preserve">common for </w:t>
      </w:r>
      <w:r w:rsidR="00713394" w:rsidRPr="002A1DFC">
        <w:rPr>
          <w:sz w:val="20"/>
          <w:szCs w:val="20"/>
          <w:lang w:val="en-US"/>
        </w:rPr>
        <w:t>the Corded Ware Culture</w:t>
      </w:r>
      <w:r w:rsidR="00D50EB4" w:rsidRPr="002A1DFC">
        <w:rPr>
          <w:sz w:val="20"/>
          <w:szCs w:val="20"/>
          <w:lang w:val="en-US"/>
        </w:rPr>
        <w:t xml:space="preserve">. </w:t>
      </w:r>
      <w:r w:rsidR="00A561E1" w:rsidRPr="002A1DFC">
        <w:rPr>
          <w:sz w:val="20"/>
          <w:szCs w:val="20"/>
          <w:lang w:val="en-US"/>
        </w:rPr>
        <w:t>The author</w:t>
      </w:r>
      <w:r w:rsidR="00D50EB4" w:rsidRPr="002A1DFC">
        <w:rPr>
          <w:sz w:val="20"/>
          <w:szCs w:val="20"/>
          <w:lang w:val="en-US"/>
        </w:rPr>
        <w:t xml:space="preserve"> further narrows down the contradictions to 5 individuals (of which 4 male and 1 female individual), as </w:t>
      </w:r>
      <w:r w:rsidR="00A561E1" w:rsidRPr="002A1DFC">
        <w:rPr>
          <w:sz w:val="20"/>
          <w:szCs w:val="20"/>
          <w:lang w:val="en-US"/>
        </w:rPr>
        <w:t>the latter</w:t>
      </w:r>
      <w:r w:rsidR="00D50EB4" w:rsidRPr="002A1DFC">
        <w:rPr>
          <w:sz w:val="20"/>
          <w:szCs w:val="20"/>
          <w:lang w:val="en-US"/>
        </w:rPr>
        <w:t xml:space="preserve"> considers sex estimates of non-adults and badly preserved individuals too insecure. These contradictory </w:t>
      </w:r>
      <w:r w:rsidR="005750E6">
        <w:rPr>
          <w:sz w:val="20"/>
          <w:szCs w:val="20"/>
          <w:lang w:val="en-US"/>
        </w:rPr>
        <w:t>observations</w:t>
      </w:r>
      <w:r w:rsidR="005750E6" w:rsidRPr="002A1DFC">
        <w:rPr>
          <w:sz w:val="20"/>
          <w:szCs w:val="20"/>
          <w:lang w:val="en-US"/>
        </w:rPr>
        <w:t xml:space="preserve"> </w:t>
      </w:r>
      <w:r w:rsidR="00D50EB4" w:rsidRPr="002A1DFC">
        <w:rPr>
          <w:sz w:val="20"/>
          <w:szCs w:val="20"/>
          <w:lang w:val="en-US"/>
        </w:rPr>
        <w:t xml:space="preserve">are not further considered in </w:t>
      </w:r>
      <w:proofErr w:type="spellStart"/>
      <w:r w:rsidR="00D50EB4" w:rsidRPr="002A1DFC">
        <w:rPr>
          <w:sz w:val="20"/>
          <w:szCs w:val="20"/>
          <w:lang w:val="en-US"/>
        </w:rPr>
        <w:t>Ortolf’s</w:t>
      </w:r>
      <w:proofErr w:type="spellEnd"/>
      <w:r w:rsidR="00D50EB4" w:rsidRPr="002A1DFC">
        <w:rPr>
          <w:sz w:val="20"/>
          <w:szCs w:val="20"/>
          <w:lang w:val="en-US"/>
        </w:rPr>
        <w:t xml:space="preserve"> archaeological study, as the author states that </w:t>
      </w:r>
      <w:r w:rsidR="00713394" w:rsidRPr="002A1DFC">
        <w:rPr>
          <w:sz w:val="20"/>
          <w:szCs w:val="20"/>
          <w:lang w:val="en-US"/>
        </w:rPr>
        <w:t>body orientation and position in Lauda-</w:t>
      </w:r>
      <w:proofErr w:type="spellStart"/>
      <w:r w:rsidR="00713394" w:rsidRPr="002A1DFC">
        <w:rPr>
          <w:sz w:val="20"/>
          <w:szCs w:val="20"/>
          <w:lang w:val="en-US"/>
        </w:rPr>
        <w:t>Königshofen</w:t>
      </w:r>
      <w:proofErr w:type="spellEnd"/>
      <w:r w:rsidR="00713394" w:rsidRPr="002A1DFC">
        <w:rPr>
          <w:sz w:val="20"/>
          <w:szCs w:val="20"/>
          <w:lang w:val="en-US"/>
        </w:rPr>
        <w:t xml:space="preserve"> are generally deviant from the Corded Ware Culture burial practices and seemingly gender-neutral </w:t>
      </w:r>
      <w:r w:rsidR="00407642" w:rsidRPr="002A1DFC">
        <w:rPr>
          <w:noProof/>
          <w:sz w:val="20"/>
          <w:szCs w:val="20"/>
          <w:lang w:val="en-US"/>
        </w:rPr>
        <w:t>(Ortolf 2014</w:t>
      </w:r>
      <w:r w:rsidR="00582D48" w:rsidRPr="002A1DFC">
        <w:rPr>
          <w:noProof/>
          <w:sz w:val="20"/>
          <w:szCs w:val="20"/>
          <w:lang w:val="en-US"/>
        </w:rPr>
        <w:t>,</w:t>
      </w:r>
      <w:r w:rsidR="00407642" w:rsidRPr="002A1DFC">
        <w:rPr>
          <w:noProof/>
          <w:sz w:val="20"/>
          <w:szCs w:val="20"/>
          <w:lang w:val="en-US"/>
        </w:rPr>
        <w:t xml:space="preserve"> 467-468)</w:t>
      </w:r>
      <w:r w:rsidR="00713394" w:rsidRPr="002A1DFC">
        <w:rPr>
          <w:sz w:val="20"/>
          <w:szCs w:val="20"/>
          <w:lang w:val="en-US"/>
        </w:rPr>
        <w:t xml:space="preserve">. </w:t>
      </w:r>
    </w:p>
    <w:p w14:paraId="7FD25979" w14:textId="233313C8" w:rsidR="00DE0C73" w:rsidRPr="002A1DFC" w:rsidRDefault="00605888" w:rsidP="00713394">
      <w:pPr>
        <w:jc w:val="both"/>
        <w:rPr>
          <w:bCs/>
          <w:sz w:val="20"/>
          <w:szCs w:val="20"/>
          <w:lang w:val="en-US"/>
        </w:rPr>
      </w:pPr>
      <w:r w:rsidRPr="002A1DFC">
        <w:rPr>
          <w:b/>
          <w:sz w:val="20"/>
          <w:szCs w:val="20"/>
          <w:lang w:val="en-US"/>
        </w:rPr>
        <w:t>Data use and reconstruction for this article</w:t>
      </w:r>
      <w:r w:rsidR="00DE0C73" w:rsidRPr="002A1DFC">
        <w:rPr>
          <w:b/>
          <w:sz w:val="20"/>
          <w:szCs w:val="20"/>
          <w:lang w:val="en-US"/>
        </w:rPr>
        <w:t xml:space="preserve">: </w:t>
      </w:r>
      <w:r w:rsidR="00512A0D" w:rsidRPr="002A1DFC">
        <w:rPr>
          <w:bCs/>
          <w:sz w:val="20"/>
          <w:szCs w:val="20"/>
          <w:lang w:val="en-US"/>
        </w:rPr>
        <w:t xml:space="preserve">The sex/age-data is based on </w:t>
      </w:r>
      <w:proofErr w:type="spellStart"/>
      <w:r w:rsidR="00512A0D" w:rsidRPr="002A1DFC">
        <w:rPr>
          <w:bCs/>
          <w:sz w:val="20"/>
          <w:szCs w:val="20"/>
          <w:lang w:val="en-US"/>
        </w:rPr>
        <w:t>Trautmann’s</w:t>
      </w:r>
      <w:proofErr w:type="spellEnd"/>
      <w:r w:rsidR="00512A0D" w:rsidRPr="002A1DFC">
        <w:rPr>
          <w:bCs/>
          <w:sz w:val="20"/>
          <w:szCs w:val="20"/>
          <w:lang w:val="en-US"/>
        </w:rPr>
        <w:t xml:space="preserve"> results </w:t>
      </w:r>
      <w:r w:rsidR="00407642" w:rsidRPr="002A1DFC">
        <w:rPr>
          <w:bCs/>
          <w:noProof/>
          <w:sz w:val="20"/>
          <w:szCs w:val="20"/>
          <w:lang w:val="en-US"/>
        </w:rPr>
        <w:t>(2012</w:t>
      </w:r>
      <w:r w:rsidR="00582D48" w:rsidRPr="002A1DFC">
        <w:rPr>
          <w:bCs/>
          <w:noProof/>
          <w:sz w:val="20"/>
          <w:szCs w:val="20"/>
          <w:lang w:val="en-US"/>
        </w:rPr>
        <w:t>,</w:t>
      </w:r>
      <w:r w:rsidR="00407642" w:rsidRPr="002A1DFC">
        <w:rPr>
          <w:bCs/>
          <w:noProof/>
          <w:sz w:val="20"/>
          <w:szCs w:val="20"/>
          <w:lang w:val="en-US"/>
        </w:rPr>
        <w:t xml:space="preserve"> 450-453, tab. 75/1)</w:t>
      </w:r>
      <w:r w:rsidR="00512A0D" w:rsidRPr="002A1DFC">
        <w:rPr>
          <w:bCs/>
          <w:sz w:val="20"/>
          <w:szCs w:val="20"/>
          <w:lang w:val="en-US"/>
        </w:rPr>
        <w:t xml:space="preserve">. The </w:t>
      </w:r>
      <w:r w:rsidR="008F4666" w:rsidRPr="002A1DFC">
        <w:rPr>
          <w:bCs/>
          <w:sz w:val="20"/>
          <w:szCs w:val="20"/>
          <w:lang w:val="en-US"/>
        </w:rPr>
        <w:t>gender-determination</w:t>
      </w:r>
      <w:r w:rsidR="00512A0D" w:rsidRPr="002A1DFC">
        <w:rPr>
          <w:bCs/>
          <w:sz w:val="20"/>
          <w:szCs w:val="20"/>
          <w:lang w:val="en-US"/>
        </w:rPr>
        <w:t xml:space="preserve">s are not made explicit in the single burial descriptions, they were therefore reconstructed based on </w:t>
      </w:r>
      <w:proofErr w:type="spellStart"/>
      <w:r w:rsidR="00512A0D" w:rsidRPr="002A1DFC">
        <w:rPr>
          <w:bCs/>
          <w:sz w:val="20"/>
          <w:szCs w:val="20"/>
          <w:lang w:val="en-US"/>
        </w:rPr>
        <w:t>Ortolf’s</w:t>
      </w:r>
      <w:proofErr w:type="spellEnd"/>
      <w:r w:rsidR="00512A0D" w:rsidRPr="002A1DFC">
        <w:rPr>
          <w:bCs/>
          <w:sz w:val="20"/>
          <w:szCs w:val="20"/>
          <w:lang w:val="en-US"/>
        </w:rPr>
        <w:t xml:space="preserve"> interpretational results </w:t>
      </w:r>
      <w:r w:rsidR="00407642" w:rsidRPr="002A1DFC">
        <w:rPr>
          <w:noProof/>
          <w:sz w:val="20"/>
          <w:szCs w:val="20"/>
          <w:lang w:val="en-US"/>
        </w:rPr>
        <w:t>(2014</w:t>
      </w:r>
      <w:r w:rsidR="00582D48" w:rsidRPr="002A1DFC">
        <w:rPr>
          <w:noProof/>
          <w:sz w:val="20"/>
          <w:szCs w:val="20"/>
          <w:lang w:val="en-US"/>
        </w:rPr>
        <w:t>,</w:t>
      </w:r>
      <w:r w:rsidR="00407642" w:rsidRPr="002A1DFC">
        <w:rPr>
          <w:noProof/>
          <w:sz w:val="20"/>
          <w:szCs w:val="20"/>
          <w:lang w:val="en-US"/>
        </w:rPr>
        <w:t xml:space="preserve"> 446-464)</w:t>
      </w:r>
      <w:r w:rsidR="00512A0D" w:rsidRPr="002A1DFC">
        <w:rPr>
          <w:bCs/>
          <w:sz w:val="20"/>
          <w:szCs w:val="20"/>
          <w:lang w:val="en-US"/>
        </w:rPr>
        <w:t>.</w:t>
      </w:r>
      <w:r w:rsidR="00D50EB4" w:rsidRPr="002A1DFC">
        <w:rPr>
          <w:bCs/>
          <w:sz w:val="20"/>
          <w:szCs w:val="20"/>
          <w:lang w:val="en-US"/>
        </w:rPr>
        <w:t xml:space="preserve"> </w:t>
      </w:r>
      <w:r w:rsidR="00D50EB4" w:rsidRPr="002A1DFC">
        <w:rPr>
          <w:sz w:val="20"/>
          <w:szCs w:val="20"/>
          <w:lang w:val="en-US"/>
        </w:rPr>
        <w:t xml:space="preserve">The archaeological </w:t>
      </w:r>
      <w:r w:rsidR="008F4666" w:rsidRPr="002A1DFC">
        <w:rPr>
          <w:sz w:val="20"/>
          <w:szCs w:val="20"/>
          <w:lang w:val="en-US"/>
        </w:rPr>
        <w:t>gender-determination</w:t>
      </w:r>
      <w:r w:rsidR="00D50EB4" w:rsidRPr="002A1DFC">
        <w:rPr>
          <w:sz w:val="20"/>
          <w:szCs w:val="20"/>
          <w:lang w:val="en-US"/>
        </w:rPr>
        <w:t>s ‘rules’ apply to adult individuals only.</w:t>
      </w:r>
    </w:p>
    <w:p w14:paraId="1E505A4F" w14:textId="1245A630" w:rsidR="00DE0C73" w:rsidRPr="002A1DFC" w:rsidRDefault="00551D09" w:rsidP="00713394">
      <w:pPr>
        <w:jc w:val="both"/>
        <w:rPr>
          <w:sz w:val="20"/>
          <w:szCs w:val="20"/>
          <w:lang w:val="en-US"/>
        </w:rPr>
      </w:pPr>
      <w:r w:rsidRPr="002A1DFC">
        <w:rPr>
          <w:b/>
          <w:sz w:val="20"/>
          <w:szCs w:val="20"/>
          <w:lang w:val="en-US"/>
        </w:rPr>
        <w:t>Sex</w:t>
      </w:r>
      <w:r w:rsidR="00CA3F4F" w:rsidRPr="002A1DFC">
        <w:rPr>
          <w:b/>
          <w:sz w:val="20"/>
          <w:szCs w:val="20"/>
          <w:lang w:val="en-US"/>
        </w:rPr>
        <w:t xml:space="preserve"> and gender associations</w:t>
      </w:r>
      <w:r w:rsidR="00DE0C73" w:rsidRPr="002A1DFC">
        <w:rPr>
          <w:b/>
          <w:sz w:val="20"/>
          <w:szCs w:val="20"/>
          <w:lang w:val="en-US"/>
        </w:rPr>
        <w:t xml:space="preserve">: </w:t>
      </w:r>
      <w:r w:rsidR="00DE0C73" w:rsidRPr="002A1DFC">
        <w:rPr>
          <w:bCs/>
          <w:sz w:val="20"/>
          <w:szCs w:val="20"/>
          <w:lang w:val="en-US"/>
        </w:rPr>
        <w:t xml:space="preserve">match (n) = </w:t>
      </w:r>
      <w:r w:rsidR="0021457E" w:rsidRPr="002A1DFC">
        <w:rPr>
          <w:bCs/>
          <w:sz w:val="20"/>
          <w:szCs w:val="20"/>
          <w:lang w:val="en-US"/>
        </w:rPr>
        <w:t>18</w:t>
      </w:r>
      <w:r w:rsidR="00DE0C73" w:rsidRPr="002A1DFC">
        <w:rPr>
          <w:bCs/>
          <w:sz w:val="20"/>
          <w:szCs w:val="20"/>
          <w:lang w:val="en-US"/>
        </w:rPr>
        <w:t xml:space="preserve">, opposite (n) = </w:t>
      </w:r>
      <w:r w:rsidR="0021457E" w:rsidRPr="002A1DFC">
        <w:rPr>
          <w:bCs/>
          <w:sz w:val="20"/>
          <w:szCs w:val="20"/>
          <w:lang w:val="en-US"/>
        </w:rPr>
        <w:t>1</w:t>
      </w:r>
      <w:r w:rsidR="00DE0C73" w:rsidRPr="002A1DFC">
        <w:rPr>
          <w:bCs/>
          <w:sz w:val="20"/>
          <w:szCs w:val="20"/>
          <w:lang w:val="en-US"/>
        </w:rPr>
        <w:t xml:space="preserve">, </w:t>
      </w:r>
      <w:r w:rsidR="006A2837" w:rsidRPr="002A1DFC">
        <w:rPr>
          <w:bCs/>
          <w:sz w:val="20"/>
          <w:szCs w:val="20"/>
          <w:lang w:val="en-US"/>
        </w:rPr>
        <w:t>partial</w:t>
      </w:r>
      <w:r w:rsidR="00DE0C73" w:rsidRPr="002A1DFC">
        <w:rPr>
          <w:bCs/>
          <w:sz w:val="20"/>
          <w:szCs w:val="20"/>
          <w:lang w:val="en-US"/>
        </w:rPr>
        <w:t xml:space="preserve"> (n) = </w:t>
      </w:r>
      <w:r w:rsidR="0021457E" w:rsidRPr="002A1DFC">
        <w:rPr>
          <w:bCs/>
          <w:sz w:val="20"/>
          <w:szCs w:val="20"/>
          <w:lang w:val="en-US"/>
        </w:rPr>
        <w:t>53</w:t>
      </w:r>
      <w:r w:rsidR="00DE0C73" w:rsidRPr="002A1DFC">
        <w:rPr>
          <w:bCs/>
          <w:sz w:val="20"/>
          <w:szCs w:val="20"/>
          <w:lang w:val="en-US"/>
        </w:rPr>
        <w:t xml:space="preserve">, </w:t>
      </w:r>
      <w:r w:rsidR="006A2837" w:rsidRPr="002A1DFC">
        <w:rPr>
          <w:bCs/>
          <w:sz w:val="20"/>
          <w:szCs w:val="20"/>
          <w:lang w:val="en-US"/>
        </w:rPr>
        <w:t>no data</w:t>
      </w:r>
      <w:r w:rsidR="00DE0C73" w:rsidRPr="002A1DFC">
        <w:rPr>
          <w:bCs/>
          <w:sz w:val="20"/>
          <w:szCs w:val="20"/>
          <w:lang w:val="en-US"/>
        </w:rPr>
        <w:t xml:space="preserve"> (n) = </w:t>
      </w:r>
      <w:r w:rsidR="0021457E" w:rsidRPr="002A1DFC">
        <w:rPr>
          <w:bCs/>
          <w:sz w:val="20"/>
          <w:szCs w:val="20"/>
          <w:lang w:val="en-US"/>
        </w:rPr>
        <w:t>21</w:t>
      </w:r>
      <w:r w:rsidR="00DE0C73" w:rsidRPr="002A1DFC">
        <w:rPr>
          <w:bCs/>
          <w:sz w:val="20"/>
          <w:szCs w:val="20"/>
          <w:lang w:val="en-US"/>
        </w:rPr>
        <w:t>.</w:t>
      </w:r>
    </w:p>
    <w:p w14:paraId="28D9B68A" w14:textId="6DE8C280" w:rsidR="00E160E7" w:rsidRPr="002A1DFC" w:rsidRDefault="00B013E6" w:rsidP="00713394">
      <w:pPr>
        <w:jc w:val="both"/>
        <w:rPr>
          <w:b/>
          <w:sz w:val="20"/>
          <w:szCs w:val="20"/>
          <w:lang w:val="en-US"/>
        </w:rPr>
      </w:pPr>
      <w:r w:rsidRPr="002A1DFC">
        <w:rPr>
          <w:b/>
          <w:sz w:val="20"/>
          <w:szCs w:val="20"/>
          <w:lang w:val="en-US"/>
        </w:rPr>
        <w:t>General site references:</w:t>
      </w:r>
      <w:r w:rsidRPr="002A1DFC">
        <w:rPr>
          <w:sz w:val="20"/>
          <w:szCs w:val="20"/>
          <w:lang w:val="en-US"/>
        </w:rPr>
        <w:t xml:space="preserve"> </w:t>
      </w:r>
      <w:r w:rsidR="00407642" w:rsidRPr="002A1DFC">
        <w:rPr>
          <w:noProof/>
          <w:sz w:val="20"/>
          <w:szCs w:val="20"/>
          <w:lang w:val="en-US"/>
        </w:rPr>
        <w:t>Ortolf 2014; Trautmann 2012; Menninger 2008</w:t>
      </w:r>
      <w:r w:rsidR="00582D48" w:rsidRPr="002A1DFC">
        <w:rPr>
          <w:noProof/>
          <w:sz w:val="20"/>
          <w:szCs w:val="20"/>
          <w:lang w:val="en-US"/>
        </w:rPr>
        <w:t>.</w:t>
      </w:r>
    </w:p>
    <w:p w14:paraId="5B43D419" w14:textId="58B8FE53" w:rsidR="00657B4B" w:rsidRPr="002A1DFC" w:rsidRDefault="00657B4B">
      <w:pPr>
        <w:rPr>
          <w:lang w:val="en-US"/>
        </w:rPr>
      </w:pPr>
    </w:p>
    <w:p w14:paraId="20EF3AFD" w14:textId="228CB942" w:rsidR="0029211B" w:rsidRPr="002A1DFC" w:rsidRDefault="0029211B" w:rsidP="0029211B">
      <w:pPr>
        <w:rPr>
          <w:b/>
          <w:lang w:val="en-US"/>
        </w:rPr>
      </w:pPr>
      <w:proofErr w:type="spellStart"/>
      <w:r w:rsidRPr="002A1DFC">
        <w:rPr>
          <w:b/>
          <w:lang w:val="en-US"/>
        </w:rPr>
        <w:t>Gemeinlebarn</w:t>
      </w:r>
      <w:proofErr w:type="spellEnd"/>
      <w:r w:rsidRPr="002A1DFC">
        <w:rPr>
          <w:b/>
          <w:lang w:val="en-US"/>
        </w:rPr>
        <w:t xml:space="preserve">, </w:t>
      </w:r>
      <w:proofErr w:type="spellStart"/>
      <w:r w:rsidRPr="002A1DFC">
        <w:rPr>
          <w:b/>
          <w:lang w:val="en-US"/>
        </w:rPr>
        <w:t>Nekropole</w:t>
      </w:r>
      <w:proofErr w:type="spellEnd"/>
      <w:r w:rsidRPr="002A1DFC">
        <w:rPr>
          <w:b/>
          <w:lang w:val="en-US"/>
        </w:rPr>
        <w:t xml:space="preserve"> F </w:t>
      </w:r>
      <w:r w:rsidR="00B509A0" w:rsidRPr="002A1DFC">
        <w:rPr>
          <w:b/>
          <w:lang w:val="en-US"/>
        </w:rPr>
        <w:t>(Austria)</w:t>
      </w:r>
    </w:p>
    <w:p w14:paraId="14B6B4EF" w14:textId="5A649D94" w:rsidR="0029211B" w:rsidRPr="002A1DFC" w:rsidRDefault="0029211B" w:rsidP="00A34C7A">
      <w:pPr>
        <w:jc w:val="both"/>
        <w:rPr>
          <w:sz w:val="20"/>
          <w:szCs w:val="20"/>
          <w:lang w:val="en-US"/>
        </w:rPr>
      </w:pPr>
      <w:r w:rsidRPr="002A1DFC">
        <w:rPr>
          <w:b/>
          <w:sz w:val="20"/>
          <w:szCs w:val="20"/>
          <w:lang w:val="en-US"/>
        </w:rPr>
        <w:t>Location</w:t>
      </w:r>
      <w:r w:rsidRPr="002A1DFC">
        <w:rPr>
          <w:sz w:val="20"/>
          <w:szCs w:val="20"/>
          <w:lang w:val="en-US"/>
        </w:rPr>
        <w:t xml:space="preserve">: </w:t>
      </w:r>
      <w:r w:rsidR="00BC532E" w:rsidRPr="002A1DFC">
        <w:rPr>
          <w:sz w:val="20"/>
          <w:szCs w:val="20"/>
          <w:lang w:val="en-US"/>
        </w:rPr>
        <w:t xml:space="preserve">St. </w:t>
      </w:r>
      <w:proofErr w:type="spellStart"/>
      <w:r w:rsidR="00BC532E" w:rsidRPr="002A1DFC">
        <w:rPr>
          <w:sz w:val="20"/>
          <w:szCs w:val="20"/>
          <w:lang w:val="en-US"/>
        </w:rPr>
        <w:t>Pölten</w:t>
      </w:r>
      <w:proofErr w:type="spellEnd"/>
      <w:r w:rsidR="00BC532E" w:rsidRPr="002A1DFC">
        <w:rPr>
          <w:sz w:val="20"/>
          <w:szCs w:val="20"/>
          <w:lang w:val="en-US"/>
        </w:rPr>
        <w:t>, Lower Austria</w:t>
      </w:r>
      <w:r w:rsidR="00B509A0" w:rsidRPr="002A1DFC">
        <w:rPr>
          <w:sz w:val="20"/>
          <w:szCs w:val="20"/>
          <w:lang w:val="en-US"/>
        </w:rPr>
        <w:t>.</w:t>
      </w:r>
    </w:p>
    <w:p w14:paraId="3D6D91C2" w14:textId="725C7C34" w:rsidR="00BC532E" w:rsidRPr="002A1DFC" w:rsidRDefault="00BC532E" w:rsidP="00A34C7A">
      <w:pPr>
        <w:jc w:val="both"/>
        <w:rPr>
          <w:sz w:val="20"/>
          <w:szCs w:val="20"/>
          <w:lang w:val="en-US"/>
        </w:rPr>
      </w:pPr>
      <w:r w:rsidRPr="002A1DFC">
        <w:rPr>
          <w:b/>
          <w:sz w:val="20"/>
          <w:szCs w:val="20"/>
          <w:lang w:val="en-US"/>
        </w:rPr>
        <w:t>Excavation</w:t>
      </w:r>
      <w:r w:rsidRPr="002A1DFC">
        <w:rPr>
          <w:sz w:val="20"/>
          <w:szCs w:val="20"/>
          <w:lang w:val="en-US"/>
        </w:rPr>
        <w:t>: 1973-1981</w:t>
      </w:r>
      <w:r w:rsidR="00476F19" w:rsidRPr="002A1DFC">
        <w:rPr>
          <w:sz w:val="20"/>
          <w:szCs w:val="20"/>
          <w:lang w:val="en-US"/>
        </w:rPr>
        <w:t xml:space="preserve"> (</w:t>
      </w:r>
      <w:r w:rsidRPr="002A1DFC">
        <w:rPr>
          <w:sz w:val="20"/>
          <w:szCs w:val="20"/>
          <w:lang w:val="en-US"/>
        </w:rPr>
        <w:t xml:space="preserve">J.-W. Neugebauer, </w:t>
      </w:r>
      <w:r w:rsidR="00862D4B" w:rsidRPr="002A1DFC">
        <w:rPr>
          <w:sz w:val="20"/>
          <w:szCs w:val="20"/>
          <w:lang w:val="en-US"/>
        </w:rPr>
        <w:t>in</w:t>
      </w:r>
      <w:r w:rsidRPr="002A1DFC">
        <w:rPr>
          <w:sz w:val="20"/>
          <w:szCs w:val="20"/>
          <w:lang w:val="en-US"/>
        </w:rPr>
        <w:t xml:space="preserve"> collaboration</w:t>
      </w:r>
      <w:r w:rsidR="00862D4B" w:rsidRPr="002A1DFC">
        <w:rPr>
          <w:sz w:val="20"/>
          <w:szCs w:val="20"/>
          <w:lang w:val="en-US"/>
        </w:rPr>
        <w:t xml:space="preserve"> with</w:t>
      </w:r>
      <w:r w:rsidRPr="002A1DFC">
        <w:rPr>
          <w:sz w:val="20"/>
          <w:szCs w:val="20"/>
          <w:lang w:val="en-US"/>
        </w:rPr>
        <w:t xml:space="preserve"> A. </w:t>
      </w:r>
      <w:proofErr w:type="spellStart"/>
      <w:r w:rsidRPr="002A1DFC">
        <w:rPr>
          <w:sz w:val="20"/>
          <w:szCs w:val="20"/>
          <w:lang w:val="en-US"/>
        </w:rPr>
        <w:t>Gattringer</w:t>
      </w:r>
      <w:proofErr w:type="spellEnd"/>
      <w:r w:rsidR="00476F19" w:rsidRPr="002A1DFC">
        <w:rPr>
          <w:sz w:val="20"/>
          <w:szCs w:val="20"/>
          <w:lang w:val="en-US"/>
        </w:rPr>
        <w:t xml:space="preserve">). </w:t>
      </w:r>
    </w:p>
    <w:p w14:paraId="4047F111" w14:textId="1203A098" w:rsidR="0029211B" w:rsidRPr="002A1DFC" w:rsidRDefault="00BC532E" w:rsidP="00A34C7A">
      <w:pPr>
        <w:jc w:val="both"/>
        <w:rPr>
          <w:sz w:val="20"/>
          <w:szCs w:val="20"/>
          <w:lang w:val="en-US"/>
        </w:rPr>
      </w:pPr>
      <w:r w:rsidRPr="002A1DFC">
        <w:rPr>
          <w:b/>
          <w:sz w:val="20"/>
          <w:szCs w:val="20"/>
          <w:lang w:val="en-US"/>
        </w:rPr>
        <w:t>Chronology</w:t>
      </w:r>
      <w:r w:rsidR="0029211B" w:rsidRPr="002A1DFC">
        <w:rPr>
          <w:sz w:val="20"/>
          <w:szCs w:val="20"/>
          <w:lang w:val="en-US"/>
        </w:rPr>
        <w:t>:</w:t>
      </w:r>
      <w:r w:rsidRPr="002A1DFC">
        <w:rPr>
          <w:sz w:val="20"/>
          <w:szCs w:val="20"/>
          <w:lang w:val="en-US"/>
        </w:rPr>
        <w:t xml:space="preserve"> </w:t>
      </w:r>
      <w:r w:rsidR="00922165" w:rsidRPr="002A1DFC">
        <w:rPr>
          <w:sz w:val="20"/>
          <w:szCs w:val="20"/>
          <w:lang w:val="en-US"/>
        </w:rPr>
        <w:t>L</w:t>
      </w:r>
      <w:r w:rsidRPr="002A1DFC">
        <w:rPr>
          <w:sz w:val="20"/>
          <w:szCs w:val="20"/>
          <w:lang w:val="en-US"/>
        </w:rPr>
        <w:t>ate phase of the Early Bronze Age (“</w:t>
      </w:r>
      <w:proofErr w:type="spellStart"/>
      <w:r w:rsidRPr="002A1DFC">
        <w:rPr>
          <w:sz w:val="20"/>
          <w:szCs w:val="20"/>
          <w:lang w:val="en-US"/>
        </w:rPr>
        <w:t>Gemeinlebarn</w:t>
      </w:r>
      <w:proofErr w:type="spellEnd"/>
      <w:r w:rsidRPr="002A1DFC">
        <w:rPr>
          <w:sz w:val="20"/>
          <w:szCs w:val="20"/>
          <w:lang w:val="en-US"/>
        </w:rPr>
        <w:t xml:space="preserve"> III”)</w:t>
      </w:r>
      <w:r w:rsidR="008858A2">
        <w:rPr>
          <w:sz w:val="20"/>
          <w:szCs w:val="20"/>
          <w:lang w:val="en-US"/>
        </w:rPr>
        <w:t>.</w:t>
      </w:r>
    </w:p>
    <w:p w14:paraId="4E083571" w14:textId="30349274" w:rsidR="00CE775D" w:rsidRPr="002A1DFC" w:rsidRDefault="00CE775D" w:rsidP="00A34C7A">
      <w:pPr>
        <w:jc w:val="both"/>
        <w:rPr>
          <w:lang w:val="en-US"/>
        </w:rPr>
      </w:pPr>
      <w:r w:rsidRPr="002A1DFC">
        <w:rPr>
          <w:b/>
          <w:sz w:val="20"/>
          <w:szCs w:val="20"/>
          <w:lang w:val="en-US"/>
        </w:rPr>
        <w:t>Material culture</w:t>
      </w:r>
      <w:r w:rsidRPr="002A1DFC">
        <w:rPr>
          <w:sz w:val="20"/>
          <w:szCs w:val="20"/>
          <w:lang w:val="en-US"/>
        </w:rPr>
        <w:t xml:space="preserve">: </w:t>
      </w:r>
      <w:proofErr w:type="spellStart"/>
      <w:r w:rsidR="00257646" w:rsidRPr="002A1DFC">
        <w:rPr>
          <w:bCs/>
          <w:color w:val="202122"/>
          <w:sz w:val="20"/>
          <w:szCs w:val="20"/>
          <w:lang w:val="en-US"/>
        </w:rPr>
        <w:t>Únětice</w:t>
      </w:r>
      <w:proofErr w:type="spellEnd"/>
      <w:r w:rsidRPr="002A1DFC">
        <w:rPr>
          <w:sz w:val="20"/>
          <w:szCs w:val="20"/>
          <w:lang w:val="en-US"/>
        </w:rPr>
        <w:t xml:space="preserve">, </w:t>
      </w:r>
      <w:proofErr w:type="spellStart"/>
      <w:r w:rsidRPr="002A1DFC">
        <w:rPr>
          <w:sz w:val="20"/>
          <w:szCs w:val="20"/>
          <w:lang w:val="en-US"/>
        </w:rPr>
        <w:t>Gemeinlebarn</w:t>
      </w:r>
      <w:proofErr w:type="spellEnd"/>
      <w:r w:rsidRPr="002A1DFC">
        <w:rPr>
          <w:sz w:val="20"/>
          <w:szCs w:val="20"/>
          <w:lang w:val="en-US"/>
        </w:rPr>
        <w:t xml:space="preserve"> </w:t>
      </w:r>
      <w:r w:rsidR="00257646" w:rsidRPr="002A1DFC">
        <w:rPr>
          <w:sz w:val="20"/>
          <w:szCs w:val="20"/>
          <w:lang w:val="en-US"/>
        </w:rPr>
        <w:t>phase</w:t>
      </w:r>
      <w:r w:rsidRPr="002A1DFC">
        <w:rPr>
          <w:sz w:val="20"/>
          <w:szCs w:val="20"/>
          <w:lang w:val="en-US"/>
        </w:rPr>
        <w:t xml:space="preserve"> III</w:t>
      </w:r>
      <w:r w:rsidR="008858A2">
        <w:rPr>
          <w:sz w:val="20"/>
          <w:szCs w:val="20"/>
          <w:lang w:val="en-US"/>
        </w:rPr>
        <w:t>.</w:t>
      </w:r>
    </w:p>
    <w:p w14:paraId="550D9936" w14:textId="6BE33E8F" w:rsidR="00BC532E" w:rsidRPr="002A1DFC" w:rsidRDefault="00BC532E" w:rsidP="00A34C7A">
      <w:pPr>
        <w:jc w:val="both"/>
        <w:rPr>
          <w:sz w:val="20"/>
          <w:szCs w:val="20"/>
          <w:lang w:val="en-US"/>
        </w:rPr>
      </w:pPr>
      <w:r w:rsidRPr="002A1DFC">
        <w:rPr>
          <w:b/>
          <w:sz w:val="20"/>
          <w:szCs w:val="20"/>
          <w:lang w:val="en-US"/>
        </w:rPr>
        <w:t>Use duration</w:t>
      </w:r>
      <w:r w:rsidRPr="002A1DFC">
        <w:rPr>
          <w:sz w:val="20"/>
          <w:szCs w:val="20"/>
          <w:lang w:val="en-US"/>
        </w:rPr>
        <w:t>: 80-100 years</w:t>
      </w:r>
      <w:r w:rsidR="008858A2">
        <w:rPr>
          <w:sz w:val="20"/>
          <w:szCs w:val="20"/>
          <w:lang w:val="en-US"/>
        </w:rPr>
        <w:t>.</w:t>
      </w:r>
    </w:p>
    <w:p w14:paraId="3BB871AC" w14:textId="20A78A41" w:rsidR="00BC532E" w:rsidRPr="002A1DFC" w:rsidRDefault="00BC532E" w:rsidP="00A34C7A">
      <w:pPr>
        <w:jc w:val="both"/>
        <w:rPr>
          <w:sz w:val="20"/>
          <w:szCs w:val="20"/>
          <w:lang w:val="en-US"/>
        </w:rPr>
      </w:pPr>
      <w:r w:rsidRPr="002A1DFC">
        <w:rPr>
          <w:b/>
          <w:sz w:val="20"/>
          <w:szCs w:val="20"/>
          <w:lang w:val="en-US"/>
        </w:rPr>
        <w:t>Preservation</w:t>
      </w:r>
      <w:r w:rsidRPr="002A1DFC">
        <w:rPr>
          <w:sz w:val="20"/>
          <w:szCs w:val="20"/>
          <w:lang w:val="en-US"/>
        </w:rPr>
        <w:t xml:space="preserve">: Skeletal remains </w:t>
      </w:r>
      <w:r w:rsidR="008858A2">
        <w:rPr>
          <w:sz w:val="20"/>
          <w:szCs w:val="20"/>
          <w:lang w:val="en-US"/>
        </w:rPr>
        <w:t xml:space="preserve">are </w:t>
      </w:r>
      <w:r w:rsidRPr="002A1DFC">
        <w:rPr>
          <w:sz w:val="20"/>
          <w:szCs w:val="20"/>
          <w:lang w:val="en-US"/>
        </w:rPr>
        <w:t>relatively poor</w:t>
      </w:r>
      <w:r w:rsidR="008858A2">
        <w:rPr>
          <w:sz w:val="20"/>
          <w:szCs w:val="20"/>
          <w:lang w:val="en-US"/>
        </w:rPr>
        <w:t>ly preserved</w:t>
      </w:r>
      <w:r w:rsidRPr="002A1DFC">
        <w:rPr>
          <w:sz w:val="20"/>
          <w:szCs w:val="20"/>
          <w:lang w:val="en-US"/>
        </w:rPr>
        <w:t xml:space="preserve">, </w:t>
      </w:r>
      <w:r w:rsidR="00987145">
        <w:rPr>
          <w:sz w:val="20"/>
          <w:szCs w:val="20"/>
          <w:lang w:val="en-US"/>
        </w:rPr>
        <w:t xml:space="preserve">and </w:t>
      </w:r>
      <w:r w:rsidR="008858A2">
        <w:rPr>
          <w:sz w:val="20"/>
          <w:szCs w:val="20"/>
          <w:lang w:val="en-US"/>
        </w:rPr>
        <w:t xml:space="preserve">a </w:t>
      </w:r>
      <w:r w:rsidRPr="002A1DFC">
        <w:rPr>
          <w:sz w:val="20"/>
          <w:szCs w:val="20"/>
          <w:lang w:val="en-US"/>
        </w:rPr>
        <w:t>strong rarefication of compact bone segments</w:t>
      </w:r>
      <w:r w:rsidR="008858A2">
        <w:rPr>
          <w:sz w:val="20"/>
          <w:szCs w:val="20"/>
          <w:lang w:val="en-US"/>
        </w:rPr>
        <w:t xml:space="preserve"> is mentioned. </w:t>
      </w:r>
      <w:proofErr w:type="gramStart"/>
      <w:r w:rsidR="008858A2">
        <w:rPr>
          <w:sz w:val="20"/>
          <w:szCs w:val="20"/>
          <w:lang w:val="en-US"/>
        </w:rPr>
        <w:t xml:space="preserve">Based </w:t>
      </w:r>
      <w:r w:rsidRPr="002A1DFC">
        <w:rPr>
          <w:sz w:val="20"/>
          <w:szCs w:val="20"/>
          <w:lang w:val="en-US"/>
        </w:rPr>
        <w:t xml:space="preserve"> </w:t>
      </w:r>
      <w:r w:rsidR="008858A2" w:rsidRPr="002A1DFC">
        <w:rPr>
          <w:sz w:val="20"/>
          <w:szCs w:val="20"/>
          <w:lang w:val="en-US"/>
        </w:rPr>
        <w:t>on</w:t>
      </w:r>
      <w:proofErr w:type="gramEnd"/>
      <w:r w:rsidR="008858A2" w:rsidRPr="002A1DFC">
        <w:rPr>
          <w:sz w:val="20"/>
          <w:szCs w:val="20"/>
          <w:lang w:val="en-US"/>
        </w:rPr>
        <w:t xml:space="preserve"> </w:t>
      </w:r>
      <w:r w:rsidR="008858A2">
        <w:rPr>
          <w:sz w:val="20"/>
          <w:szCs w:val="20"/>
          <w:lang w:val="en-US"/>
        </w:rPr>
        <w:t xml:space="preserve">the finding of </w:t>
      </w:r>
      <w:r w:rsidR="008858A2" w:rsidRPr="002A1DFC">
        <w:rPr>
          <w:sz w:val="20"/>
          <w:szCs w:val="20"/>
          <w:lang w:val="en-US"/>
        </w:rPr>
        <w:t>dislocated skeletal portions or skeletal elements</w:t>
      </w:r>
      <w:r w:rsidR="008858A2">
        <w:rPr>
          <w:sz w:val="20"/>
          <w:szCs w:val="20"/>
          <w:lang w:val="en-US"/>
        </w:rPr>
        <w:t>,</w:t>
      </w:r>
      <w:r w:rsidR="008858A2" w:rsidRPr="002A1DFC">
        <w:rPr>
          <w:sz w:val="20"/>
          <w:szCs w:val="20"/>
          <w:lang w:val="en-US"/>
        </w:rPr>
        <w:t xml:space="preserve"> </w:t>
      </w:r>
      <w:r w:rsidRPr="002A1DFC">
        <w:rPr>
          <w:sz w:val="20"/>
          <w:szCs w:val="20"/>
          <w:lang w:val="en-US"/>
        </w:rPr>
        <w:t xml:space="preserve">most grave contexts </w:t>
      </w:r>
      <w:r w:rsidR="008858A2">
        <w:rPr>
          <w:sz w:val="20"/>
          <w:szCs w:val="20"/>
          <w:lang w:val="en-US"/>
        </w:rPr>
        <w:t xml:space="preserve">were disturbed </w:t>
      </w:r>
      <w:r w:rsidR="008858A2" w:rsidRPr="002A1DFC">
        <w:rPr>
          <w:sz w:val="20"/>
          <w:szCs w:val="20"/>
          <w:lang w:val="en-US"/>
        </w:rPr>
        <w:t>at different stages of the bodily decomposition</w:t>
      </w:r>
      <w:r w:rsidR="008858A2">
        <w:rPr>
          <w:sz w:val="20"/>
          <w:szCs w:val="20"/>
          <w:lang w:val="en-US"/>
        </w:rPr>
        <w:t xml:space="preserve"> and marked </w:t>
      </w:r>
      <w:r w:rsidRPr="002A1DFC">
        <w:rPr>
          <w:sz w:val="20"/>
          <w:szCs w:val="20"/>
          <w:lang w:val="en-US"/>
        </w:rPr>
        <w:t xml:space="preserve">at variable degrees </w:t>
      </w:r>
      <w:r w:rsidR="008858A2">
        <w:rPr>
          <w:sz w:val="20"/>
          <w:szCs w:val="20"/>
          <w:lang w:val="en-US"/>
        </w:rPr>
        <w:t>by</w:t>
      </w:r>
      <w:r w:rsidR="008858A2" w:rsidRPr="002A1DFC">
        <w:rPr>
          <w:sz w:val="20"/>
          <w:szCs w:val="20"/>
          <w:lang w:val="en-US"/>
        </w:rPr>
        <w:t xml:space="preserve"> </w:t>
      </w:r>
      <w:r w:rsidR="00C837FC" w:rsidRPr="002A1DFC">
        <w:rPr>
          <w:sz w:val="20"/>
          <w:szCs w:val="20"/>
          <w:lang w:val="en-US"/>
        </w:rPr>
        <w:t>ancient</w:t>
      </w:r>
      <w:r w:rsidRPr="002A1DFC">
        <w:rPr>
          <w:sz w:val="20"/>
          <w:szCs w:val="20"/>
          <w:lang w:val="en-US"/>
        </w:rPr>
        <w:t xml:space="preserve"> </w:t>
      </w:r>
      <w:r w:rsidR="00CE775D" w:rsidRPr="002A1DFC">
        <w:rPr>
          <w:sz w:val="20"/>
          <w:szCs w:val="20"/>
          <w:lang w:val="en-US"/>
        </w:rPr>
        <w:t>looting</w:t>
      </w:r>
      <w:r w:rsidRPr="002A1DFC">
        <w:rPr>
          <w:sz w:val="20"/>
          <w:szCs w:val="20"/>
          <w:lang w:val="en-US"/>
        </w:rPr>
        <w:t xml:space="preserve"> activities . </w:t>
      </w:r>
    </w:p>
    <w:p w14:paraId="1D6C2F8A" w14:textId="23567A74" w:rsidR="0029211B" w:rsidRPr="002A1DFC" w:rsidRDefault="0029211B" w:rsidP="00A34C7A">
      <w:pPr>
        <w:jc w:val="both"/>
        <w:rPr>
          <w:sz w:val="20"/>
          <w:szCs w:val="20"/>
          <w:lang w:val="en-US"/>
        </w:rPr>
      </w:pPr>
      <w:r w:rsidRPr="002A1DFC">
        <w:rPr>
          <w:b/>
          <w:sz w:val="20"/>
          <w:szCs w:val="20"/>
          <w:lang w:val="en-US"/>
        </w:rPr>
        <w:t>Burial structures</w:t>
      </w:r>
      <w:r w:rsidRPr="002A1DFC">
        <w:rPr>
          <w:sz w:val="20"/>
          <w:szCs w:val="20"/>
          <w:lang w:val="en-US"/>
        </w:rPr>
        <w:t xml:space="preserve">: </w:t>
      </w:r>
      <w:r w:rsidR="00BC532E" w:rsidRPr="002A1DFC">
        <w:rPr>
          <w:sz w:val="20"/>
          <w:szCs w:val="20"/>
          <w:lang w:val="en-US"/>
        </w:rPr>
        <w:t>258</w:t>
      </w:r>
    </w:p>
    <w:p w14:paraId="47A470AF" w14:textId="07E3ECAA" w:rsidR="00E160E7" w:rsidRPr="002A1DFC" w:rsidRDefault="00E160E7" w:rsidP="00A34C7A">
      <w:pPr>
        <w:jc w:val="both"/>
        <w:rPr>
          <w:sz w:val="20"/>
          <w:szCs w:val="20"/>
          <w:lang w:val="en-US"/>
        </w:rPr>
      </w:pPr>
      <w:r w:rsidRPr="002A1DFC">
        <w:rPr>
          <w:b/>
          <w:sz w:val="20"/>
          <w:szCs w:val="20"/>
          <w:lang w:val="en-US"/>
        </w:rPr>
        <w:t>Burial practice</w:t>
      </w:r>
      <w:r w:rsidRPr="002A1DFC">
        <w:rPr>
          <w:sz w:val="20"/>
          <w:szCs w:val="20"/>
          <w:lang w:val="en-US"/>
        </w:rPr>
        <w:t>: 1 cremation and 224 inhumations</w:t>
      </w:r>
      <w:r w:rsidR="008858A2">
        <w:rPr>
          <w:sz w:val="20"/>
          <w:szCs w:val="20"/>
          <w:lang w:val="en-US"/>
        </w:rPr>
        <w:t>.</w:t>
      </w:r>
    </w:p>
    <w:p w14:paraId="5A6894D4" w14:textId="62D125E9" w:rsidR="0029211B" w:rsidRPr="002A1DFC" w:rsidRDefault="0029211B" w:rsidP="00A34C7A">
      <w:pPr>
        <w:jc w:val="both"/>
        <w:rPr>
          <w:sz w:val="20"/>
          <w:szCs w:val="20"/>
          <w:lang w:val="en-US"/>
        </w:rPr>
      </w:pPr>
      <w:r w:rsidRPr="002A1DFC">
        <w:rPr>
          <w:b/>
          <w:sz w:val="20"/>
          <w:szCs w:val="20"/>
          <w:lang w:val="en-US"/>
        </w:rPr>
        <w:t>Minimum number of individuals</w:t>
      </w:r>
      <w:r w:rsidRPr="002A1DFC">
        <w:rPr>
          <w:sz w:val="20"/>
          <w:szCs w:val="20"/>
          <w:lang w:val="en-US"/>
        </w:rPr>
        <w:t xml:space="preserve">: </w:t>
      </w:r>
      <w:r w:rsidR="00BC532E" w:rsidRPr="002A1DFC">
        <w:rPr>
          <w:sz w:val="20"/>
          <w:szCs w:val="20"/>
          <w:lang w:val="en-US"/>
        </w:rPr>
        <w:t>22</w:t>
      </w:r>
      <w:r w:rsidR="006970C4" w:rsidRPr="002A1DFC">
        <w:rPr>
          <w:sz w:val="20"/>
          <w:szCs w:val="20"/>
          <w:lang w:val="en-US"/>
        </w:rPr>
        <w:t>5</w:t>
      </w:r>
      <w:r w:rsidR="00E160E7" w:rsidRPr="002A1DFC">
        <w:rPr>
          <w:sz w:val="20"/>
          <w:szCs w:val="20"/>
          <w:lang w:val="en-US"/>
        </w:rPr>
        <w:t xml:space="preserve"> </w:t>
      </w:r>
    </w:p>
    <w:p w14:paraId="18AAF8BC" w14:textId="6F44C6DD" w:rsidR="00921920" w:rsidRPr="002A1DFC" w:rsidRDefault="00921920" w:rsidP="00A34C7A">
      <w:pPr>
        <w:jc w:val="both"/>
        <w:rPr>
          <w:sz w:val="20"/>
          <w:szCs w:val="20"/>
          <w:lang w:val="en-US"/>
        </w:rPr>
      </w:pPr>
      <w:r w:rsidRPr="002A1DFC">
        <w:rPr>
          <w:b/>
          <w:sz w:val="20"/>
          <w:szCs w:val="20"/>
          <w:lang w:val="en-US"/>
        </w:rPr>
        <w:t>Anthropologists</w:t>
      </w:r>
      <w:r w:rsidRPr="002A1DFC">
        <w:rPr>
          <w:sz w:val="20"/>
          <w:szCs w:val="20"/>
          <w:lang w:val="en-US"/>
        </w:rPr>
        <w:t xml:space="preserve">: W. Heinrich </w:t>
      </w:r>
      <w:r w:rsidR="00D655D0" w:rsidRPr="002A1DFC">
        <w:rPr>
          <w:sz w:val="20"/>
          <w:szCs w:val="20"/>
          <w:lang w:val="en-US"/>
        </w:rPr>
        <w:t>and</w:t>
      </w:r>
      <w:r w:rsidRPr="002A1DFC">
        <w:rPr>
          <w:sz w:val="20"/>
          <w:szCs w:val="20"/>
          <w:lang w:val="en-US"/>
        </w:rPr>
        <w:t xml:space="preserve"> M. </w:t>
      </w:r>
      <w:proofErr w:type="spellStart"/>
      <w:r w:rsidRPr="002A1DFC">
        <w:rPr>
          <w:sz w:val="20"/>
          <w:szCs w:val="20"/>
          <w:lang w:val="en-US"/>
        </w:rPr>
        <w:t>Teschler</w:t>
      </w:r>
      <w:proofErr w:type="spellEnd"/>
      <w:r w:rsidRPr="002A1DFC">
        <w:rPr>
          <w:sz w:val="20"/>
          <w:szCs w:val="20"/>
          <w:lang w:val="en-US"/>
        </w:rPr>
        <w:t xml:space="preserve">-Nicola. </w:t>
      </w:r>
    </w:p>
    <w:p w14:paraId="2C1419EA" w14:textId="798AB43F" w:rsidR="0029211B" w:rsidRPr="002A1DFC" w:rsidRDefault="008F4666" w:rsidP="00A34C7A">
      <w:pPr>
        <w:jc w:val="both"/>
        <w:rPr>
          <w:sz w:val="20"/>
          <w:szCs w:val="20"/>
          <w:lang w:val="en-US"/>
        </w:rPr>
      </w:pPr>
      <w:r w:rsidRPr="002A1DFC">
        <w:rPr>
          <w:b/>
          <w:sz w:val="20"/>
          <w:szCs w:val="20"/>
          <w:lang w:val="en-US"/>
        </w:rPr>
        <w:t>Sex-determination</w:t>
      </w:r>
      <w:r w:rsidR="00BC532E" w:rsidRPr="002A1DFC">
        <w:rPr>
          <w:b/>
          <w:sz w:val="20"/>
          <w:szCs w:val="20"/>
          <w:lang w:val="en-US"/>
        </w:rPr>
        <w:t xml:space="preserve"> methods</w:t>
      </w:r>
      <w:r w:rsidR="0029211B" w:rsidRPr="002A1DFC">
        <w:rPr>
          <w:b/>
          <w:sz w:val="20"/>
          <w:szCs w:val="20"/>
          <w:lang w:val="en-US"/>
        </w:rPr>
        <w:t>:</w:t>
      </w:r>
      <w:r w:rsidR="0029211B" w:rsidRPr="002A1DFC">
        <w:rPr>
          <w:sz w:val="20"/>
          <w:szCs w:val="20"/>
          <w:lang w:val="en-US"/>
        </w:rPr>
        <w:t xml:space="preserve"> </w:t>
      </w:r>
      <w:r w:rsidR="004269D3" w:rsidRPr="002A1DFC">
        <w:rPr>
          <w:sz w:val="20"/>
          <w:szCs w:val="20"/>
          <w:lang w:val="en-US"/>
        </w:rPr>
        <w:t xml:space="preserve">The </w:t>
      </w:r>
      <w:r w:rsidR="009D7719" w:rsidRPr="002A1DFC">
        <w:rPr>
          <w:sz w:val="20"/>
          <w:szCs w:val="20"/>
          <w:lang w:val="en-US"/>
        </w:rPr>
        <w:t xml:space="preserve">osteological </w:t>
      </w:r>
      <w:r w:rsidR="00F6640B" w:rsidRPr="002A1DFC">
        <w:rPr>
          <w:sz w:val="20"/>
          <w:szCs w:val="20"/>
          <w:lang w:val="en-US"/>
        </w:rPr>
        <w:t xml:space="preserve">analyses were carried out </w:t>
      </w:r>
      <w:r w:rsidR="00BC532E" w:rsidRPr="002A1DFC">
        <w:rPr>
          <w:sz w:val="20"/>
          <w:szCs w:val="20"/>
          <w:lang w:val="en-US"/>
        </w:rPr>
        <w:t xml:space="preserve">following ‘among others’ </w:t>
      </w:r>
      <w:r w:rsidR="00F6640B" w:rsidRPr="002A1DFC">
        <w:rPr>
          <w:sz w:val="20"/>
          <w:szCs w:val="20"/>
          <w:lang w:val="en-US"/>
        </w:rPr>
        <w:t xml:space="preserve">the methods presented by </w:t>
      </w:r>
      <w:r w:rsidR="00BC532E" w:rsidRPr="002A1DFC">
        <w:rPr>
          <w:sz w:val="20"/>
          <w:szCs w:val="20"/>
          <w:lang w:val="en-US"/>
        </w:rPr>
        <w:t xml:space="preserve">Martin </w:t>
      </w:r>
      <w:r w:rsidR="00343D8B" w:rsidRPr="002A1DFC">
        <w:rPr>
          <w:sz w:val="20"/>
          <w:szCs w:val="20"/>
          <w:lang w:val="en-US"/>
        </w:rPr>
        <w:t>and</w:t>
      </w:r>
      <w:r w:rsidR="00BC532E" w:rsidRPr="002A1DFC">
        <w:rPr>
          <w:sz w:val="20"/>
          <w:szCs w:val="20"/>
          <w:lang w:val="en-US"/>
        </w:rPr>
        <w:t xml:space="preserve"> </w:t>
      </w:r>
      <w:proofErr w:type="spellStart"/>
      <w:r w:rsidR="00BC532E" w:rsidRPr="002A1DFC">
        <w:rPr>
          <w:sz w:val="20"/>
          <w:szCs w:val="20"/>
          <w:lang w:val="en-US"/>
        </w:rPr>
        <w:t>Saller</w:t>
      </w:r>
      <w:proofErr w:type="spellEnd"/>
      <w:r w:rsidR="00BC532E" w:rsidRPr="002A1DFC">
        <w:rPr>
          <w:sz w:val="20"/>
          <w:szCs w:val="20"/>
          <w:lang w:val="en-US"/>
        </w:rPr>
        <w:t xml:space="preserve"> </w:t>
      </w:r>
      <w:r w:rsidR="00407642" w:rsidRPr="002A1DFC">
        <w:rPr>
          <w:noProof/>
          <w:sz w:val="20"/>
          <w:szCs w:val="20"/>
          <w:lang w:val="en-US"/>
        </w:rPr>
        <w:t>(1957)</w:t>
      </w:r>
      <w:r w:rsidR="00343D8B" w:rsidRPr="002A1DFC">
        <w:rPr>
          <w:sz w:val="20"/>
          <w:szCs w:val="20"/>
          <w:lang w:val="en-US"/>
        </w:rPr>
        <w:t>,</w:t>
      </w:r>
      <w:r w:rsidR="00BC532E" w:rsidRPr="002A1DFC">
        <w:rPr>
          <w:sz w:val="20"/>
          <w:szCs w:val="20"/>
          <w:lang w:val="en-US"/>
        </w:rPr>
        <w:t xml:space="preserve"> </w:t>
      </w:r>
      <w:proofErr w:type="spellStart"/>
      <w:r w:rsidR="00BC532E" w:rsidRPr="002A1DFC">
        <w:rPr>
          <w:sz w:val="20"/>
          <w:szCs w:val="20"/>
          <w:lang w:val="en-US"/>
        </w:rPr>
        <w:t>Krogman</w:t>
      </w:r>
      <w:proofErr w:type="spellEnd"/>
      <w:r w:rsidR="00BC532E" w:rsidRPr="002A1DFC">
        <w:rPr>
          <w:sz w:val="20"/>
          <w:szCs w:val="20"/>
          <w:lang w:val="en-US"/>
        </w:rPr>
        <w:t xml:space="preserve"> </w:t>
      </w:r>
      <w:r w:rsidR="00407642" w:rsidRPr="002A1DFC">
        <w:rPr>
          <w:noProof/>
          <w:sz w:val="20"/>
          <w:szCs w:val="20"/>
          <w:lang w:val="en-US"/>
        </w:rPr>
        <w:t>(1962)</w:t>
      </w:r>
      <w:r w:rsidR="00343D8B" w:rsidRPr="002A1DFC">
        <w:rPr>
          <w:sz w:val="20"/>
          <w:szCs w:val="20"/>
          <w:lang w:val="en-US"/>
        </w:rPr>
        <w:t xml:space="preserve">, </w:t>
      </w:r>
      <w:proofErr w:type="spellStart"/>
      <w:r w:rsidR="00BC532E" w:rsidRPr="002A1DFC">
        <w:rPr>
          <w:sz w:val="20"/>
          <w:szCs w:val="20"/>
          <w:lang w:val="en-US"/>
        </w:rPr>
        <w:t>Brothwell</w:t>
      </w:r>
      <w:proofErr w:type="spellEnd"/>
      <w:r w:rsidR="00BC532E" w:rsidRPr="002A1DFC">
        <w:rPr>
          <w:sz w:val="20"/>
          <w:szCs w:val="20"/>
          <w:lang w:val="en-US"/>
        </w:rPr>
        <w:t xml:space="preserve"> </w:t>
      </w:r>
      <w:r w:rsidR="00407642" w:rsidRPr="002A1DFC">
        <w:rPr>
          <w:noProof/>
          <w:sz w:val="20"/>
          <w:szCs w:val="20"/>
          <w:lang w:val="en-US"/>
        </w:rPr>
        <w:t>(1965)</w:t>
      </w:r>
      <w:r w:rsidR="00F6640B" w:rsidRPr="002A1DFC">
        <w:rPr>
          <w:sz w:val="20"/>
          <w:szCs w:val="20"/>
          <w:lang w:val="en-US"/>
        </w:rPr>
        <w:t>, and</w:t>
      </w:r>
      <w:r w:rsidR="00BC532E" w:rsidRPr="002A1DFC">
        <w:rPr>
          <w:sz w:val="20"/>
          <w:szCs w:val="20"/>
          <w:lang w:val="en-US"/>
        </w:rPr>
        <w:t xml:space="preserve"> in particular </w:t>
      </w:r>
      <w:r w:rsidR="00F6640B" w:rsidRPr="002A1DFC">
        <w:rPr>
          <w:sz w:val="20"/>
          <w:szCs w:val="20"/>
          <w:lang w:val="en-US"/>
        </w:rPr>
        <w:t>following</w:t>
      </w:r>
      <w:r w:rsidR="00BC532E" w:rsidRPr="002A1DFC">
        <w:rPr>
          <w:sz w:val="20"/>
          <w:szCs w:val="20"/>
          <w:lang w:val="en-US"/>
        </w:rPr>
        <w:t xml:space="preserve"> the recommendations of </w:t>
      </w:r>
      <w:proofErr w:type="spellStart"/>
      <w:r w:rsidR="00BC532E" w:rsidRPr="002A1DFC">
        <w:rPr>
          <w:sz w:val="20"/>
          <w:szCs w:val="20"/>
          <w:lang w:val="en-US"/>
        </w:rPr>
        <w:t>Ferembach</w:t>
      </w:r>
      <w:proofErr w:type="spellEnd"/>
      <w:r w:rsidR="00BC532E" w:rsidRPr="002A1DFC">
        <w:rPr>
          <w:sz w:val="20"/>
          <w:szCs w:val="20"/>
          <w:lang w:val="en-US"/>
        </w:rPr>
        <w:t xml:space="preserve"> </w:t>
      </w:r>
      <w:r w:rsidR="00BC532E" w:rsidRPr="00CA6877">
        <w:rPr>
          <w:i/>
          <w:sz w:val="20"/>
          <w:szCs w:val="20"/>
          <w:lang w:val="en-US"/>
        </w:rPr>
        <w:t>et al.</w:t>
      </w:r>
      <w:r w:rsidR="00BC532E" w:rsidRPr="002A1DFC">
        <w:rPr>
          <w:sz w:val="20"/>
          <w:szCs w:val="20"/>
          <w:lang w:val="en-US"/>
        </w:rPr>
        <w:t xml:space="preserve"> </w:t>
      </w:r>
      <w:r w:rsidR="00407642" w:rsidRPr="002A1DFC">
        <w:rPr>
          <w:noProof/>
          <w:sz w:val="20"/>
          <w:szCs w:val="20"/>
          <w:lang w:val="en-US"/>
        </w:rPr>
        <w:t>(1979)</w:t>
      </w:r>
      <w:r w:rsidR="00BC532E" w:rsidRPr="002A1DFC">
        <w:rPr>
          <w:sz w:val="20"/>
          <w:szCs w:val="20"/>
          <w:lang w:val="en-US"/>
        </w:rPr>
        <w:t>.</w:t>
      </w:r>
    </w:p>
    <w:p w14:paraId="6CFC583E" w14:textId="5931D7DC" w:rsidR="00BC532E" w:rsidRPr="002A1DFC" w:rsidRDefault="009D7719" w:rsidP="00A34C7A">
      <w:pPr>
        <w:jc w:val="both"/>
        <w:rPr>
          <w:sz w:val="20"/>
          <w:szCs w:val="20"/>
          <w:lang w:val="en-US"/>
        </w:rPr>
      </w:pPr>
      <w:r w:rsidRPr="002A1DFC">
        <w:rPr>
          <w:b/>
          <w:sz w:val="20"/>
          <w:szCs w:val="20"/>
          <w:lang w:val="en-US"/>
        </w:rPr>
        <w:t xml:space="preserve">Osteological </w:t>
      </w:r>
      <w:r w:rsidR="00BC532E" w:rsidRPr="002A1DFC">
        <w:rPr>
          <w:b/>
          <w:sz w:val="20"/>
          <w:szCs w:val="20"/>
          <w:lang w:val="en-US"/>
        </w:rPr>
        <w:t>data-analyses</w:t>
      </w:r>
      <w:r w:rsidR="00BC532E" w:rsidRPr="002A1DFC">
        <w:rPr>
          <w:sz w:val="20"/>
          <w:szCs w:val="20"/>
          <w:lang w:val="en-US"/>
        </w:rPr>
        <w:t xml:space="preserve">: </w:t>
      </w:r>
      <w:r w:rsidR="00DD52F1" w:rsidRPr="002A1DFC">
        <w:rPr>
          <w:sz w:val="20"/>
          <w:szCs w:val="20"/>
          <w:lang w:val="en-US"/>
        </w:rPr>
        <w:t xml:space="preserve">The analyses and results are described </w:t>
      </w:r>
      <w:r w:rsidR="003F3368" w:rsidRPr="002A1DFC">
        <w:rPr>
          <w:sz w:val="20"/>
          <w:szCs w:val="20"/>
          <w:lang w:val="en-US"/>
        </w:rPr>
        <w:t>i</w:t>
      </w:r>
      <w:r w:rsidR="00BC532E" w:rsidRPr="002A1DFC">
        <w:rPr>
          <w:sz w:val="20"/>
          <w:szCs w:val="20"/>
          <w:lang w:val="en-US"/>
        </w:rPr>
        <w:t xml:space="preserve">n </w:t>
      </w:r>
      <w:r w:rsidR="00DD52F1" w:rsidRPr="002A1DFC">
        <w:rPr>
          <w:sz w:val="20"/>
          <w:szCs w:val="20"/>
          <w:lang w:val="en-US"/>
        </w:rPr>
        <w:t xml:space="preserve">a </w:t>
      </w:r>
      <w:r w:rsidR="00BC532E" w:rsidRPr="002A1DFC">
        <w:rPr>
          <w:sz w:val="20"/>
          <w:szCs w:val="20"/>
          <w:lang w:val="en-US"/>
        </w:rPr>
        <w:t xml:space="preserve">separate section at the end of the </w:t>
      </w:r>
      <w:r w:rsidR="00DD52F1" w:rsidRPr="002A1DFC">
        <w:rPr>
          <w:sz w:val="20"/>
          <w:szCs w:val="20"/>
          <w:lang w:val="en-US"/>
        </w:rPr>
        <w:t>book</w:t>
      </w:r>
      <w:r w:rsidR="00BC532E" w:rsidRPr="002A1DFC">
        <w:rPr>
          <w:sz w:val="20"/>
          <w:szCs w:val="20"/>
          <w:lang w:val="en-US"/>
        </w:rPr>
        <w:t xml:space="preserve"> </w:t>
      </w:r>
      <w:r w:rsidR="00407642" w:rsidRPr="002A1DFC">
        <w:rPr>
          <w:noProof/>
          <w:sz w:val="20"/>
          <w:szCs w:val="20"/>
          <w:lang w:val="en-US"/>
        </w:rPr>
        <w:t>(Heinrich and Teschler-Nicola in Neugebauer 1991: 222-262)</w:t>
      </w:r>
      <w:r w:rsidR="00BC532E" w:rsidRPr="002A1DFC">
        <w:rPr>
          <w:sz w:val="20"/>
          <w:szCs w:val="20"/>
          <w:lang w:val="en-US"/>
        </w:rPr>
        <w:t>.</w:t>
      </w:r>
    </w:p>
    <w:p w14:paraId="5CCACCAA" w14:textId="10C0FAD5" w:rsidR="007144C2" w:rsidRPr="002A1DFC" w:rsidRDefault="008F4666" w:rsidP="00A34C7A">
      <w:pPr>
        <w:jc w:val="both"/>
        <w:rPr>
          <w:sz w:val="20"/>
          <w:szCs w:val="20"/>
          <w:lang w:val="en-US"/>
        </w:rPr>
      </w:pPr>
      <w:r w:rsidRPr="002A1DFC">
        <w:rPr>
          <w:b/>
          <w:sz w:val="20"/>
          <w:szCs w:val="20"/>
          <w:lang w:val="en-US"/>
        </w:rPr>
        <w:t>Gender-determination</w:t>
      </w:r>
      <w:r w:rsidR="00BC532E" w:rsidRPr="002A1DFC">
        <w:rPr>
          <w:b/>
          <w:sz w:val="20"/>
          <w:szCs w:val="20"/>
          <w:lang w:val="en-US"/>
        </w:rPr>
        <w:t xml:space="preserve"> methods</w:t>
      </w:r>
      <w:r w:rsidR="0029211B" w:rsidRPr="002A1DFC">
        <w:rPr>
          <w:sz w:val="20"/>
          <w:szCs w:val="20"/>
          <w:lang w:val="en-US"/>
        </w:rPr>
        <w:t xml:space="preserve">: </w:t>
      </w:r>
      <w:r w:rsidR="00E827D9" w:rsidRPr="002A1DFC">
        <w:rPr>
          <w:sz w:val="20"/>
          <w:szCs w:val="20"/>
          <w:lang w:val="en-US"/>
        </w:rPr>
        <w:t xml:space="preserve">General reference to </w:t>
      </w:r>
      <w:proofErr w:type="spellStart"/>
      <w:r w:rsidR="00E827D9" w:rsidRPr="002A1DFC">
        <w:rPr>
          <w:sz w:val="20"/>
          <w:szCs w:val="20"/>
          <w:lang w:val="en-US"/>
        </w:rPr>
        <w:t>Primas</w:t>
      </w:r>
      <w:proofErr w:type="spellEnd"/>
      <w:r w:rsidR="00E827D9" w:rsidRPr="002A1DFC">
        <w:rPr>
          <w:sz w:val="20"/>
          <w:szCs w:val="20"/>
          <w:lang w:val="en-US"/>
        </w:rPr>
        <w:t xml:space="preserve"> </w:t>
      </w:r>
      <w:r w:rsidR="00407642" w:rsidRPr="002A1DFC">
        <w:rPr>
          <w:noProof/>
          <w:sz w:val="20"/>
          <w:szCs w:val="20"/>
          <w:lang w:val="en-US"/>
        </w:rPr>
        <w:t>(1977)</w:t>
      </w:r>
      <w:r w:rsidR="00E827D9" w:rsidRPr="002A1DFC">
        <w:rPr>
          <w:sz w:val="20"/>
          <w:szCs w:val="20"/>
          <w:lang w:val="en-US"/>
        </w:rPr>
        <w:t xml:space="preserve">, </w:t>
      </w:r>
      <w:r w:rsidR="000D18EF">
        <w:rPr>
          <w:sz w:val="20"/>
          <w:szCs w:val="20"/>
          <w:lang w:val="en-US"/>
        </w:rPr>
        <w:t>who</w:t>
      </w:r>
      <w:r w:rsidR="000D18EF" w:rsidRPr="002A1DFC">
        <w:rPr>
          <w:sz w:val="20"/>
          <w:szCs w:val="20"/>
          <w:lang w:val="en-US"/>
        </w:rPr>
        <w:t xml:space="preserve"> </w:t>
      </w:r>
      <w:r w:rsidR="00E827D9" w:rsidRPr="002A1DFC">
        <w:rPr>
          <w:sz w:val="20"/>
          <w:szCs w:val="20"/>
          <w:lang w:val="en-US"/>
        </w:rPr>
        <w:t xml:space="preserve">compared burial practices and structures in </w:t>
      </w:r>
      <w:r w:rsidR="008858A2">
        <w:rPr>
          <w:sz w:val="20"/>
          <w:szCs w:val="20"/>
          <w:lang w:val="en-US"/>
        </w:rPr>
        <w:t>C</w:t>
      </w:r>
      <w:r w:rsidR="00E827D9" w:rsidRPr="002A1DFC">
        <w:rPr>
          <w:sz w:val="20"/>
          <w:szCs w:val="20"/>
          <w:lang w:val="en-US"/>
        </w:rPr>
        <w:t xml:space="preserve">opper and </w:t>
      </w:r>
      <w:r w:rsidR="008858A2">
        <w:rPr>
          <w:sz w:val="20"/>
          <w:szCs w:val="20"/>
          <w:lang w:val="en-US"/>
        </w:rPr>
        <w:t>B</w:t>
      </w:r>
      <w:r w:rsidR="00E827D9" w:rsidRPr="002A1DFC">
        <w:rPr>
          <w:sz w:val="20"/>
          <w:szCs w:val="20"/>
          <w:lang w:val="en-US"/>
        </w:rPr>
        <w:t xml:space="preserve">ronze </w:t>
      </w:r>
      <w:r w:rsidR="008858A2">
        <w:rPr>
          <w:sz w:val="20"/>
          <w:szCs w:val="20"/>
          <w:lang w:val="en-US"/>
        </w:rPr>
        <w:t>A</w:t>
      </w:r>
      <w:r w:rsidR="00E827D9" w:rsidRPr="002A1DFC">
        <w:rPr>
          <w:sz w:val="20"/>
          <w:szCs w:val="20"/>
          <w:lang w:val="en-US"/>
        </w:rPr>
        <w:t>ge</w:t>
      </w:r>
      <w:r w:rsidR="00FF03A0" w:rsidRPr="002A1DFC">
        <w:rPr>
          <w:sz w:val="20"/>
          <w:szCs w:val="20"/>
          <w:lang w:val="en-US"/>
        </w:rPr>
        <w:t xml:space="preserve"> burial sites of</w:t>
      </w:r>
      <w:r w:rsidR="00E827D9" w:rsidRPr="002A1DFC">
        <w:rPr>
          <w:sz w:val="20"/>
          <w:szCs w:val="20"/>
          <w:lang w:val="en-US"/>
        </w:rPr>
        <w:t xml:space="preserve"> southern Central Europe. </w:t>
      </w:r>
      <w:r w:rsidR="007144C2" w:rsidRPr="002A1DFC">
        <w:rPr>
          <w:sz w:val="20"/>
          <w:szCs w:val="20"/>
          <w:lang w:val="en-US"/>
        </w:rPr>
        <w:t>Besides the application of existing ‘gender rules’, objects are seriated with sexed individuals</w:t>
      </w:r>
      <w:r w:rsidR="004269D3" w:rsidRPr="002A1DFC">
        <w:rPr>
          <w:sz w:val="20"/>
          <w:szCs w:val="20"/>
          <w:lang w:val="en-US"/>
        </w:rPr>
        <w:t xml:space="preserve"> </w:t>
      </w:r>
      <w:r w:rsidR="00407642" w:rsidRPr="002A1DFC">
        <w:rPr>
          <w:noProof/>
          <w:sz w:val="20"/>
          <w:szCs w:val="20"/>
          <w:lang w:val="en-US"/>
        </w:rPr>
        <w:t>(Neugebauer 1991</w:t>
      </w:r>
      <w:r w:rsidR="00582D48" w:rsidRPr="002A1DFC">
        <w:rPr>
          <w:noProof/>
          <w:sz w:val="20"/>
          <w:szCs w:val="20"/>
          <w:lang w:val="en-US"/>
        </w:rPr>
        <w:t>,</w:t>
      </w:r>
      <w:r w:rsidR="00407642" w:rsidRPr="002A1DFC">
        <w:rPr>
          <w:noProof/>
          <w:sz w:val="20"/>
          <w:szCs w:val="20"/>
          <w:lang w:val="en-US"/>
        </w:rPr>
        <w:t xml:space="preserve"> 90, tab. 15; 92, tab. 16; 96, tab. 17a/b)</w:t>
      </w:r>
      <w:r w:rsidR="007144C2" w:rsidRPr="002A1DFC">
        <w:rPr>
          <w:sz w:val="20"/>
          <w:szCs w:val="20"/>
          <w:lang w:val="en-US"/>
        </w:rPr>
        <w:t xml:space="preserve">. </w:t>
      </w:r>
    </w:p>
    <w:p w14:paraId="4EF0B6FE" w14:textId="0AC67253" w:rsidR="005F278E" w:rsidRPr="002A1DFC" w:rsidRDefault="007144C2" w:rsidP="00A34C7A">
      <w:pPr>
        <w:jc w:val="both"/>
        <w:rPr>
          <w:sz w:val="20"/>
          <w:szCs w:val="20"/>
          <w:lang w:val="en-US"/>
        </w:rPr>
      </w:pPr>
      <w:r w:rsidRPr="002A1DFC">
        <w:rPr>
          <w:b/>
          <w:sz w:val="20"/>
          <w:szCs w:val="20"/>
          <w:lang w:val="en-US"/>
        </w:rPr>
        <w:t>Gender</w:t>
      </w:r>
      <w:r w:rsidR="008F4666" w:rsidRPr="002A1DFC">
        <w:rPr>
          <w:b/>
          <w:sz w:val="20"/>
          <w:szCs w:val="20"/>
          <w:lang w:val="en-US"/>
        </w:rPr>
        <w:t>-</w:t>
      </w:r>
      <w:r w:rsidRPr="002A1DFC">
        <w:rPr>
          <w:b/>
          <w:sz w:val="20"/>
          <w:szCs w:val="20"/>
          <w:lang w:val="en-US"/>
        </w:rPr>
        <w:t>data</w:t>
      </w:r>
      <w:r w:rsidR="008F4666" w:rsidRPr="002A1DFC">
        <w:rPr>
          <w:b/>
          <w:sz w:val="20"/>
          <w:szCs w:val="20"/>
          <w:lang w:val="en-US"/>
        </w:rPr>
        <w:t xml:space="preserve"> </w:t>
      </w:r>
      <w:r w:rsidRPr="002A1DFC">
        <w:rPr>
          <w:b/>
          <w:sz w:val="20"/>
          <w:szCs w:val="20"/>
          <w:lang w:val="en-US"/>
        </w:rPr>
        <w:t>analyses</w:t>
      </w:r>
      <w:r w:rsidRPr="002A1DFC">
        <w:rPr>
          <w:sz w:val="20"/>
          <w:szCs w:val="20"/>
          <w:lang w:val="en-US"/>
        </w:rPr>
        <w:t xml:space="preserve">: </w:t>
      </w:r>
      <w:r w:rsidR="00E827D9" w:rsidRPr="002A1DFC">
        <w:rPr>
          <w:sz w:val="20"/>
          <w:szCs w:val="20"/>
          <w:lang w:val="en-US"/>
        </w:rPr>
        <w:t xml:space="preserve">Seriations of objects associated mainly with (sexed) individuals resulted in 23 (archaeological) </w:t>
      </w:r>
      <w:r w:rsidR="00713D78" w:rsidRPr="00CA6877">
        <w:rPr>
          <w:sz w:val="20"/>
          <w:szCs w:val="20"/>
          <w:lang w:val="en-US"/>
        </w:rPr>
        <w:t>masculine</w:t>
      </w:r>
      <w:r w:rsidR="00713D78" w:rsidRPr="002A1DFC">
        <w:rPr>
          <w:sz w:val="20"/>
          <w:szCs w:val="20"/>
          <w:lang w:val="en-US"/>
        </w:rPr>
        <w:t xml:space="preserve"> </w:t>
      </w:r>
      <w:r w:rsidR="00E827D9" w:rsidRPr="002A1DFC">
        <w:rPr>
          <w:sz w:val="20"/>
          <w:szCs w:val="20"/>
          <w:lang w:val="en-US"/>
        </w:rPr>
        <w:t xml:space="preserve">individuals (of which 2 of indeterminate age and sex) and 40 (archaeological) </w:t>
      </w:r>
      <w:r w:rsidR="00713D78" w:rsidRPr="00CA6877">
        <w:rPr>
          <w:sz w:val="20"/>
          <w:szCs w:val="20"/>
          <w:lang w:val="en-US"/>
        </w:rPr>
        <w:t>feminine</w:t>
      </w:r>
      <w:r w:rsidR="00713D78" w:rsidRPr="002A1DFC">
        <w:rPr>
          <w:sz w:val="20"/>
          <w:szCs w:val="20"/>
          <w:lang w:val="en-US"/>
        </w:rPr>
        <w:t xml:space="preserve"> </w:t>
      </w:r>
      <w:r w:rsidR="00E827D9" w:rsidRPr="002A1DFC">
        <w:rPr>
          <w:sz w:val="20"/>
          <w:szCs w:val="20"/>
          <w:lang w:val="en-US"/>
        </w:rPr>
        <w:t xml:space="preserve">individuals </w:t>
      </w:r>
      <w:r w:rsidR="00407642" w:rsidRPr="002A1DFC">
        <w:rPr>
          <w:noProof/>
          <w:sz w:val="20"/>
          <w:szCs w:val="20"/>
          <w:lang w:val="en-US"/>
        </w:rPr>
        <w:t>(of which 3 of indeterminate age and sex; see Neugebauer 1991</w:t>
      </w:r>
      <w:r w:rsidR="00582D48" w:rsidRPr="002A1DFC">
        <w:rPr>
          <w:noProof/>
          <w:sz w:val="20"/>
          <w:szCs w:val="20"/>
          <w:lang w:val="en-US"/>
        </w:rPr>
        <w:t>,</w:t>
      </w:r>
      <w:r w:rsidR="00407642" w:rsidRPr="002A1DFC">
        <w:rPr>
          <w:noProof/>
          <w:sz w:val="20"/>
          <w:szCs w:val="20"/>
          <w:lang w:val="en-US"/>
        </w:rPr>
        <w:t xml:space="preserve"> 90, tab. 15 and 92, tab. 16)</w:t>
      </w:r>
      <w:r w:rsidR="00E827D9" w:rsidRPr="002A1DFC">
        <w:rPr>
          <w:sz w:val="20"/>
          <w:szCs w:val="20"/>
          <w:lang w:val="en-US"/>
        </w:rPr>
        <w:t xml:space="preserve">. </w:t>
      </w:r>
      <w:r w:rsidR="005F278E" w:rsidRPr="002A1DFC">
        <w:rPr>
          <w:sz w:val="20"/>
          <w:szCs w:val="20"/>
          <w:lang w:val="en-US"/>
        </w:rPr>
        <w:t xml:space="preserve">According to Neugebauer </w:t>
      </w:r>
      <w:r w:rsidR="00407642" w:rsidRPr="002A1DFC">
        <w:rPr>
          <w:noProof/>
          <w:sz w:val="20"/>
          <w:szCs w:val="20"/>
          <w:lang w:val="en-US"/>
        </w:rPr>
        <w:t>(1991</w:t>
      </w:r>
      <w:r w:rsidR="00582D48" w:rsidRPr="002A1DFC">
        <w:rPr>
          <w:noProof/>
          <w:sz w:val="20"/>
          <w:szCs w:val="20"/>
          <w:lang w:val="en-US"/>
        </w:rPr>
        <w:t>,</w:t>
      </w:r>
      <w:r w:rsidR="00407642" w:rsidRPr="002A1DFC">
        <w:rPr>
          <w:noProof/>
          <w:sz w:val="20"/>
          <w:szCs w:val="20"/>
          <w:lang w:val="en-US"/>
        </w:rPr>
        <w:t xml:space="preserve"> 89-93)</w:t>
      </w:r>
      <w:r w:rsidR="00E827D9" w:rsidRPr="002A1DFC">
        <w:rPr>
          <w:sz w:val="20"/>
          <w:szCs w:val="20"/>
          <w:lang w:val="en-US"/>
        </w:rPr>
        <w:t xml:space="preserve">, </w:t>
      </w:r>
      <w:r w:rsidR="00B76CCE" w:rsidRPr="002A1DFC">
        <w:rPr>
          <w:sz w:val="20"/>
          <w:szCs w:val="20"/>
          <w:lang w:val="en-US"/>
        </w:rPr>
        <w:t xml:space="preserve">masculine </w:t>
      </w:r>
      <w:r w:rsidR="00E827D9" w:rsidRPr="002A1DFC">
        <w:rPr>
          <w:sz w:val="20"/>
          <w:szCs w:val="20"/>
          <w:lang w:val="en-US"/>
        </w:rPr>
        <w:t xml:space="preserve">attributes include (battle) axes, daggers (or </w:t>
      </w:r>
      <w:r w:rsidR="005B207C" w:rsidRPr="002A1DFC">
        <w:rPr>
          <w:sz w:val="20"/>
          <w:szCs w:val="20"/>
          <w:lang w:val="en-US"/>
        </w:rPr>
        <w:t xml:space="preserve">their remaining </w:t>
      </w:r>
      <w:r w:rsidR="00E827D9" w:rsidRPr="002A1DFC">
        <w:rPr>
          <w:sz w:val="20"/>
          <w:szCs w:val="20"/>
          <w:lang w:val="en-US"/>
        </w:rPr>
        <w:t xml:space="preserve">studs), </w:t>
      </w:r>
      <w:r w:rsidR="005D7E20" w:rsidRPr="002A1DFC">
        <w:rPr>
          <w:sz w:val="20"/>
          <w:szCs w:val="20"/>
          <w:lang w:val="en-US"/>
        </w:rPr>
        <w:t xml:space="preserve">bronze </w:t>
      </w:r>
      <w:r w:rsidR="00E827D9" w:rsidRPr="002A1DFC">
        <w:rPr>
          <w:sz w:val="20"/>
          <w:szCs w:val="20"/>
          <w:lang w:val="en-US"/>
        </w:rPr>
        <w:t>belt hooks and</w:t>
      </w:r>
      <w:r w:rsidR="002D72B5" w:rsidRPr="002A1DFC">
        <w:rPr>
          <w:i/>
          <w:sz w:val="20"/>
          <w:szCs w:val="20"/>
          <w:lang w:val="en-US"/>
        </w:rPr>
        <w:t xml:space="preserve"> </w:t>
      </w:r>
      <w:proofErr w:type="spellStart"/>
      <w:r w:rsidR="002D72B5" w:rsidRPr="002A1DFC">
        <w:rPr>
          <w:iCs/>
          <w:sz w:val="20"/>
          <w:szCs w:val="20"/>
          <w:lang w:val="en-US"/>
        </w:rPr>
        <w:t>parures</w:t>
      </w:r>
      <w:proofErr w:type="spellEnd"/>
      <w:r w:rsidR="00722C40" w:rsidRPr="002A1DFC">
        <w:rPr>
          <w:sz w:val="20"/>
          <w:szCs w:val="20"/>
          <w:lang w:val="en-US"/>
        </w:rPr>
        <w:t xml:space="preserve">, of which one single bronze garment pin (foremost the perforated </w:t>
      </w:r>
      <w:r w:rsidR="00A34C7A" w:rsidRPr="002A1DFC">
        <w:rPr>
          <w:sz w:val="20"/>
          <w:szCs w:val="20"/>
          <w:lang w:val="en-US"/>
        </w:rPr>
        <w:t xml:space="preserve">sphere-headed </w:t>
      </w:r>
      <w:r w:rsidR="00722C40" w:rsidRPr="002A1DFC">
        <w:rPr>
          <w:sz w:val="20"/>
          <w:szCs w:val="20"/>
          <w:lang w:val="en-US"/>
        </w:rPr>
        <w:t>pin</w:t>
      </w:r>
      <w:r w:rsidR="00A34C7A" w:rsidRPr="002A1DFC">
        <w:rPr>
          <w:sz w:val="20"/>
          <w:szCs w:val="20"/>
          <w:lang w:val="en-US"/>
        </w:rPr>
        <w:t xml:space="preserve">; </w:t>
      </w:r>
      <w:proofErr w:type="spellStart"/>
      <w:r w:rsidR="00A34C7A" w:rsidRPr="002A1DFC">
        <w:rPr>
          <w:sz w:val="20"/>
          <w:szCs w:val="20"/>
          <w:lang w:val="en-US"/>
        </w:rPr>
        <w:t>dt.</w:t>
      </w:r>
      <w:proofErr w:type="spellEnd"/>
      <w:r w:rsidR="00A34C7A" w:rsidRPr="002A1DFC">
        <w:rPr>
          <w:sz w:val="20"/>
          <w:szCs w:val="20"/>
          <w:lang w:val="en-US"/>
        </w:rPr>
        <w:t xml:space="preserve"> </w:t>
      </w:r>
      <w:proofErr w:type="spellStart"/>
      <w:r w:rsidR="00A34C7A" w:rsidRPr="002A1DFC">
        <w:rPr>
          <w:i/>
          <w:sz w:val="20"/>
          <w:szCs w:val="20"/>
          <w:lang w:val="en-US"/>
        </w:rPr>
        <w:lastRenderedPageBreak/>
        <w:t>Kugelkopfnadel</w:t>
      </w:r>
      <w:proofErr w:type="spellEnd"/>
      <w:r w:rsidR="00722C40" w:rsidRPr="002A1DFC">
        <w:rPr>
          <w:sz w:val="20"/>
          <w:szCs w:val="20"/>
          <w:lang w:val="en-US"/>
        </w:rPr>
        <w:t>)</w:t>
      </w:r>
      <w:r w:rsidR="006736FB" w:rsidRPr="002A1DFC">
        <w:rPr>
          <w:sz w:val="20"/>
          <w:szCs w:val="20"/>
          <w:lang w:val="en-US"/>
        </w:rPr>
        <w:t xml:space="preserve">. </w:t>
      </w:r>
      <w:r w:rsidR="00B76CCE" w:rsidRPr="002A1DFC">
        <w:rPr>
          <w:sz w:val="20"/>
          <w:szCs w:val="20"/>
          <w:lang w:val="en-US"/>
        </w:rPr>
        <w:t xml:space="preserve">Feminine </w:t>
      </w:r>
      <w:r w:rsidR="005F278E" w:rsidRPr="002A1DFC">
        <w:rPr>
          <w:sz w:val="20"/>
          <w:szCs w:val="20"/>
          <w:lang w:val="en-US"/>
        </w:rPr>
        <w:t xml:space="preserve">attributes include </w:t>
      </w:r>
      <w:r w:rsidR="002A0BA1">
        <w:rPr>
          <w:sz w:val="20"/>
          <w:szCs w:val="20"/>
          <w:lang w:val="en-US"/>
        </w:rPr>
        <w:t>mainly</w:t>
      </w:r>
      <w:r w:rsidR="002A0BA1" w:rsidRPr="002A1DFC">
        <w:rPr>
          <w:sz w:val="20"/>
          <w:szCs w:val="20"/>
          <w:lang w:val="en-US"/>
        </w:rPr>
        <w:t xml:space="preserve"> </w:t>
      </w:r>
      <w:r w:rsidR="005F278E" w:rsidRPr="002A1DFC">
        <w:rPr>
          <w:sz w:val="20"/>
          <w:szCs w:val="20"/>
          <w:lang w:val="en-US"/>
        </w:rPr>
        <w:t xml:space="preserve">jewelry objects: leather caps evidenced by sheet metal stripes, </w:t>
      </w:r>
      <w:proofErr w:type="spellStart"/>
      <w:r w:rsidR="005F278E" w:rsidRPr="002A1DFC">
        <w:rPr>
          <w:i/>
          <w:sz w:val="20"/>
          <w:szCs w:val="20"/>
          <w:lang w:val="en-US"/>
        </w:rPr>
        <w:t>tutuli</w:t>
      </w:r>
      <w:proofErr w:type="spellEnd"/>
      <w:r w:rsidR="005F278E" w:rsidRPr="002A1DFC">
        <w:rPr>
          <w:sz w:val="20"/>
          <w:szCs w:val="20"/>
          <w:lang w:val="en-US"/>
        </w:rPr>
        <w:t xml:space="preserve"> or wire ornaments, golden or bronze hair </w:t>
      </w:r>
      <w:r w:rsidR="00653128" w:rsidRPr="002A1DFC">
        <w:rPr>
          <w:sz w:val="20"/>
          <w:szCs w:val="20"/>
          <w:lang w:val="en-US"/>
        </w:rPr>
        <w:t>spirals</w:t>
      </w:r>
      <w:r w:rsidR="005F278E" w:rsidRPr="002A1DFC">
        <w:rPr>
          <w:sz w:val="20"/>
          <w:szCs w:val="20"/>
          <w:lang w:val="en-US"/>
        </w:rPr>
        <w:t xml:space="preserve">, earrings, one to two arm and ankle bracelets or </w:t>
      </w:r>
      <w:r w:rsidR="00A34C7A" w:rsidRPr="002A1DFC">
        <w:rPr>
          <w:sz w:val="20"/>
          <w:szCs w:val="20"/>
          <w:lang w:val="en-US"/>
        </w:rPr>
        <w:t>greaves (</w:t>
      </w:r>
      <w:proofErr w:type="spellStart"/>
      <w:r w:rsidR="00A34C7A" w:rsidRPr="002A1DFC">
        <w:rPr>
          <w:sz w:val="20"/>
          <w:szCs w:val="20"/>
          <w:lang w:val="en-US"/>
        </w:rPr>
        <w:t>dt.</w:t>
      </w:r>
      <w:proofErr w:type="spellEnd"/>
      <w:r w:rsidR="00A34C7A" w:rsidRPr="002A1DFC">
        <w:rPr>
          <w:sz w:val="20"/>
          <w:szCs w:val="20"/>
          <w:lang w:val="en-US"/>
        </w:rPr>
        <w:t xml:space="preserve"> </w:t>
      </w:r>
      <w:r w:rsidR="005F278E" w:rsidRPr="002A1DFC">
        <w:rPr>
          <w:i/>
          <w:sz w:val="20"/>
          <w:szCs w:val="20"/>
          <w:lang w:val="en-US"/>
        </w:rPr>
        <w:t>Bergen</w:t>
      </w:r>
      <w:r w:rsidR="00A34C7A" w:rsidRPr="002A1DFC">
        <w:rPr>
          <w:sz w:val="20"/>
          <w:szCs w:val="20"/>
          <w:lang w:val="en-US"/>
        </w:rPr>
        <w:t>)</w:t>
      </w:r>
      <w:r w:rsidR="005F278E" w:rsidRPr="002A1DFC">
        <w:rPr>
          <w:sz w:val="20"/>
          <w:szCs w:val="20"/>
          <w:lang w:val="en-US"/>
        </w:rPr>
        <w:t xml:space="preserve">, trumpet-shaped </w:t>
      </w:r>
      <w:proofErr w:type="spellStart"/>
      <w:r w:rsidR="005F278E" w:rsidRPr="002A1DFC">
        <w:rPr>
          <w:i/>
          <w:sz w:val="20"/>
          <w:szCs w:val="20"/>
          <w:lang w:val="en-US"/>
        </w:rPr>
        <w:t>tutuli</w:t>
      </w:r>
      <w:proofErr w:type="spellEnd"/>
      <w:r w:rsidR="005F278E" w:rsidRPr="002A1DFC">
        <w:rPr>
          <w:sz w:val="20"/>
          <w:szCs w:val="20"/>
          <w:lang w:val="en-US"/>
        </w:rPr>
        <w:t xml:space="preserve">, </w:t>
      </w:r>
      <w:r w:rsidR="00424BDE" w:rsidRPr="002A1DFC">
        <w:rPr>
          <w:sz w:val="20"/>
          <w:szCs w:val="20"/>
          <w:lang w:val="en-US"/>
        </w:rPr>
        <w:t xml:space="preserve">and </w:t>
      </w:r>
      <w:r w:rsidR="005F278E" w:rsidRPr="002A1DFC">
        <w:rPr>
          <w:sz w:val="20"/>
          <w:szCs w:val="20"/>
          <w:lang w:val="en-US"/>
        </w:rPr>
        <w:t xml:space="preserve">one pair of pins. The more jewelry is found in a burial, the more secure the archaeological </w:t>
      </w:r>
      <w:r w:rsidR="00713D78" w:rsidRPr="00CA6877">
        <w:rPr>
          <w:sz w:val="20"/>
          <w:szCs w:val="20"/>
          <w:lang w:val="en-US"/>
        </w:rPr>
        <w:t>feminine</w:t>
      </w:r>
      <w:r w:rsidR="00713D78" w:rsidRPr="002A1DFC">
        <w:rPr>
          <w:sz w:val="20"/>
          <w:szCs w:val="20"/>
          <w:lang w:val="en-US"/>
        </w:rPr>
        <w:t xml:space="preserve"> </w:t>
      </w:r>
      <w:r w:rsidR="005F278E" w:rsidRPr="002A1DFC">
        <w:rPr>
          <w:sz w:val="20"/>
          <w:szCs w:val="20"/>
          <w:lang w:val="en-US"/>
        </w:rPr>
        <w:t xml:space="preserve">determination. </w:t>
      </w:r>
      <w:r w:rsidR="006736FB" w:rsidRPr="002A1DFC">
        <w:rPr>
          <w:sz w:val="20"/>
          <w:szCs w:val="20"/>
          <w:lang w:val="en-US"/>
        </w:rPr>
        <w:t>Daggers</w:t>
      </w:r>
      <w:r w:rsidR="006920A6" w:rsidRPr="002A1DFC">
        <w:rPr>
          <w:sz w:val="20"/>
          <w:szCs w:val="20"/>
          <w:lang w:val="en-US"/>
        </w:rPr>
        <w:t xml:space="preserve"> found</w:t>
      </w:r>
      <w:r w:rsidR="006736FB" w:rsidRPr="002A1DFC">
        <w:rPr>
          <w:sz w:val="20"/>
          <w:szCs w:val="20"/>
          <w:lang w:val="en-US"/>
        </w:rPr>
        <w:t xml:space="preserve"> in </w:t>
      </w:r>
      <w:r w:rsidR="00B76CCE" w:rsidRPr="002A1DFC">
        <w:rPr>
          <w:sz w:val="20"/>
          <w:szCs w:val="20"/>
          <w:lang w:val="en-US"/>
        </w:rPr>
        <w:t xml:space="preserve">osteological </w:t>
      </w:r>
      <w:r w:rsidR="006736FB" w:rsidRPr="002A1DFC">
        <w:rPr>
          <w:sz w:val="20"/>
          <w:szCs w:val="20"/>
          <w:lang w:val="en-US"/>
        </w:rPr>
        <w:t xml:space="preserve">female burials, which are not found in close body association or in combination with belt hooks, are </w:t>
      </w:r>
      <w:r w:rsidR="006920A6" w:rsidRPr="002A1DFC">
        <w:rPr>
          <w:sz w:val="20"/>
          <w:szCs w:val="20"/>
          <w:lang w:val="en-US"/>
        </w:rPr>
        <w:t>considered likely to function as knives for food votives rather than as weapon</w:t>
      </w:r>
      <w:r w:rsidR="005F278E" w:rsidRPr="002A1DFC">
        <w:rPr>
          <w:sz w:val="20"/>
          <w:szCs w:val="20"/>
          <w:lang w:val="en-US"/>
        </w:rPr>
        <w:t>s</w:t>
      </w:r>
      <w:r w:rsidR="006920A6" w:rsidRPr="002A1DFC">
        <w:rPr>
          <w:sz w:val="20"/>
          <w:szCs w:val="20"/>
          <w:lang w:val="en-US"/>
        </w:rPr>
        <w:t xml:space="preserve">. </w:t>
      </w:r>
      <w:r w:rsidR="00CE775D" w:rsidRPr="002A1DFC">
        <w:rPr>
          <w:sz w:val="20"/>
          <w:szCs w:val="20"/>
          <w:lang w:val="en-US"/>
        </w:rPr>
        <w:t>Looting</w:t>
      </w:r>
      <w:r w:rsidR="005F278E" w:rsidRPr="002A1DFC">
        <w:rPr>
          <w:sz w:val="20"/>
          <w:szCs w:val="20"/>
          <w:lang w:val="en-US"/>
        </w:rPr>
        <w:t xml:space="preserve"> activities are considered additional</w:t>
      </w:r>
      <w:r w:rsidR="00391AF9">
        <w:rPr>
          <w:sz w:val="20"/>
          <w:szCs w:val="20"/>
          <w:lang w:val="en-US"/>
        </w:rPr>
        <w:t xml:space="preserve">, </w:t>
      </w:r>
      <w:r w:rsidR="005F278E" w:rsidRPr="002A1DFC">
        <w:rPr>
          <w:sz w:val="20"/>
          <w:szCs w:val="20"/>
          <w:lang w:val="en-US"/>
        </w:rPr>
        <w:t>potential</w:t>
      </w:r>
      <w:r w:rsidR="00391AF9">
        <w:rPr>
          <w:sz w:val="20"/>
          <w:szCs w:val="20"/>
          <w:lang w:val="en-US"/>
        </w:rPr>
        <w:t xml:space="preserve"> sources of</w:t>
      </w:r>
      <w:r w:rsidR="005F278E" w:rsidRPr="002A1DFC">
        <w:rPr>
          <w:sz w:val="20"/>
          <w:szCs w:val="20"/>
          <w:lang w:val="en-US"/>
        </w:rPr>
        <w:t xml:space="preserve"> biases, </w:t>
      </w:r>
      <w:r w:rsidR="00391AF9">
        <w:rPr>
          <w:sz w:val="20"/>
          <w:szCs w:val="20"/>
          <w:lang w:val="en-US"/>
        </w:rPr>
        <w:t>as</w:t>
      </w:r>
      <w:r w:rsidR="00391AF9" w:rsidRPr="002A1DFC">
        <w:rPr>
          <w:sz w:val="20"/>
          <w:szCs w:val="20"/>
          <w:lang w:val="en-US"/>
        </w:rPr>
        <w:t xml:space="preserve"> </w:t>
      </w:r>
      <w:r w:rsidR="005F278E" w:rsidRPr="002A1DFC">
        <w:rPr>
          <w:sz w:val="20"/>
          <w:szCs w:val="20"/>
          <w:lang w:val="en-US"/>
        </w:rPr>
        <w:t xml:space="preserve">objects in </w:t>
      </w:r>
      <w:r w:rsidR="00391AF9">
        <w:rPr>
          <w:sz w:val="20"/>
          <w:szCs w:val="20"/>
          <w:lang w:val="en-US"/>
        </w:rPr>
        <w:t>looted</w:t>
      </w:r>
      <w:r w:rsidR="00391AF9" w:rsidRPr="002A1DFC">
        <w:rPr>
          <w:sz w:val="20"/>
          <w:szCs w:val="20"/>
          <w:lang w:val="en-US"/>
        </w:rPr>
        <w:t xml:space="preserve"> </w:t>
      </w:r>
      <w:r w:rsidR="005F278E" w:rsidRPr="002A1DFC">
        <w:rPr>
          <w:sz w:val="20"/>
          <w:szCs w:val="20"/>
          <w:lang w:val="en-US"/>
        </w:rPr>
        <w:t>graves may not be present anymore (e.g. one versus two pins; abundance of jewelry).</w:t>
      </w:r>
    </w:p>
    <w:p w14:paraId="4B7EC735" w14:textId="388154EA" w:rsidR="0021457E" w:rsidRPr="002A1DFC" w:rsidRDefault="00605888" w:rsidP="00A34C7A">
      <w:pPr>
        <w:jc w:val="both"/>
        <w:rPr>
          <w:sz w:val="20"/>
          <w:szCs w:val="20"/>
          <w:lang w:val="en-US"/>
        </w:rPr>
      </w:pPr>
      <w:r w:rsidRPr="002A1DFC">
        <w:rPr>
          <w:b/>
          <w:sz w:val="20"/>
          <w:szCs w:val="20"/>
          <w:lang w:val="en-US"/>
        </w:rPr>
        <w:t>Data use and reconstruction for this article</w:t>
      </w:r>
      <w:r w:rsidR="0021457E" w:rsidRPr="002A1DFC">
        <w:rPr>
          <w:b/>
          <w:sz w:val="20"/>
          <w:szCs w:val="20"/>
          <w:lang w:val="en-US"/>
        </w:rPr>
        <w:t xml:space="preserve">: </w:t>
      </w:r>
      <w:r w:rsidR="00390BBC" w:rsidRPr="002A1DFC">
        <w:rPr>
          <w:bCs/>
          <w:sz w:val="20"/>
          <w:szCs w:val="20"/>
          <w:lang w:val="en-US"/>
        </w:rPr>
        <w:t xml:space="preserve">The sex/age-data used are based on Heinrich’s and </w:t>
      </w:r>
      <w:proofErr w:type="spellStart"/>
      <w:r w:rsidR="00390BBC" w:rsidRPr="002A1DFC">
        <w:rPr>
          <w:bCs/>
          <w:sz w:val="20"/>
          <w:szCs w:val="20"/>
          <w:lang w:val="en-US"/>
        </w:rPr>
        <w:t>Teschler</w:t>
      </w:r>
      <w:proofErr w:type="spellEnd"/>
      <w:r w:rsidR="00390BBC" w:rsidRPr="002A1DFC">
        <w:rPr>
          <w:bCs/>
          <w:sz w:val="20"/>
          <w:szCs w:val="20"/>
          <w:lang w:val="en-US"/>
        </w:rPr>
        <w:t xml:space="preserve">-Nicola’s determinations </w:t>
      </w:r>
      <w:r w:rsidR="00407642" w:rsidRPr="002A1DFC">
        <w:rPr>
          <w:bCs/>
          <w:noProof/>
          <w:sz w:val="20"/>
          <w:szCs w:val="20"/>
          <w:lang w:val="en-US"/>
        </w:rPr>
        <w:t>(in Neugebauer 1991</w:t>
      </w:r>
      <w:r w:rsidR="00582D48" w:rsidRPr="002A1DFC">
        <w:rPr>
          <w:bCs/>
          <w:noProof/>
          <w:sz w:val="20"/>
          <w:szCs w:val="20"/>
          <w:lang w:val="en-US"/>
        </w:rPr>
        <w:t>,</w:t>
      </w:r>
      <w:r w:rsidR="00407642" w:rsidRPr="002A1DFC">
        <w:rPr>
          <w:bCs/>
          <w:noProof/>
          <w:sz w:val="20"/>
          <w:szCs w:val="20"/>
          <w:lang w:val="en-US"/>
        </w:rPr>
        <w:t xml:space="preserve"> 224-228, tab. 1)</w:t>
      </w:r>
      <w:r w:rsidR="00390BBC" w:rsidRPr="002A1DFC">
        <w:rPr>
          <w:bCs/>
          <w:sz w:val="20"/>
          <w:szCs w:val="20"/>
          <w:lang w:val="en-US"/>
        </w:rPr>
        <w:t xml:space="preserve">. The gender-data are based on Neugebauer’s seriation tables 15, 16, 17a/b </w:t>
      </w:r>
      <w:r w:rsidR="00407642" w:rsidRPr="002A1DFC">
        <w:rPr>
          <w:bCs/>
          <w:noProof/>
          <w:sz w:val="20"/>
          <w:szCs w:val="20"/>
          <w:lang w:val="en-US"/>
        </w:rPr>
        <w:t>(1991</w:t>
      </w:r>
      <w:r w:rsidR="00582D48" w:rsidRPr="002A1DFC">
        <w:rPr>
          <w:bCs/>
          <w:noProof/>
          <w:sz w:val="20"/>
          <w:szCs w:val="20"/>
          <w:lang w:val="en-US"/>
        </w:rPr>
        <w:t>,</w:t>
      </w:r>
      <w:r w:rsidR="00407642" w:rsidRPr="002A1DFC">
        <w:rPr>
          <w:bCs/>
          <w:noProof/>
          <w:sz w:val="20"/>
          <w:szCs w:val="20"/>
          <w:lang w:val="en-US"/>
        </w:rPr>
        <w:t xml:space="preserve"> 90-96)</w:t>
      </w:r>
      <w:r w:rsidR="00390BBC" w:rsidRPr="002A1DFC">
        <w:rPr>
          <w:bCs/>
          <w:sz w:val="20"/>
          <w:szCs w:val="20"/>
          <w:lang w:val="en-US"/>
        </w:rPr>
        <w:t>.</w:t>
      </w:r>
    </w:p>
    <w:p w14:paraId="6F4BD6DD" w14:textId="47CB7FAE" w:rsidR="0021457E" w:rsidRPr="002A1DFC" w:rsidRDefault="00551D09" w:rsidP="0029211B">
      <w:pPr>
        <w:rPr>
          <w:sz w:val="20"/>
          <w:szCs w:val="20"/>
          <w:lang w:val="en-US"/>
        </w:rPr>
      </w:pPr>
      <w:r w:rsidRPr="002A1DFC">
        <w:rPr>
          <w:b/>
          <w:sz w:val="20"/>
          <w:szCs w:val="20"/>
          <w:lang w:val="en-US"/>
        </w:rPr>
        <w:t>Sex</w:t>
      </w:r>
      <w:r w:rsidR="00CA3F4F" w:rsidRPr="002A1DFC">
        <w:rPr>
          <w:b/>
          <w:sz w:val="20"/>
          <w:szCs w:val="20"/>
          <w:lang w:val="en-US"/>
        </w:rPr>
        <w:t xml:space="preserve"> and gender associations</w:t>
      </w:r>
      <w:r w:rsidR="0021457E" w:rsidRPr="002A1DFC">
        <w:rPr>
          <w:b/>
          <w:sz w:val="20"/>
          <w:szCs w:val="20"/>
          <w:lang w:val="en-US"/>
        </w:rPr>
        <w:t xml:space="preserve">: </w:t>
      </w:r>
      <w:r w:rsidR="0021457E" w:rsidRPr="002A1DFC">
        <w:rPr>
          <w:bCs/>
          <w:sz w:val="20"/>
          <w:szCs w:val="20"/>
          <w:lang w:val="en-US"/>
        </w:rPr>
        <w:t xml:space="preserve">match (n) = 42, opposite (n) = 3, </w:t>
      </w:r>
      <w:r w:rsidR="005B207C" w:rsidRPr="002A1DFC">
        <w:rPr>
          <w:bCs/>
          <w:sz w:val="20"/>
          <w:szCs w:val="20"/>
          <w:lang w:val="en-US"/>
        </w:rPr>
        <w:t>partial</w:t>
      </w:r>
      <w:r w:rsidR="0021457E" w:rsidRPr="002A1DFC">
        <w:rPr>
          <w:bCs/>
          <w:sz w:val="20"/>
          <w:szCs w:val="20"/>
          <w:lang w:val="en-US"/>
        </w:rPr>
        <w:t xml:space="preserve"> (n) = 125, </w:t>
      </w:r>
      <w:r w:rsidR="005B207C" w:rsidRPr="002A1DFC">
        <w:rPr>
          <w:bCs/>
          <w:sz w:val="20"/>
          <w:szCs w:val="20"/>
          <w:lang w:val="en-US"/>
        </w:rPr>
        <w:t>no data</w:t>
      </w:r>
      <w:r w:rsidR="0021457E" w:rsidRPr="002A1DFC">
        <w:rPr>
          <w:bCs/>
          <w:sz w:val="20"/>
          <w:szCs w:val="20"/>
          <w:lang w:val="en-US"/>
        </w:rPr>
        <w:t xml:space="preserve"> (n) = 9</w:t>
      </w:r>
      <w:r w:rsidR="005B207C" w:rsidRPr="002A1DFC">
        <w:rPr>
          <w:bCs/>
          <w:sz w:val="20"/>
          <w:szCs w:val="20"/>
          <w:lang w:val="en-US"/>
        </w:rPr>
        <w:t>5</w:t>
      </w:r>
      <w:r w:rsidR="0021457E" w:rsidRPr="002A1DFC">
        <w:rPr>
          <w:bCs/>
          <w:sz w:val="20"/>
          <w:szCs w:val="20"/>
          <w:lang w:val="en-US"/>
        </w:rPr>
        <w:t>.</w:t>
      </w:r>
    </w:p>
    <w:p w14:paraId="2D970371" w14:textId="52923C4B" w:rsidR="00BC532E" w:rsidRPr="00DD2CAC" w:rsidRDefault="00B013E6" w:rsidP="0029211B">
      <w:pPr>
        <w:rPr>
          <w:sz w:val="20"/>
          <w:szCs w:val="20"/>
          <w:lang w:val="it-IT"/>
        </w:rPr>
      </w:pPr>
      <w:r w:rsidRPr="00DD2CAC">
        <w:rPr>
          <w:b/>
          <w:sz w:val="20"/>
          <w:szCs w:val="20"/>
          <w:lang w:val="it-IT"/>
        </w:rPr>
        <w:t>General site references:</w:t>
      </w:r>
      <w:r w:rsidRPr="00DD2CAC">
        <w:rPr>
          <w:sz w:val="20"/>
          <w:szCs w:val="20"/>
          <w:lang w:val="it-IT"/>
        </w:rPr>
        <w:t xml:space="preserve"> </w:t>
      </w:r>
      <w:r w:rsidR="00407642" w:rsidRPr="00DD2CAC">
        <w:rPr>
          <w:noProof/>
          <w:sz w:val="20"/>
          <w:szCs w:val="20"/>
          <w:lang w:val="it-IT"/>
        </w:rPr>
        <w:t>Neugebauer 1991</w:t>
      </w:r>
      <w:r w:rsidR="00582D48" w:rsidRPr="00DD2CAC">
        <w:rPr>
          <w:noProof/>
          <w:sz w:val="20"/>
          <w:szCs w:val="20"/>
          <w:lang w:val="it-IT"/>
        </w:rPr>
        <w:t>.</w:t>
      </w:r>
    </w:p>
    <w:p w14:paraId="027CA0A5" w14:textId="022B98BC" w:rsidR="0029211B" w:rsidRPr="00DD2CAC" w:rsidRDefault="0029211B" w:rsidP="0029211B">
      <w:pPr>
        <w:rPr>
          <w:sz w:val="20"/>
          <w:szCs w:val="20"/>
          <w:lang w:val="it-IT"/>
        </w:rPr>
      </w:pPr>
    </w:p>
    <w:p w14:paraId="56CC215F" w14:textId="42C2262F" w:rsidR="0029211B" w:rsidRPr="00DD2CAC" w:rsidRDefault="0029211B" w:rsidP="0029211B">
      <w:pPr>
        <w:rPr>
          <w:b/>
          <w:lang w:val="it-IT"/>
        </w:rPr>
      </w:pPr>
      <w:r w:rsidRPr="00DD2CAC">
        <w:rPr>
          <w:b/>
          <w:lang w:val="it-IT"/>
        </w:rPr>
        <w:t xml:space="preserve">Olmo </w:t>
      </w:r>
      <w:r w:rsidR="00B521BE" w:rsidRPr="00DD2CAC">
        <w:rPr>
          <w:b/>
          <w:lang w:val="it-IT"/>
        </w:rPr>
        <w:t xml:space="preserve">di Nogara </w:t>
      </w:r>
      <w:r w:rsidRPr="00DD2CAC">
        <w:rPr>
          <w:b/>
          <w:lang w:val="it-IT"/>
        </w:rPr>
        <w:t>(Italy)</w:t>
      </w:r>
    </w:p>
    <w:p w14:paraId="2C6E6F5F" w14:textId="3513C9DF" w:rsidR="00E160E7" w:rsidRPr="00DD2CAC" w:rsidRDefault="00E160E7" w:rsidP="00E160E7">
      <w:pPr>
        <w:rPr>
          <w:sz w:val="20"/>
          <w:szCs w:val="20"/>
          <w:lang w:val="it-IT"/>
        </w:rPr>
      </w:pPr>
      <w:r w:rsidRPr="00DD2CAC">
        <w:rPr>
          <w:b/>
          <w:sz w:val="20"/>
          <w:szCs w:val="20"/>
          <w:lang w:val="it-IT"/>
        </w:rPr>
        <w:t>Location</w:t>
      </w:r>
      <w:r w:rsidRPr="00DD2CAC">
        <w:rPr>
          <w:sz w:val="20"/>
          <w:szCs w:val="20"/>
          <w:lang w:val="it-IT"/>
        </w:rPr>
        <w:t xml:space="preserve">: </w:t>
      </w:r>
      <w:r w:rsidR="00E45DF9" w:rsidRPr="00DD2CAC">
        <w:rPr>
          <w:sz w:val="20"/>
          <w:szCs w:val="20"/>
          <w:lang w:val="it-IT"/>
        </w:rPr>
        <w:t xml:space="preserve">Nogara, </w:t>
      </w:r>
      <w:r w:rsidR="00D86993" w:rsidRPr="00DD2CAC">
        <w:rPr>
          <w:sz w:val="20"/>
          <w:szCs w:val="20"/>
          <w:lang w:val="it-IT"/>
        </w:rPr>
        <w:t>Veron</w:t>
      </w:r>
      <w:r w:rsidR="00CB7CA1" w:rsidRPr="00DD2CAC">
        <w:rPr>
          <w:sz w:val="20"/>
          <w:szCs w:val="20"/>
          <w:lang w:val="it-IT"/>
        </w:rPr>
        <w:t>a</w:t>
      </w:r>
      <w:r w:rsidR="00D86993" w:rsidRPr="00DD2CAC">
        <w:rPr>
          <w:sz w:val="20"/>
          <w:szCs w:val="20"/>
          <w:lang w:val="it-IT"/>
        </w:rPr>
        <w:t>, Veneto.</w:t>
      </w:r>
    </w:p>
    <w:p w14:paraId="7AAF1B9E" w14:textId="07CA801A" w:rsidR="00476F19" w:rsidRPr="00DD2CAC" w:rsidRDefault="00E160E7" w:rsidP="00DA2594">
      <w:pPr>
        <w:jc w:val="both"/>
        <w:rPr>
          <w:sz w:val="20"/>
          <w:szCs w:val="20"/>
          <w:lang w:val="it-IT"/>
        </w:rPr>
      </w:pPr>
      <w:r w:rsidRPr="00DD2CAC">
        <w:rPr>
          <w:b/>
          <w:sz w:val="20"/>
          <w:szCs w:val="20"/>
          <w:lang w:val="it-IT"/>
        </w:rPr>
        <w:t>Excavation</w:t>
      </w:r>
      <w:r w:rsidRPr="00DD2CAC">
        <w:rPr>
          <w:sz w:val="20"/>
          <w:szCs w:val="20"/>
          <w:lang w:val="it-IT"/>
        </w:rPr>
        <w:t xml:space="preserve">: </w:t>
      </w:r>
      <w:r w:rsidR="00476F19" w:rsidRPr="00DD2CAC">
        <w:rPr>
          <w:sz w:val="20"/>
          <w:szCs w:val="20"/>
          <w:lang w:val="it-IT"/>
        </w:rPr>
        <w:t xml:space="preserve">1936-1937 (discovery of graves by G. Bellani during construction works); 1987 </w:t>
      </w:r>
      <w:r w:rsidR="00E45DF9" w:rsidRPr="00DD2CAC">
        <w:rPr>
          <w:sz w:val="20"/>
          <w:szCs w:val="20"/>
          <w:lang w:val="it-IT"/>
        </w:rPr>
        <w:t>(</w:t>
      </w:r>
      <w:r w:rsidR="00970C79" w:rsidRPr="00DD2CAC">
        <w:rPr>
          <w:sz w:val="20"/>
          <w:szCs w:val="20"/>
          <w:lang w:val="it-IT"/>
        </w:rPr>
        <w:t>L. Salzani; S</w:t>
      </w:r>
      <w:r w:rsidR="002662FB" w:rsidRPr="00DD2CAC">
        <w:rPr>
          <w:sz w:val="20"/>
          <w:szCs w:val="20"/>
          <w:lang w:val="it-IT"/>
        </w:rPr>
        <w:t>o</w:t>
      </w:r>
      <w:r w:rsidR="00970C79" w:rsidRPr="00DD2CAC">
        <w:rPr>
          <w:sz w:val="20"/>
          <w:szCs w:val="20"/>
          <w:lang w:val="it-IT"/>
        </w:rPr>
        <w:t>p</w:t>
      </w:r>
      <w:r w:rsidR="002662FB" w:rsidRPr="00DD2CAC">
        <w:rPr>
          <w:sz w:val="20"/>
          <w:szCs w:val="20"/>
          <w:lang w:val="it-IT"/>
        </w:rPr>
        <w:t>r</w:t>
      </w:r>
      <w:r w:rsidR="00970C79" w:rsidRPr="00DD2CAC">
        <w:rPr>
          <w:sz w:val="20"/>
          <w:szCs w:val="20"/>
          <w:lang w:val="it-IT"/>
        </w:rPr>
        <w:t>intendenza Archeologica del Veneto</w:t>
      </w:r>
      <w:r w:rsidR="00E45DF9" w:rsidRPr="00DD2CAC">
        <w:rPr>
          <w:sz w:val="20"/>
          <w:szCs w:val="20"/>
          <w:lang w:val="it-IT"/>
        </w:rPr>
        <w:t>); 1990-1997, 2002</w:t>
      </w:r>
      <w:r w:rsidR="00425160" w:rsidRPr="00DD2CAC">
        <w:rPr>
          <w:sz w:val="20"/>
          <w:szCs w:val="20"/>
          <w:lang w:val="it-IT"/>
        </w:rPr>
        <w:t>, 2009</w:t>
      </w:r>
      <w:r w:rsidR="00E45DF9" w:rsidRPr="00DD2CAC">
        <w:rPr>
          <w:sz w:val="20"/>
          <w:szCs w:val="20"/>
          <w:lang w:val="it-IT"/>
        </w:rPr>
        <w:t xml:space="preserve"> (</w:t>
      </w:r>
      <w:r w:rsidR="00425160" w:rsidRPr="00DD2CAC">
        <w:rPr>
          <w:sz w:val="20"/>
          <w:szCs w:val="20"/>
          <w:lang w:val="it-IT"/>
        </w:rPr>
        <w:t xml:space="preserve">L. Salzani; </w:t>
      </w:r>
      <w:r w:rsidR="00E45DF9" w:rsidRPr="00DD2CAC">
        <w:rPr>
          <w:sz w:val="20"/>
          <w:szCs w:val="20"/>
          <w:lang w:val="it-IT"/>
        </w:rPr>
        <w:t>Padus company/Padana Archaeological Society</w:t>
      </w:r>
      <w:r w:rsidR="00425160" w:rsidRPr="00DD2CAC">
        <w:rPr>
          <w:sz w:val="20"/>
          <w:szCs w:val="20"/>
          <w:lang w:val="it-IT"/>
        </w:rPr>
        <w:t>)</w:t>
      </w:r>
      <w:r w:rsidR="00E45DF9" w:rsidRPr="00DD2CAC">
        <w:rPr>
          <w:sz w:val="20"/>
          <w:szCs w:val="20"/>
          <w:lang w:val="it-IT"/>
        </w:rPr>
        <w:t>.</w:t>
      </w:r>
    </w:p>
    <w:p w14:paraId="09E137CB" w14:textId="2DCAB6A2" w:rsidR="00E160E7" w:rsidRPr="002A1DFC" w:rsidRDefault="00E160E7" w:rsidP="00DA2594">
      <w:pPr>
        <w:jc w:val="both"/>
        <w:rPr>
          <w:sz w:val="20"/>
          <w:szCs w:val="20"/>
          <w:lang w:val="en-US"/>
        </w:rPr>
      </w:pPr>
      <w:r w:rsidRPr="002A1DFC">
        <w:rPr>
          <w:b/>
          <w:sz w:val="20"/>
          <w:szCs w:val="20"/>
          <w:lang w:val="en-US"/>
        </w:rPr>
        <w:t>Chronology</w:t>
      </w:r>
      <w:r w:rsidRPr="002A1DFC">
        <w:rPr>
          <w:sz w:val="20"/>
          <w:szCs w:val="20"/>
          <w:lang w:val="en-US"/>
        </w:rPr>
        <w:t xml:space="preserve">: </w:t>
      </w:r>
      <w:r w:rsidR="00E45DF9" w:rsidRPr="002A1DFC">
        <w:rPr>
          <w:sz w:val="20"/>
          <w:szCs w:val="20"/>
          <w:lang w:val="en-US"/>
        </w:rPr>
        <w:t xml:space="preserve">Middle Bronze Age </w:t>
      </w:r>
      <w:r w:rsidR="00606BAB" w:rsidRPr="002A1DFC">
        <w:rPr>
          <w:sz w:val="20"/>
          <w:szCs w:val="20"/>
          <w:lang w:val="en-US"/>
        </w:rPr>
        <w:t xml:space="preserve">phase </w:t>
      </w:r>
      <w:r w:rsidR="00644189" w:rsidRPr="002A1DFC">
        <w:rPr>
          <w:sz w:val="20"/>
          <w:szCs w:val="20"/>
          <w:lang w:val="en-US"/>
        </w:rPr>
        <w:t>(1)/2</w:t>
      </w:r>
      <w:r w:rsidR="00E45DF9" w:rsidRPr="002A1DFC">
        <w:rPr>
          <w:sz w:val="20"/>
          <w:szCs w:val="20"/>
          <w:lang w:val="en-US"/>
        </w:rPr>
        <w:t xml:space="preserve"> to </w:t>
      </w:r>
      <w:r w:rsidR="00644189" w:rsidRPr="002A1DFC">
        <w:rPr>
          <w:sz w:val="20"/>
          <w:szCs w:val="20"/>
          <w:lang w:val="en-US"/>
        </w:rPr>
        <w:t>Recent</w:t>
      </w:r>
      <w:r w:rsidR="00E45DF9" w:rsidRPr="002A1DFC">
        <w:rPr>
          <w:sz w:val="20"/>
          <w:szCs w:val="20"/>
          <w:lang w:val="en-US"/>
        </w:rPr>
        <w:t xml:space="preserve"> Bronze Age</w:t>
      </w:r>
      <w:r w:rsidR="00644189" w:rsidRPr="002A1DFC">
        <w:rPr>
          <w:sz w:val="20"/>
          <w:szCs w:val="20"/>
          <w:lang w:val="en-US"/>
        </w:rPr>
        <w:t xml:space="preserve"> phase 2</w:t>
      </w:r>
      <w:r w:rsidR="00E72526" w:rsidRPr="002A1DFC">
        <w:rPr>
          <w:sz w:val="20"/>
          <w:szCs w:val="20"/>
          <w:lang w:val="en-US"/>
        </w:rPr>
        <w:t>.</w:t>
      </w:r>
      <w:r w:rsidR="00E45DF9" w:rsidRPr="002A1DFC">
        <w:rPr>
          <w:sz w:val="20"/>
          <w:szCs w:val="20"/>
          <w:lang w:val="en-US"/>
        </w:rPr>
        <w:t xml:space="preserve"> </w:t>
      </w:r>
    </w:p>
    <w:p w14:paraId="093A1529" w14:textId="256CED7F" w:rsidR="00644189" w:rsidRPr="00DD2CAC" w:rsidRDefault="00644189" w:rsidP="00DA2594">
      <w:pPr>
        <w:jc w:val="both"/>
        <w:rPr>
          <w:sz w:val="20"/>
          <w:szCs w:val="20"/>
          <w:lang w:val="it-IT"/>
        </w:rPr>
      </w:pPr>
      <w:r w:rsidRPr="00DD2CAC">
        <w:rPr>
          <w:b/>
          <w:sz w:val="20"/>
          <w:szCs w:val="20"/>
          <w:lang w:val="it-IT"/>
        </w:rPr>
        <w:t>Material culture</w:t>
      </w:r>
      <w:r w:rsidRPr="00DD2CAC">
        <w:rPr>
          <w:sz w:val="20"/>
          <w:szCs w:val="20"/>
          <w:lang w:val="it-IT"/>
        </w:rPr>
        <w:t>: Terramare</w:t>
      </w:r>
      <w:r w:rsidR="002A0BA1" w:rsidRPr="00DD2CAC">
        <w:rPr>
          <w:sz w:val="20"/>
          <w:szCs w:val="20"/>
          <w:lang w:val="it-IT"/>
        </w:rPr>
        <w:t>.</w:t>
      </w:r>
    </w:p>
    <w:p w14:paraId="20262191" w14:textId="7A1C8F33" w:rsidR="00E160E7" w:rsidRPr="00DD2CAC" w:rsidRDefault="00E160E7" w:rsidP="00DA2594">
      <w:pPr>
        <w:jc w:val="both"/>
        <w:rPr>
          <w:sz w:val="20"/>
          <w:szCs w:val="20"/>
          <w:lang w:val="it-IT"/>
        </w:rPr>
      </w:pPr>
      <w:r w:rsidRPr="00DD2CAC">
        <w:rPr>
          <w:b/>
          <w:sz w:val="20"/>
          <w:szCs w:val="20"/>
          <w:lang w:val="it-IT"/>
        </w:rPr>
        <w:t>Use duration</w:t>
      </w:r>
      <w:r w:rsidRPr="00DD2CAC">
        <w:rPr>
          <w:sz w:val="20"/>
          <w:szCs w:val="20"/>
          <w:lang w:val="it-IT"/>
        </w:rPr>
        <w:t xml:space="preserve">: </w:t>
      </w:r>
      <w:r w:rsidR="00644189" w:rsidRPr="00DD2CAC">
        <w:rPr>
          <w:sz w:val="20"/>
          <w:szCs w:val="20"/>
          <w:lang w:val="it-IT"/>
        </w:rPr>
        <w:t>c. 1600/1500-1200 BCE</w:t>
      </w:r>
      <w:r w:rsidR="00DD2CAC">
        <w:rPr>
          <w:sz w:val="20"/>
          <w:szCs w:val="20"/>
          <w:lang w:val="it-IT"/>
        </w:rPr>
        <w:t>.</w:t>
      </w:r>
    </w:p>
    <w:p w14:paraId="649F7F12" w14:textId="145A3BE0" w:rsidR="00DA2594" w:rsidRPr="002A1DFC" w:rsidRDefault="00E160E7" w:rsidP="00DA2594">
      <w:pPr>
        <w:jc w:val="both"/>
        <w:rPr>
          <w:sz w:val="20"/>
          <w:szCs w:val="20"/>
          <w:lang w:val="en-US"/>
        </w:rPr>
      </w:pPr>
      <w:r w:rsidRPr="002A1DFC">
        <w:rPr>
          <w:b/>
          <w:sz w:val="20"/>
          <w:szCs w:val="20"/>
          <w:lang w:val="en-US"/>
        </w:rPr>
        <w:t>Preservation</w:t>
      </w:r>
      <w:r w:rsidRPr="002A1DFC">
        <w:rPr>
          <w:sz w:val="20"/>
          <w:szCs w:val="20"/>
          <w:lang w:val="en-US"/>
        </w:rPr>
        <w:t xml:space="preserve">: </w:t>
      </w:r>
      <w:r w:rsidR="00644189" w:rsidRPr="002A1DFC">
        <w:rPr>
          <w:sz w:val="20"/>
          <w:szCs w:val="20"/>
          <w:lang w:val="en-US"/>
        </w:rPr>
        <w:t xml:space="preserve">All authors describe a good </w:t>
      </w:r>
      <w:r w:rsidR="002A0BA1">
        <w:rPr>
          <w:sz w:val="20"/>
          <w:szCs w:val="20"/>
          <w:lang w:val="en-US"/>
        </w:rPr>
        <w:t xml:space="preserve">overall </w:t>
      </w:r>
      <w:r w:rsidR="00644189" w:rsidRPr="002A1DFC">
        <w:rPr>
          <w:sz w:val="20"/>
          <w:szCs w:val="20"/>
          <w:lang w:val="en-US"/>
        </w:rPr>
        <w:t xml:space="preserve">preservation of the skeletal </w:t>
      </w:r>
      <w:r w:rsidR="00754954" w:rsidRPr="002A1DFC">
        <w:rPr>
          <w:sz w:val="20"/>
          <w:szCs w:val="20"/>
          <w:lang w:val="en-US"/>
        </w:rPr>
        <w:t>collection</w:t>
      </w:r>
      <w:r w:rsidR="00644189" w:rsidRPr="002A1DFC">
        <w:rPr>
          <w:sz w:val="20"/>
          <w:szCs w:val="20"/>
          <w:lang w:val="en-US"/>
        </w:rPr>
        <w:t xml:space="preserve">. </w:t>
      </w:r>
      <w:proofErr w:type="spellStart"/>
      <w:r w:rsidR="00DA2594" w:rsidRPr="002A1DFC">
        <w:rPr>
          <w:sz w:val="20"/>
          <w:szCs w:val="20"/>
          <w:lang w:val="en-US"/>
        </w:rPr>
        <w:t>Canci</w:t>
      </w:r>
      <w:proofErr w:type="spellEnd"/>
      <w:r w:rsidR="00DA2594" w:rsidRPr="002A1DFC">
        <w:rPr>
          <w:sz w:val="20"/>
          <w:szCs w:val="20"/>
          <w:lang w:val="en-US"/>
        </w:rPr>
        <w:t xml:space="preserve"> </w:t>
      </w:r>
      <w:r w:rsidR="00DA2594" w:rsidRPr="00CA6877">
        <w:rPr>
          <w:i/>
          <w:sz w:val="20"/>
          <w:szCs w:val="20"/>
          <w:lang w:val="en-US"/>
        </w:rPr>
        <w:t>et al.</w:t>
      </w:r>
      <w:r w:rsidR="00DA2594" w:rsidRPr="002A1DFC">
        <w:rPr>
          <w:sz w:val="20"/>
          <w:szCs w:val="20"/>
          <w:lang w:val="en-US"/>
        </w:rPr>
        <w:t xml:space="preserve"> </w:t>
      </w:r>
      <w:r w:rsidR="00407642" w:rsidRPr="002A1DFC">
        <w:rPr>
          <w:noProof/>
          <w:sz w:val="20"/>
          <w:szCs w:val="20"/>
          <w:lang w:val="en-US"/>
        </w:rPr>
        <w:t>(2015</w:t>
      </w:r>
      <w:r w:rsidR="00582D48" w:rsidRPr="002A1DFC">
        <w:rPr>
          <w:noProof/>
          <w:sz w:val="20"/>
          <w:szCs w:val="20"/>
          <w:lang w:val="en-US"/>
        </w:rPr>
        <w:t>,</w:t>
      </w:r>
      <w:r w:rsidR="00407642" w:rsidRPr="002A1DFC">
        <w:rPr>
          <w:noProof/>
          <w:sz w:val="20"/>
          <w:szCs w:val="20"/>
          <w:lang w:val="en-US"/>
        </w:rPr>
        <w:t xml:space="preserve"> 329)</w:t>
      </w:r>
      <w:r w:rsidR="00DA2594" w:rsidRPr="002A1DFC">
        <w:rPr>
          <w:sz w:val="20"/>
          <w:szCs w:val="20"/>
          <w:lang w:val="en-US"/>
        </w:rPr>
        <w:t xml:space="preserve"> mention 12 cases of looting with complete removal of grave goods and 3 cases of non-preserv</w:t>
      </w:r>
      <w:r w:rsidR="002A0BA1">
        <w:rPr>
          <w:sz w:val="20"/>
          <w:szCs w:val="20"/>
          <w:lang w:val="en-US"/>
        </w:rPr>
        <w:t xml:space="preserve">ed grave </w:t>
      </w:r>
      <w:r w:rsidR="00DA2594" w:rsidRPr="002A1DFC">
        <w:rPr>
          <w:sz w:val="20"/>
          <w:szCs w:val="20"/>
          <w:lang w:val="en-US"/>
        </w:rPr>
        <w:t xml:space="preserve">goods due to corrosion induced </w:t>
      </w:r>
      <w:r w:rsidR="0085125E" w:rsidRPr="002A1DFC">
        <w:rPr>
          <w:sz w:val="20"/>
          <w:szCs w:val="20"/>
          <w:lang w:val="en-US"/>
        </w:rPr>
        <w:t xml:space="preserve">by the chemical composition of the soil and/or the particular conditions of the location. </w:t>
      </w:r>
      <w:r w:rsidR="00D9552D" w:rsidRPr="002A1DFC">
        <w:rPr>
          <w:sz w:val="20"/>
          <w:szCs w:val="20"/>
          <w:lang w:val="en-US"/>
        </w:rPr>
        <w:t xml:space="preserve">Further burials were damaged by ploughing activities </w:t>
      </w:r>
      <w:r w:rsidR="00407642" w:rsidRPr="002A1DFC">
        <w:rPr>
          <w:noProof/>
          <w:sz w:val="20"/>
          <w:szCs w:val="20"/>
          <w:lang w:val="en-US"/>
        </w:rPr>
        <w:t>(Salzani 1988</w:t>
      </w:r>
      <w:r w:rsidR="00582D48" w:rsidRPr="002A1DFC">
        <w:rPr>
          <w:noProof/>
          <w:sz w:val="20"/>
          <w:szCs w:val="20"/>
          <w:lang w:val="en-US"/>
        </w:rPr>
        <w:t>,</w:t>
      </w:r>
      <w:r w:rsidR="00407642" w:rsidRPr="002A1DFC">
        <w:rPr>
          <w:noProof/>
          <w:sz w:val="20"/>
          <w:szCs w:val="20"/>
          <w:lang w:val="en-US"/>
        </w:rPr>
        <w:t xml:space="preserve"> 234)</w:t>
      </w:r>
      <w:r w:rsidR="00D9552D" w:rsidRPr="002A1DFC">
        <w:rPr>
          <w:sz w:val="20"/>
          <w:szCs w:val="20"/>
          <w:lang w:val="en-US"/>
        </w:rPr>
        <w:t>.</w:t>
      </w:r>
      <w:r w:rsidR="00AB65F7" w:rsidRPr="002A1DFC">
        <w:rPr>
          <w:sz w:val="20"/>
          <w:szCs w:val="20"/>
          <w:lang w:val="en-US"/>
        </w:rPr>
        <w:t xml:space="preserve"> </w:t>
      </w:r>
    </w:p>
    <w:p w14:paraId="4799FAA9" w14:textId="1D23678B" w:rsidR="00E160E7" w:rsidRPr="002A1DFC" w:rsidRDefault="00E160E7" w:rsidP="00DA2594">
      <w:pPr>
        <w:jc w:val="both"/>
        <w:rPr>
          <w:sz w:val="20"/>
          <w:szCs w:val="20"/>
          <w:lang w:val="en-US"/>
        </w:rPr>
      </w:pPr>
      <w:r w:rsidRPr="002A1DFC">
        <w:rPr>
          <w:b/>
          <w:sz w:val="20"/>
          <w:szCs w:val="20"/>
          <w:lang w:val="en-US"/>
        </w:rPr>
        <w:t>Burial structures</w:t>
      </w:r>
      <w:r w:rsidRPr="002A1DFC">
        <w:rPr>
          <w:sz w:val="20"/>
          <w:szCs w:val="20"/>
          <w:lang w:val="en-US"/>
        </w:rPr>
        <w:t xml:space="preserve">: </w:t>
      </w:r>
      <w:r w:rsidR="00754BEF" w:rsidRPr="002A1DFC">
        <w:rPr>
          <w:sz w:val="20"/>
          <w:szCs w:val="20"/>
          <w:lang w:val="en-US"/>
        </w:rPr>
        <w:t>5</w:t>
      </w:r>
      <w:r w:rsidR="0085125E" w:rsidRPr="002A1DFC">
        <w:rPr>
          <w:sz w:val="20"/>
          <w:szCs w:val="20"/>
          <w:lang w:val="en-US"/>
        </w:rPr>
        <w:t>3</w:t>
      </w:r>
      <w:r w:rsidR="00644189" w:rsidRPr="002A1DFC">
        <w:rPr>
          <w:sz w:val="20"/>
          <w:szCs w:val="20"/>
          <w:lang w:val="en-US"/>
        </w:rPr>
        <w:t>3</w:t>
      </w:r>
      <w:r w:rsidR="0085125E" w:rsidRPr="002A1DFC">
        <w:rPr>
          <w:sz w:val="20"/>
          <w:szCs w:val="20"/>
          <w:lang w:val="en-US"/>
        </w:rPr>
        <w:t xml:space="preserve"> burial structures</w:t>
      </w:r>
      <w:r w:rsidR="00D9552D" w:rsidRPr="002A1DFC">
        <w:rPr>
          <w:sz w:val="20"/>
          <w:szCs w:val="20"/>
          <w:lang w:val="en-US"/>
        </w:rPr>
        <w:t xml:space="preserve"> were excavated.</w:t>
      </w:r>
    </w:p>
    <w:p w14:paraId="2A6E8A69" w14:textId="4D298F13" w:rsidR="0085125E" w:rsidRPr="002A1DFC" w:rsidRDefault="00E160E7" w:rsidP="00DA2594">
      <w:pPr>
        <w:jc w:val="both"/>
        <w:rPr>
          <w:sz w:val="20"/>
          <w:szCs w:val="20"/>
          <w:lang w:val="en-US"/>
        </w:rPr>
      </w:pPr>
      <w:r w:rsidRPr="002A1DFC">
        <w:rPr>
          <w:b/>
          <w:sz w:val="20"/>
          <w:szCs w:val="20"/>
          <w:lang w:val="en-US"/>
        </w:rPr>
        <w:t>Burial practice</w:t>
      </w:r>
      <w:r w:rsidRPr="002A1DFC">
        <w:rPr>
          <w:sz w:val="20"/>
          <w:szCs w:val="20"/>
          <w:lang w:val="en-US"/>
        </w:rPr>
        <w:t xml:space="preserve">: </w:t>
      </w:r>
      <w:r w:rsidR="001A6E69" w:rsidRPr="002A1DFC">
        <w:rPr>
          <w:sz w:val="20"/>
          <w:szCs w:val="20"/>
          <w:lang w:val="en-US"/>
        </w:rPr>
        <w:t>6</w:t>
      </w:r>
      <w:r w:rsidR="00644189" w:rsidRPr="002A1DFC">
        <w:rPr>
          <w:sz w:val="20"/>
          <w:szCs w:val="20"/>
          <w:lang w:val="en-US"/>
        </w:rPr>
        <w:t>2</w:t>
      </w:r>
      <w:r w:rsidR="001A6E69" w:rsidRPr="002A1DFC">
        <w:rPr>
          <w:sz w:val="20"/>
          <w:szCs w:val="20"/>
          <w:lang w:val="en-US"/>
        </w:rPr>
        <w:t xml:space="preserve"> cremations and 4</w:t>
      </w:r>
      <w:r w:rsidR="00B64C8D" w:rsidRPr="002A1DFC">
        <w:rPr>
          <w:sz w:val="20"/>
          <w:szCs w:val="20"/>
          <w:lang w:val="en-US"/>
        </w:rPr>
        <w:t>7</w:t>
      </w:r>
      <w:r w:rsidR="00644189" w:rsidRPr="002A1DFC">
        <w:rPr>
          <w:sz w:val="20"/>
          <w:szCs w:val="20"/>
          <w:lang w:val="en-US"/>
        </w:rPr>
        <w:t>1</w:t>
      </w:r>
      <w:r w:rsidR="001A6E69" w:rsidRPr="002A1DFC">
        <w:rPr>
          <w:sz w:val="20"/>
          <w:szCs w:val="20"/>
          <w:lang w:val="en-US"/>
        </w:rPr>
        <w:t xml:space="preserve"> inhumations</w:t>
      </w:r>
      <w:r w:rsidR="00DA2594" w:rsidRPr="002A1DFC">
        <w:rPr>
          <w:sz w:val="20"/>
          <w:szCs w:val="20"/>
          <w:lang w:val="en-US"/>
        </w:rPr>
        <w:t>.</w:t>
      </w:r>
      <w:r w:rsidR="00B64C8D" w:rsidRPr="002A1DFC">
        <w:rPr>
          <w:sz w:val="20"/>
          <w:szCs w:val="20"/>
          <w:lang w:val="en-US"/>
        </w:rPr>
        <w:t xml:space="preserve"> </w:t>
      </w:r>
      <w:proofErr w:type="spellStart"/>
      <w:r w:rsidR="00B64C8D" w:rsidRPr="002A1DFC">
        <w:rPr>
          <w:sz w:val="20"/>
          <w:szCs w:val="20"/>
          <w:lang w:val="en-US"/>
        </w:rPr>
        <w:t>Canci</w:t>
      </w:r>
      <w:proofErr w:type="spellEnd"/>
      <w:r w:rsidR="00B64C8D" w:rsidRPr="002A1DFC">
        <w:rPr>
          <w:sz w:val="20"/>
          <w:szCs w:val="20"/>
          <w:lang w:val="en-US"/>
        </w:rPr>
        <w:t xml:space="preserve"> </w:t>
      </w:r>
      <w:r w:rsidR="00B64C8D" w:rsidRPr="00CA6877">
        <w:rPr>
          <w:i/>
          <w:sz w:val="20"/>
          <w:szCs w:val="20"/>
          <w:lang w:val="en-US"/>
        </w:rPr>
        <w:t>et al</w:t>
      </w:r>
      <w:r w:rsidR="00DA2594" w:rsidRPr="00CA6877">
        <w:rPr>
          <w:i/>
          <w:sz w:val="20"/>
          <w:szCs w:val="20"/>
          <w:lang w:val="en-US"/>
        </w:rPr>
        <w:t>.</w:t>
      </w:r>
      <w:r w:rsidR="00DA2594" w:rsidRPr="002A1DFC">
        <w:rPr>
          <w:sz w:val="20"/>
          <w:szCs w:val="20"/>
          <w:lang w:val="en-US"/>
        </w:rPr>
        <w:t xml:space="preserve"> </w:t>
      </w:r>
      <w:r w:rsidR="00407642" w:rsidRPr="002A1DFC">
        <w:rPr>
          <w:noProof/>
          <w:sz w:val="20"/>
          <w:szCs w:val="20"/>
          <w:lang w:val="en-US"/>
        </w:rPr>
        <w:t>(2015</w:t>
      </w:r>
      <w:r w:rsidR="00582D48" w:rsidRPr="002A1DFC">
        <w:rPr>
          <w:noProof/>
          <w:sz w:val="20"/>
          <w:szCs w:val="20"/>
          <w:lang w:val="en-US"/>
        </w:rPr>
        <w:t>,</w:t>
      </w:r>
      <w:r w:rsidR="00407642" w:rsidRPr="002A1DFC">
        <w:rPr>
          <w:noProof/>
          <w:sz w:val="20"/>
          <w:szCs w:val="20"/>
          <w:lang w:val="en-US"/>
        </w:rPr>
        <w:t xml:space="preserve"> 328-329)</w:t>
      </w:r>
      <w:r w:rsidR="00DA2594" w:rsidRPr="002A1DFC">
        <w:rPr>
          <w:sz w:val="20"/>
          <w:szCs w:val="20"/>
          <w:lang w:val="en-US"/>
        </w:rPr>
        <w:t xml:space="preserve"> </w:t>
      </w:r>
      <w:r w:rsidR="00E0255E" w:rsidRPr="002A1DFC">
        <w:rPr>
          <w:sz w:val="20"/>
          <w:szCs w:val="20"/>
          <w:lang w:val="en-US"/>
        </w:rPr>
        <w:t>were not able to</w:t>
      </w:r>
      <w:r w:rsidR="00DA2594" w:rsidRPr="002A1DFC">
        <w:rPr>
          <w:sz w:val="20"/>
          <w:szCs w:val="20"/>
          <w:lang w:val="en-US"/>
        </w:rPr>
        <w:t xml:space="preserve"> retrieve 54 </w:t>
      </w:r>
      <w:r w:rsidR="00E0255E" w:rsidRPr="002A1DFC">
        <w:rPr>
          <w:sz w:val="20"/>
          <w:szCs w:val="20"/>
          <w:lang w:val="en-US"/>
        </w:rPr>
        <w:t xml:space="preserve">of the published </w:t>
      </w:r>
      <w:r w:rsidR="00DA2594" w:rsidRPr="002A1DFC">
        <w:rPr>
          <w:sz w:val="20"/>
          <w:szCs w:val="20"/>
          <w:lang w:val="en-US"/>
        </w:rPr>
        <w:t>inhumations and 14 cremations</w:t>
      </w:r>
      <w:r w:rsidR="00B64C8D" w:rsidRPr="002A1DFC">
        <w:rPr>
          <w:sz w:val="20"/>
          <w:szCs w:val="20"/>
          <w:lang w:val="en-US"/>
        </w:rPr>
        <w:t xml:space="preserve"> in the scope of their </w:t>
      </w:r>
      <w:r w:rsidR="009D7719" w:rsidRPr="002A1DFC">
        <w:rPr>
          <w:sz w:val="20"/>
          <w:szCs w:val="20"/>
          <w:lang w:val="en-US"/>
        </w:rPr>
        <w:t xml:space="preserve">osteological </w:t>
      </w:r>
      <w:r w:rsidR="00B64C8D" w:rsidRPr="002A1DFC">
        <w:rPr>
          <w:sz w:val="20"/>
          <w:szCs w:val="20"/>
          <w:lang w:val="en-US"/>
        </w:rPr>
        <w:t xml:space="preserve">re-evaluation of the </w:t>
      </w:r>
      <w:r w:rsidR="00DA2594" w:rsidRPr="002A1DFC">
        <w:rPr>
          <w:sz w:val="20"/>
          <w:szCs w:val="20"/>
          <w:lang w:val="en-US"/>
        </w:rPr>
        <w:t xml:space="preserve">skeletal </w:t>
      </w:r>
      <w:r w:rsidR="00B64C8D" w:rsidRPr="002A1DFC">
        <w:rPr>
          <w:sz w:val="20"/>
          <w:szCs w:val="20"/>
          <w:lang w:val="en-US"/>
        </w:rPr>
        <w:t xml:space="preserve">collection </w:t>
      </w:r>
      <w:r w:rsidR="00DA2594" w:rsidRPr="002A1DFC">
        <w:rPr>
          <w:sz w:val="20"/>
          <w:szCs w:val="20"/>
          <w:lang w:val="en-US"/>
        </w:rPr>
        <w:t>of</w:t>
      </w:r>
      <w:r w:rsidR="00B64C8D" w:rsidRPr="002A1DFC">
        <w:rPr>
          <w:sz w:val="20"/>
          <w:szCs w:val="20"/>
          <w:lang w:val="en-US"/>
        </w:rPr>
        <w:t xml:space="preserve"> </w:t>
      </w:r>
      <w:proofErr w:type="spellStart"/>
      <w:r w:rsidR="00B64C8D" w:rsidRPr="002A1DFC">
        <w:rPr>
          <w:sz w:val="20"/>
          <w:szCs w:val="20"/>
          <w:lang w:val="en-US"/>
        </w:rPr>
        <w:t>Olmo</w:t>
      </w:r>
      <w:proofErr w:type="spellEnd"/>
      <w:r w:rsidR="00DA2594" w:rsidRPr="002A1DFC">
        <w:rPr>
          <w:sz w:val="20"/>
          <w:szCs w:val="20"/>
          <w:lang w:val="en-US"/>
        </w:rPr>
        <w:t xml:space="preserve">. They further </w:t>
      </w:r>
      <w:r w:rsidR="00457309" w:rsidRPr="002A1DFC">
        <w:rPr>
          <w:sz w:val="20"/>
          <w:szCs w:val="20"/>
          <w:lang w:val="en-US"/>
        </w:rPr>
        <w:t>detected</w:t>
      </w:r>
      <w:r w:rsidR="00DA2594" w:rsidRPr="002A1DFC">
        <w:rPr>
          <w:sz w:val="20"/>
          <w:szCs w:val="20"/>
          <w:lang w:val="en-US"/>
        </w:rPr>
        <w:t xml:space="preserve"> 5 additional, hitherto unidentified individuals based on their bone count. </w:t>
      </w:r>
    </w:p>
    <w:p w14:paraId="0D0E1E80" w14:textId="38F01CB1" w:rsidR="00E160E7" w:rsidRPr="002A1DFC" w:rsidRDefault="00E160E7" w:rsidP="00E160E7">
      <w:pPr>
        <w:rPr>
          <w:sz w:val="20"/>
          <w:szCs w:val="20"/>
          <w:lang w:val="en-US"/>
        </w:rPr>
      </w:pPr>
      <w:r w:rsidRPr="002A1DFC">
        <w:rPr>
          <w:b/>
          <w:sz w:val="20"/>
          <w:szCs w:val="20"/>
          <w:lang w:val="en-US"/>
        </w:rPr>
        <w:t>Minimum number of individuals</w:t>
      </w:r>
      <w:r w:rsidRPr="002A1DFC">
        <w:rPr>
          <w:sz w:val="20"/>
          <w:szCs w:val="20"/>
          <w:lang w:val="en-US"/>
        </w:rPr>
        <w:t>:</w:t>
      </w:r>
      <w:r w:rsidR="00644189" w:rsidRPr="002A1DFC">
        <w:rPr>
          <w:sz w:val="20"/>
          <w:szCs w:val="20"/>
          <w:lang w:val="en-US"/>
        </w:rPr>
        <w:t xml:space="preserve"> 543</w:t>
      </w:r>
      <w:r w:rsidR="00E0255E" w:rsidRPr="002A1DFC">
        <w:rPr>
          <w:sz w:val="20"/>
          <w:szCs w:val="20"/>
          <w:lang w:val="en-US"/>
        </w:rPr>
        <w:t xml:space="preserve"> </w:t>
      </w:r>
    </w:p>
    <w:p w14:paraId="7579DCCD" w14:textId="4BA94795" w:rsidR="008512D8" w:rsidRPr="002A1DFC" w:rsidRDefault="00921920" w:rsidP="008512D8">
      <w:pPr>
        <w:jc w:val="both"/>
        <w:rPr>
          <w:sz w:val="20"/>
          <w:szCs w:val="20"/>
          <w:lang w:val="en-US"/>
        </w:rPr>
      </w:pPr>
      <w:r w:rsidRPr="002A1DFC">
        <w:rPr>
          <w:b/>
          <w:sz w:val="20"/>
          <w:szCs w:val="20"/>
          <w:lang w:val="en-US"/>
        </w:rPr>
        <w:t>Anthropologist(s):</w:t>
      </w:r>
      <w:r w:rsidR="00003A92" w:rsidRPr="002A1DFC">
        <w:rPr>
          <w:b/>
          <w:sz w:val="20"/>
          <w:szCs w:val="20"/>
          <w:lang w:val="en-US"/>
        </w:rPr>
        <w:t xml:space="preserve"> </w:t>
      </w:r>
      <w:r w:rsidR="00A37C28" w:rsidRPr="002A1DFC">
        <w:rPr>
          <w:sz w:val="20"/>
          <w:szCs w:val="20"/>
          <w:lang w:val="en-US"/>
        </w:rPr>
        <w:t>C</w:t>
      </w:r>
      <w:r w:rsidR="00003A92" w:rsidRPr="002A1DFC">
        <w:rPr>
          <w:sz w:val="20"/>
          <w:szCs w:val="20"/>
          <w:lang w:val="en-US"/>
        </w:rPr>
        <w:t xml:space="preserve">. </w:t>
      </w:r>
      <w:proofErr w:type="spellStart"/>
      <w:r w:rsidR="00003A92" w:rsidRPr="002A1DFC">
        <w:rPr>
          <w:sz w:val="20"/>
          <w:szCs w:val="20"/>
          <w:lang w:val="en-US"/>
        </w:rPr>
        <w:t>Corrain</w:t>
      </w:r>
      <w:proofErr w:type="spellEnd"/>
      <w:r w:rsidR="00A37C28" w:rsidRPr="002A1DFC">
        <w:rPr>
          <w:sz w:val="20"/>
          <w:szCs w:val="20"/>
          <w:lang w:val="en-US"/>
        </w:rPr>
        <w:t xml:space="preserve">, L. </w:t>
      </w:r>
      <w:proofErr w:type="spellStart"/>
      <w:r w:rsidR="00A37C28" w:rsidRPr="002A1DFC">
        <w:rPr>
          <w:sz w:val="20"/>
          <w:szCs w:val="20"/>
          <w:lang w:val="en-US"/>
        </w:rPr>
        <w:t>Meneghello</w:t>
      </w:r>
      <w:proofErr w:type="spellEnd"/>
      <w:r w:rsidR="00A37C28" w:rsidRPr="002A1DFC">
        <w:rPr>
          <w:sz w:val="20"/>
          <w:szCs w:val="20"/>
          <w:lang w:val="en-US"/>
        </w:rPr>
        <w:t xml:space="preserve">, M. </w:t>
      </w:r>
      <w:proofErr w:type="spellStart"/>
      <w:r w:rsidR="00A37C28" w:rsidRPr="002A1DFC">
        <w:rPr>
          <w:sz w:val="20"/>
          <w:szCs w:val="20"/>
          <w:lang w:val="en-US"/>
        </w:rPr>
        <w:t>Capitanio</w:t>
      </w:r>
      <w:proofErr w:type="spellEnd"/>
      <w:r w:rsidR="00457309" w:rsidRPr="002A1DFC">
        <w:rPr>
          <w:sz w:val="20"/>
          <w:szCs w:val="20"/>
          <w:lang w:val="en-US"/>
        </w:rPr>
        <w:t xml:space="preserve"> examined the burials excavated between 1987 and 2002 and</w:t>
      </w:r>
      <w:r w:rsidR="00A37C28" w:rsidRPr="002A1DFC">
        <w:rPr>
          <w:sz w:val="20"/>
          <w:szCs w:val="20"/>
          <w:lang w:val="en-US"/>
        </w:rPr>
        <w:t xml:space="preserve"> J. </w:t>
      </w:r>
      <w:proofErr w:type="spellStart"/>
      <w:r w:rsidR="00A37C28" w:rsidRPr="002A1DFC">
        <w:rPr>
          <w:sz w:val="20"/>
          <w:szCs w:val="20"/>
          <w:lang w:val="en-US"/>
        </w:rPr>
        <w:t>Rizzi</w:t>
      </w:r>
      <w:proofErr w:type="spellEnd"/>
      <w:r w:rsidR="00457309" w:rsidRPr="002A1DFC">
        <w:rPr>
          <w:sz w:val="20"/>
          <w:szCs w:val="20"/>
          <w:lang w:val="en-US"/>
        </w:rPr>
        <w:t xml:space="preserve"> those excavated in 2009. </w:t>
      </w:r>
      <w:r w:rsidR="007A60E1" w:rsidRPr="002A1DFC">
        <w:rPr>
          <w:sz w:val="20"/>
          <w:szCs w:val="20"/>
          <w:lang w:val="en-US"/>
        </w:rPr>
        <w:t xml:space="preserve">A. </w:t>
      </w:r>
      <w:proofErr w:type="spellStart"/>
      <w:r w:rsidR="007A60E1" w:rsidRPr="002A1DFC">
        <w:rPr>
          <w:sz w:val="20"/>
          <w:szCs w:val="20"/>
          <w:lang w:val="en-US"/>
        </w:rPr>
        <w:t>Canci</w:t>
      </w:r>
      <w:proofErr w:type="spellEnd"/>
      <w:r w:rsidR="007A60E1" w:rsidRPr="002A1DFC">
        <w:rPr>
          <w:sz w:val="20"/>
          <w:szCs w:val="20"/>
          <w:lang w:val="en-US"/>
        </w:rPr>
        <w:t xml:space="preserve">, D. </w:t>
      </w:r>
      <w:proofErr w:type="spellStart"/>
      <w:r w:rsidR="007A60E1" w:rsidRPr="002A1DFC">
        <w:rPr>
          <w:sz w:val="20"/>
          <w:szCs w:val="20"/>
          <w:lang w:val="en-US"/>
        </w:rPr>
        <w:t>Contursi</w:t>
      </w:r>
      <w:proofErr w:type="spellEnd"/>
      <w:r w:rsidR="007A60E1" w:rsidRPr="002A1DFC">
        <w:rPr>
          <w:sz w:val="20"/>
          <w:szCs w:val="20"/>
          <w:lang w:val="en-US"/>
        </w:rPr>
        <w:t>, G</w:t>
      </w:r>
      <w:r w:rsidR="002A0BA1">
        <w:rPr>
          <w:sz w:val="20"/>
          <w:szCs w:val="20"/>
          <w:lang w:val="en-US"/>
        </w:rPr>
        <w:t>.</w:t>
      </w:r>
      <w:r w:rsidR="007A60E1" w:rsidRPr="002A1DFC">
        <w:rPr>
          <w:sz w:val="20"/>
          <w:szCs w:val="20"/>
          <w:lang w:val="en-US"/>
        </w:rPr>
        <w:t xml:space="preserve"> </w:t>
      </w:r>
      <w:proofErr w:type="spellStart"/>
      <w:r w:rsidR="007A60E1" w:rsidRPr="002A1DFC">
        <w:rPr>
          <w:sz w:val="20"/>
          <w:szCs w:val="20"/>
          <w:lang w:val="en-US"/>
        </w:rPr>
        <w:t>Fornaciari</w:t>
      </w:r>
      <w:proofErr w:type="spellEnd"/>
      <w:r w:rsidR="007A60E1" w:rsidRPr="002A1DFC">
        <w:rPr>
          <w:sz w:val="20"/>
          <w:szCs w:val="20"/>
          <w:lang w:val="en-US"/>
        </w:rPr>
        <w:t xml:space="preserve"> further conducted preliminary paleopathological analyses, presented in the main site publication </w:t>
      </w:r>
      <w:r w:rsidR="00407642" w:rsidRPr="002A1DFC">
        <w:rPr>
          <w:noProof/>
          <w:sz w:val="20"/>
          <w:szCs w:val="20"/>
          <w:lang w:val="en-US"/>
        </w:rPr>
        <w:t>(Salzani 2005</w:t>
      </w:r>
      <w:r w:rsidR="00582D48" w:rsidRPr="002A1DFC">
        <w:rPr>
          <w:noProof/>
          <w:sz w:val="20"/>
          <w:szCs w:val="20"/>
          <w:lang w:val="en-US"/>
        </w:rPr>
        <w:t>,</w:t>
      </w:r>
      <w:r w:rsidR="00407642" w:rsidRPr="002A1DFC">
        <w:rPr>
          <w:noProof/>
          <w:sz w:val="20"/>
          <w:szCs w:val="20"/>
          <w:lang w:val="en-US"/>
        </w:rPr>
        <w:t xml:space="preserve"> 495-501)</w:t>
      </w:r>
      <w:r w:rsidR="007A60E1" w:rsidRPr="002A1DFC">
        <w:rPr>
          <w:sz w:val="20"/>
          <w:szCs w:val="20"/>
          <w:lang w:val="en-US"/>
        </w:rPr>
        <w:t xml:space="preserve">. </w:t>
      </w:r>
      <w:r w:rsidR="00A37C28" w:rsidRPr="002A1DFC">
        <w:rPr>
          <w:sz w:val="20"/>
          <w:szCs w:val="20"/>
          <w:lang w:val="en-US"/>
        </w:rPr>
        <w:t xml:space="preserve">M. L. </w:t>
      </w:r>
      <w:proofErr w:type="spellStart"/>
      <w:r w:rsidR="00A37C28" w:rsidRPr="002A1DFC">
        <w:rPr>
          <w:sz w:val="20"/>
          <w:szCs w:val="20"/>
          <w:lang w:val="en-US"/>
        </w:rPr>
        <w:t>Pulcini</w:t>
      </w:r>
      <w:proofErr w:type="spellEnd"/>
      <w:r w:rsidR="00457309" w:rsidRPr="002A1DFC">
        <w:rPr>
          <w:sz w:val="20"/>
          <w:szCs w:val="20"/>
          <w:lang w:val="en-US"/>
        </w:rPr>
        <w:t xml:space="preserve"> conducted an osteological re-examination of the skeletal collection </w:t>
      </w:r>
      <w:r w:rsidR="00BE138E" w:rsidRPr="002A1DFC">
        <w:rPr>
          <w:sz w:val="20"/>
          <w:szCs w:val="20"/>
          <w:lang w:val="en-US"/>
        </w:rPr>
        <w:t>of</w:t>
      </w:r>
      <w:r w:rsidR="00457309" w:rsidRPr="002A1DFC">
        <w:rPr>
          <w:sz w:val="20"/>
          <w:szCs w:val="20"/>
          <w:lang w:val="en-US"/>
        </w:rPr>
        <w:t xml:space="preserve"> </w:t>
      </w:r>
      <w:proofErr w:type="spellStart"/>
      <w:r w:rsidR="00457309" w:rsidRPr="002A1DFC">
        <w:rPr>
          <w:sz w:val="20"/>
          <w:szCs w:val="20"/>
          <w:lang w:val="en-US"/>
        </w:rPr>
        <w:t>Olmo</w:t>
      </w:r>
      <w:proofErr w:type="spellEnd"/>
      <w:r w:rsidR="00457309" w:rsidRPr="002A1DFC">
        <w:rPr>
          <w:sz w:val="20"/>
          <w:szCs w:val="20"/>
          <w:lang w:val="en-US"/>
        </w:rPr>
        <w:t xml:space="preserve"> di </w:t>
      </w:r>
      <w:proofErr w:type="spellStart"/>
      <w:r w:rsidR="00457309" w:rsidRPr="002A1DFC">
        <w:rPr>
          <w:sz w:val="20"/>
          <w:szCs w:val="20"/>
          <w:lang w:val="en-US"/>
        </w:rPr>
        <w:t>Nogara</w:t>
      </w:r>
      <w:proofErr w:type="spellEnd"/>
      <w:r w:rsidR="00754954" w:rsidRPr="002A1DFC">
        <w:rPr>
          <w:sz w:val="20"/>
          <w:szCs w:val="20"/>
          <w:lang w:val="en-US"/>
        </w:rPr>
        <w:t xml:space="preserve"> as part of an interdisciplinary project</w:t>
      </w:r>
      <w:r w:rsidR="007A60E1" w:rsidRPr="002A1DFC">
        <w:rPr>
          <w:sz w:val="20"/>
          <w:szCs w:val="20"/>
          <w:lang w:val="en-US"/>
        </w:rPr>
        <w:t xml:space="preserve"> (including paleopathological and isotopic analyses of the bone collection)</w:t>
      </w:r>
      <w:r w:rsidR="00754954" w:rsidRPr="002A1DFC">
        <w:rPr>
          <w:sz w:val="20"/>
          <w:szCs w:val="20"/>
          <w:lang w:val="en-US"/>
        </w:rPr>
        <w:t xml:space="preserve"> </w:t>
      </w:r>
      <w:r w:rsidR="002A0BA1" w:rsidRPr="002A1DFC">
        <w:rPr>
          <w:sz w:val="20"/>
          <w:szCs w:val="20"/>
          <w:lang w:val="en-US"/>
        </w:rPr>
        <w:t xml:space="preserve">started in 2006 </w:t>
      </w:r>
      <w:r w:rsidR="00754954" w:rsidRPr="002A1DFC">
        <w:rPr>
          <w:sz w:val="20"/>
          <w:szCs w:val="20"/>
          <w:lang w:val="en-US"/>
        </w:rPr>
        <w:t xml:space="preserve">in cooperation with the </w:t>
      </w:r>
      <w:proofErr w:type="spellStart"/>
      <w:r w:rsidR="00754954" w:rsidRPr="002A1DFC">
        <w:rPr>
          <w:sz w:val="20"/>
          <w:szCs w:val="20"/>
          <w:lang w:val="en-US"/>
        </w:rPr>
        <w:t>Soprintendenza</w:t>
      </w:r>
      <w:proofErr w:type="spellEnd"/>
      <w:r w:rsidR="00754954" w:rsidRPr="002A1DFC">
        <w:rPr>
          <w:sz w:val="20"/>
          <w:szCs w:val="20"/>
          <w:lang w:val="en-US"/>
        </w:rPr>
        <w:t xml:space="preserve"> per </w:t>
      </w:r>
      <w:proofErr w:type="spellStart"/>
      <w:r w:rsidR="00754954" w:rsidRPr="002A1DFC">
        <w:rPr>
          <w:sz w:val="20"/>
          <w:szCs w:val="20"/>
          <w:lang w:val="en-US"/>
        </w:rPr>
        <w:t>i</w:t>
      </w:r>
      <w:proofErr w:type="spellEnd"/>
      <w:r w:rsidR="00754954" w:rsidRPr="002A1DFC">
        <w:rPr>
          <w:sz w:val="20"/>
          <w:szCs w:val="20"/>
          <w:lang w:val="en-US"/>
        </w:rPr>
        <w:t xml:space="preserve"> Beni </w:t>
      </w:r>
      <w:proofErr w:type="spellStart"/>
      <w:r w:rsidR="00754954" w:rsidRPr="002A1DFC">
        <w:rPr>
          <w:sz w:val="20"/>
          <w:szCs w:val="20"/>
          <w:lang w:val="en-US"/>
        </w:rPr>
        <w:t>Archeologici</w:t>
      </w:r>
      <w:proofErr w:type="spellEnd"/>
      <w:r w:rsidR="00754954" w:rsidRPr="002A1DFC">
        <w:rPr>
          <w:sz w:val="20"/>
          <w:szCs w:val="20"/>
          <w:lang w:val="en-US"/>
        </w:rPr>
        <w:t xml:space="preserve"> del Veneto and </w:t>
      </w:r>
      <w:r w:rsidR="002A0BA1">
        <w:rPr>
          <w:sz w:val="20"/>
          <w:szCs w:val="20"/>
          <w:lang w:val="en-US"/>
        </w:rPr>
        <w:t xml:space="preserve">the </w:t>
      </w:r>
      <w:proofErr w:type="spellStart"/>
      <w:r w:rsidR="00754954" w:rsidRPr="002A1DFC">
        <w:rPr>
          <w:sz w:val="20"/>
          <w:szCs w:val="20"/>
          <w:lang w:val="en-US"/>
        </w:rPr>
        <w:t>Dipartimento</w:t>
      </w:r>
      <w:proofErr w:type="spellEnd"/>
      <w:r w:rsidR="00754954" w:rsidRPr="002A1DFC">
        <w:rPr>
          <w:sz w:val="20"/>
          <w:szCs w:val="20"/>
          <w:lang w:val="en-US"/>
        </w:rPr>
        <w:t xml:space="preserve"> </w:t>
      </w:r>
      <w:proofErr w:type="spellStart"/>
      <w:r w:rsidR="00754954" w:rsidRPr="002A1DFC">
        <w:rPr>
          <w:sz w:val="20"/>
          <w:szCs w:val="20"/>
          <w:lang w:val="en-US"/>
        </w:rPr>
        <w:t>dei</w:t>
      </w:r>
      <w:proofErr w:type="spellEnd"/>
      <w:r w:rsidR="00754954" w:rsidRPr="002A1DFC">
        <w:rPr>
          <w:sz w:val="20"/>
          <w:szCs w:val="20"/>
          <w:lang w:val="en-US"/>
        </w:rPr>
        <w:t xml:space="preserve"> Beni </w:t>
      </w:r>
      <w:proofErr w:type="spellStart"/>
      <w:r w:rsidR="00754954" w:rsidRPr="002A1DFC">
        <w:rPr>
          <w:sz w:val="20"/>
          <w:szCs w:val="20"/>
          <w:lang w:val="en-US"/>
        </w:rPr>
        <w:t>Culturali</w:t>
      </w:r>
      <w:proofErr w:type="spellEnd"/>
      <w:r w:rsidR="00754954" w:rsidRPr="002A1DFC">
        <w:rPr>
          <w:sz w:val="20"/>
          <w:szCs w:val="20"/>
          <w:lang w:val="en-US"/>
        </w:rPr>
        <w:t xml:space="preserve"> </w:t>
      </w:r>
      <w:proofErr w:type="spellStart"/>
      <w:r w:rsidR="00754954" w:rsidRPr="002A1DFC">
        <w:rPr>
          <w:sz w:val="20"/>
          <w:szCs w:val="20"/>
          <w:lang w:val="en-US"/>
        </w:rPr>
        <w:t>dell’Università</w:t>
      </w:r>
      <w:proofErr w:type="spellEnd"/>
      <w:r w:rsidR="00754954" w:rsidRPr="002A1DFC">
        <w:rPr>
          <w:sz w:val="20"/>
          <w:szCs w:val="20"/>
          <w:lang w:val="en-US"/>
        </w:rPr>
        <w:t xml:space="preserve"> di Padova </w:t>
      </w:r>
      <w:r w:rsidR="00407642" w:rsidRPr="002A1DFC">
        <w:rPr>
          <w:noProof/>
          <w:sz w:val="20"/>
          <w:szCs w:val="20"/>
          <w:lang w:val="en-US"/>
        </w:rPr>
        <w:t xml:space="preserve">(Canci </w:t>
      </w:r>
      <w:r w:rsidR="00407642" w:rsidRPr="00CA6877">
        <w:rPr>
          <w:i/>
          <w:noProof/>
          <w:sz w:val="20"/>
          <w:szCs w:val="20"/>
          <w:lang w:val="en-US"/>
        </w:rPr>
        <w:t>et al.</w:t>
      </w:r>
      <w:r w:rsidR="00407642" w:rsidRPr="002A1DFC">
        <w:rPr>
          <w:noProof/>
          <w:sz w:val="20"/>
          <w:szCs w:val="20"/>
          <w:lang w:val="en-US"/>
        </w:rPr>
        <w:t xml:space="preserve"> 2015)</w:t>
      </w:r>
      <w:r w:rsidR="00457309" w:rsidRPr="002A1DFC">
        <w:rPr>
          <w:sz w:val="20"/>
          <w:szCs w:val="20"/>
          <w:lang w:val="en-US"/>
        </w:rPr>
        <w:t xml:space="preserve">. </w:t>
      </w:r>
    </w:p>
    <w:p w14:paraId="5ABCD9B8" w14:textId="082F2876" w:rsidR="006C41BB" w:rsidRPr="002A1DFC" w:rsidRDefault="008F4666" w:rsidP="007F02E2">
      <w:pPr>
        <w:jc w:val="both"/>
        <w:rPr>
          <w:rFonts w:ascii="FreeSerif" w:hAnsi="FreeSerif"/>
          <w:lang w:val="en-US"/>
        </w:rPr>
      </w:pPr>
      <w:r w:rsidRPr="002A1DFC">
        <w:rPr>
          <w:b/>
          <w:sz w:val="20"/>
          <w:szCs w:val="20"/>
          <w:lang w:val="en-US"/>
        </w:rPr>
        <w:t>Sex-determination</w:t>
      </w:r>
      <w:r w:rsidR="00E160E7" w:rsidRPr="002A1DFC">
        <w:rPr>
          <w:b/>
          <w:sz w:val="20"/>
          <w:szCs w:val="20"/>
          <w:lang w:val="en-US"/>
        </w:rPr>
        <w:t xml:space="preserve"> methods:</w:t>
      </w:r>
      <w:r w:rsidR="00E160E7" w:rsidRPr="002A1DFC">
        <w:rPr>
          <w:sz w:val="20"/>
          <w:szCs w:val="20"/>
          <w:lang w:val="en-US"/>
        </w:rPr>
        <w:t xml:space="preserve"> </w:t>
      </w:r>
      <w:r w:rsidR="003266EE" w:rsidRPr="002A1DFC">
        <w:rPr>
          <w:sz w:val="20"/>
          <w:szCs w:val="20"/>
          <w:lang w:val="en-US"/>
        </w:rPr>
        <w:t xml:space="preserve">The </w:t>
      </w:r>
      <w:r w:rsidR="008512D8" w:rsidRPr="002A1DFC">
        <w:rPr>
          <w:sz w:val="20"/>
          <w:szCs w:val="20"/>
          <w:lang w:val="en-US"/>
        </w:rPr>
        <w:t xml:space="preserve">general </w:t>
      </w:r>
      <w:r w:rsidR="003266EE" w:rsidRPr="002A1DFC">
        <w:rPr>
          <w:sz w:val="20"/>
          <w:szCs w:val="20"/>
          <w:lang w:val="en-US"/>
        </w:rPr>
        <w:t xml:space="preserve">methods used for </w:t>
      </w:r>
      <w:r w:rsidRPr="002A1DFC">
        <w:rPr>
          <w:sz w:val="20"/>
          <w:szCs w:val="20"/>
          <w:lang w:val="en-US"/>
        </w:rPr>
        <w:t>sex-determination</w:t>
      </w:r>
      <w:r w:rsidR="003266EE" w:rsidRPr="002A1DFC">
        <w:rPr>
          <w:sz w:val="20"/>
          <w:szCs w:val="20"/>
          <w:lang w:val="en-US"/>
        </w:rPr>
        <w:t xml:space="preserve"> of the </w:t>
      </w:r>
      <w:proofErr w:type="spellStart"/>
      <w:r w:rsidR="003266EE" w:rsidRPr="002A1DFC">
        <w:rPr>
          <w:sz w:val="20"/>
          <w:szCs w:val="20"/>
          <w:lang w:val="en-US"/>
        </w:rPr>
        <w:t>Olmo</w:t>
      </w:r>
      <w:proofErr w:type="spellEnd"/>
      <w:r w:rsidR="003266EE" w:rsidRPr="002A1DFC">
        <w:rPr>
          <w:sz w:val="20"/>
          <w:szCs w:val="20"/>
          <w:lang w:val="en-US"/>
        </w:rPr>
        <w:t xml:space="preserve"> individuals are not </w:t>
      </w:r>
      <w:r w:rsidR="008512D8" w:rsidRPr="002A1DFC">
        <w:rPr>
          <w:sz w:val="20"/>
          <w:szCs w:val="20"/>
          <w:lang w:val="en-US"/>
        </w:rPr>
        <w:t>indicated</w:t>
      </w:r>
      <w:r w:rsidR="003266EE" w:rsidRPr="002A1DFC">
        <w:rPr>
          <w:sz w:val="20"/>
          <w:szCs w:val="20"/>
          <w:lang w:val="en-US"/>
        </w:rPr>
        <w:t xml:space="preserve"> in the main site publication</w:t>
      </w:r>
      <w:r w:rsidR="002A0BA1">
        <w:rPr>
          <w:sz w:val="20"/>
          <w:szCs w:val="20"/>
          <w:lang w:val="en-US"/>
        </w:rPr>
        <w:t xml:space="preserve"> (</w:t>
      </w:r>
      <w:proofErr w:type="spellStart"/>
      <w:r w:rsidR="002A0BA1">
        <w:rPr>
          <w:sz w:val="20"/>
          <w:szCs w:val="20"/>
          <w:lang w:val="en-US"/>
        </w:rPr>
        <w:t>Salzani</w:t>
      </w:r>
      <w:proofErr w:type="spellEnd"/>
      <w:r w:rsidR="002A0BA1">
        <w:rPr>
          <w:sz w:val="20"/>
          <w:szCs w:val="20"/>
          <w:lang w:val="en-US"/>
        </w:rPr>
        <w:t xml:space="preserve"> 2005)</w:t>
      </w:r>
      <w:r w:rsidR="003266EE" w:rsidRPr="002A1DFC">
        <w:rPr>
          <w:sz w:val="20"/>
          <w:szCs w:val="20"/>
          <w:lang w:val="en-US"/>
        </w:rPr>
        <w:t xml:space="preserve">. However, some of the </w:t>
      </w:r>
      <w:r w:rsidR="009D7719" w:rsidRPr="002A1DFC">
        <w:rPr>
          <w:sz w:val="20"/>
          <w:szCs w:val="20"/>
          <w:lang w:val="en-US"/>
        </w:rPr>
        <w:t xml:space="preserve">osteological </w:t>
      </w:r>
      <w:r w:rsidR="003266EE" w:rsidRPr="002A1DFC">
        <w:rPr>
          <w:sz w:val="20"/>
          <w:szCs w:val="20"/>
          <w:lang w:val="en-US"/>
        </w:rPr>
        <w:t xml:space="preserve">descriptions of the deceased individuals indicated respectively for each burial refer to </w:t>
      </w:r>
      <w:r w:rsidR="0094376A" w:rsidRPr="002A1DFC">
        <w:rPr>
          <w:sz w:val="20"/>
          <w:szCs w:val="20"/>
          <w:lang w:val="en-US"/>
        </w:rPr>
        <w:t xml:space="preserve">single, </w:t>
      </w:r>
      <w:r w:rsidR="003266EE" w:rsidRPr="002A1DFC">
        <w:rPr>
          <w:sz w:val="20"/>
          <w:szCs w:val="20"/>
          <w:lang w:val="en-US"/>
        </w:rPr>
        <w:t>published articles, which again include further information on the methods</w:t>
      </w:r>
      <w:r w:rsidR="006533AA" w:rsidRPr="002A1DFC">
        <w:rPr>
          <w:sz w:val="20"/>
          <w:szCs w:val="20"/>
          <w:lang w:val="en-US"/>
        </w:rPr>
        <w:t xml:space="preserve"> applied</w:t>
      </w:r>
      <w:r w:rsidR="003266EE" w:rsidRPr="002A1DFC">
        <w:rPr>
          <w:sz w:val="20"/>
          <w:szCs w:val="20"/>
          <w:lang w:val="en-US"/>
        </w:rPr>
        <w:t xml:space="preserve">: </w:t>
      </w:r>
      <w:proofErr w:type="spellStart"/>
      <w:r w:rsidR="003266EE" w:rsidRPr="002A1DFC">
        <w:rPr>
          <w:sz w:val="20"/>
          <w:szCs w:val="20"/>
          <w:lang w:val="en-US"/>
        </w:rPr>
        <w:t>Capitanio</w:t>
      </w:r>
      <w:proofErr w:type="spellEnd"/>
      <w:r w:rsidR="003266EE" w:rsidRPr="002A1DFC">
        <w:rPr>
          <w:sz w:val="20"/>
          <w:szCs w:val="20"/>
          <w:lang w:val="en-US"/>
        </w:rPr>
        <w:t xml:space="preserve"> and </w:t>
      </w:r>
      <w:proofErr w:type="spellStart"/>
      <w:r w:rsidR="003266EE" w:rsidRPr="002A1DFC">
        <w:rPr>
          <w:sz w:val="20"/>
          <w:szCs w:val="20"/>
          <w:lang w:val="en-US"/>
        </w:rPr>
        <w:t>Corrain</w:t>
      </w:r>
      <w:proofErr w:type="spellEnd"/>
      <w:r w:rsidR="003266EE" w:rsidRPr="002A1DFC">
        <w:rPr>
          <w:sz w:val="20"/>
          <w:szCs w:val="20"/>
          <w:lang w:val="en-US"/>
        </w:rPr>
        <w:t xml:space="preserve"> </w:t>
      </w:r>
      <w:r w:rsidR="00407642" w:rsidRPr="002A1DFC">
        <w:rPr>
          <w:noProof/>
          <w:sz w:val="20"/>
          <w:szCs w:val="20"/>
          <w:lang w:val="en-US"/>
        </w:rPr>
        <w:t>(1996)</w:t>
      </w:r>
      <w:r w:rsidR="003266EE" w:rsidRPr="002A1DFC">
        <w:rPr>
          <w:sz w:val="20"/>
          <w:szCs w:val="20"/>
          <w:lang w:val="en-US"/>
        </w:rPr>
        <w:t xml:space="preserve">, </w:t>
      </w:r>
      <w:r w:rsidR="0094376A" w:rsidRPr="002A1DFC">
        <w:rPr>
          <w:sz w:val="20"/>
          <w:szCs w:val="20"/>
          <w:lang w:val="en-US"/>
        </w:rPr>
        <w:t xml:space="preserve">for example, </w:t>
      </w:r>
      <w:r w:rsidR="003266EE" w:rsidRPr="002A1DFC">
        <w:rPr>
          <w:sz w:val="20"/>
          <w:szCs w:val="20"/>
          <w:lang w:val="en-US"/>
        </w:rPr>
        <w:t>use</w:t>
      </w:r>
      <w:r w:rsidR="002A0BA1">
        <w:rPr>
          <w:sz w:val="20"/>
          <w:szCs w:val="20"/>
          <w:lang w:val="en-US"/>
        </w:rPr>
        <w:t>d</w:t>
      </w:r>
      <w:r w:rsidR="003266EE" w:rsidRPr="002A1DFC">
        <w:rPr>
          <w:sz w:val="20"/>
          <w:szCs w:val="20"/>
          <w:lang w:val="en-US"/>
        </w:rPr>
        <w:t xml:space="preserve"> morphometric </w:t>
      </w:r>
      <w:r w:rsidRPr="002A1DFC">
        <w:rPr>
          <w:sz w:val="20"/>
          <w:szCs w:val="20"/>
          <w:lang w:val="en-US"/>
        </w:rPr>
        <w:t>sex-determination</w:t>
      </w:r>
      <w:r w:rsidR="003266EE" w:rsidRPr="002A1DFC">
        <w:rPr>
          <w:sz w:val="20"/>
          <w:szCs w:val="20"/>
          <w:lang w:val="en-US"/>
        </w:rPr>
        <w:t xml:space="preserve"> methods, </w:t>
      </w:r>
      <w:r w:rsidR="0094376A" w:rsidRPr="002A1DFC">
        <w:rPr>
          <w:sz w:val="20"/>
          <w:szCs w:val="20"/>
          <w:lang w:val="en-US"/>
        </w:rPr>
        <w:t xml:space="preserve">and </w:t>
      </w:r>
      <w:r w:rsidR="003266EE" w:rsidRPr="002A1DFC">
        <w:rPr>
          <w:sz w:val="20"/>
          <w:szCs w:val="20"/>
          <w:lang w:val="en-US"/>
        </w:rPr>
        <w:t xml:space="preserve">describe in great detail the statistically significant presence or absence of sex-markers on all cranial and post-cranial bones represented in the </w:t>
      </w:r>
      <w:proofErr w:type="spellStart"/>
      <w:r w:rsidR="003266EE" w:rsidRPr="002A1DFC">
        <w:rPr>
          <w:sz w:val="20"/>
          <w:szCs w:val="20"/>
          <w:lang w:val="en-US"/>
        </w:rPr>
        <w:t>Olmo</w:t>
      </w:r>
      <w:proofErr w:type="spellEnd"/>
      <w:r w:rsidR="003266EE" w:rsidRPr="002A1DFC">
        <w:rPr>
          <w:sz w:val="20"/>
          <w:szCs w:val="20"/>
          <w:lang w:val="en-US"/>
        </w:rPr>
        <w:t xml:space="preserve">-collection (i.e. cranium, mandible, sacrum, sternum, clavicle, scapula, </w:t>
      </w:r>
      <w:proofErr w:type="spellStart"/>
      <w:r w:rsidR="003266EE" w:rsidRPr="002A1DFC">
        <w:rPr>
          <w:sz w:val="20"/>
          <w:szCs w:val="20"/>
          <w:lang w:val="en-US"/>
        </w:rPr>
        <w:t>humerus</w:t>
      </w:r>
      <w:proofErr w:type="spellEnd"/>
      <w:r w:rsidR="003266EE" w:rsidRPr="002A1DFC">
        <w:rPr>
          <w:sz w:val="20"/>
          <w:szCs w:val="20"/>
          <w:lang w:val="en-US"/>
        </w:rPr>
        <w:t>, radius, pelvic girdle, femur, patella, tibia, fibula, talus, calcaneus and the general stature).</w:t>
      </w:r>
      <w:r w:rsidR="008512D8" w:rsidRPr="002A1DFC">
        <w:rPr>
          <w:sz w:val="20"/>
          <w:szCs w:val="20"/>
          <w:lang w:val="en-US"/>
        </w:rPr>
        <w:t xml:space="preserve"> </w:t>
      </w:r>
      <w:r w:rsidR="006533AA" w:rsidRPr="002A1DFC">
        <w:rPr>
          <w:sz w:val="20"/>
          <w:szCs w:val="20"/>
          <w:lang w:val="en-US"/>
        </w:rPr>
        <w:t xml:space="preserve">The authors mention two broader methodological references in their bibliography: Martin and </w:t>
      </w:r>
      <w:proofErr w:type="spellStart"/>
      <w:r w:rsidR="006533AA" w:rsidRPr="002A1DFC">
        <w:rPr>
          <w:sz w:val="20"/>
          <w:szCs w:val="20"/>
          <w:lang w:val="en-US"/>
        </w:rPr>
        <w:t>Saller</w:t>
      </w:r>
      <w:proofErr w:type="spellEnd"/>
      <w:r w:rsidR="006533AA" w:rsidRPr="002A1DFC">
        <w:rPr>
          <w:sz w:val="20"/>
          <w:szCs w:val="20"/>
          <w:lang w:val="en-US"/>
        </w:rPr>
        <w:t xml:space="preserve"> </w:t>
      </w:r>
      <w:r w:rsidR="00407642" w:rsidRPr="002A1DFC">
        <w:rPr>
          <w:noProof/>
          <w:sz w:val="20"/>
          <w:szCs w:val="20"/>
          <w:lang w:val="en-US"/>
        </w:rPr>
        <w:t>(1957)</w:t>
      </w:r>
      <w:r w:rsidR="006533AA" w:rsidRPr="002A1DFC">
        <w:rPr>
          <w:sz w:val="20"/>
          <w:szCs w:val="20"/>
          <w:lang w:val="en-US"/>
        </w:rPr>
        <w:t xml:space="preserve"> and Olivier </w:t>
      </w:r>
      <w:r w:rsidR="00407642" w:rsidRPr="002A1DFC">
        <w:rPr>
          <w:noProof/>
          <w:sz w:val="20"/>
          <w:szCs w:val="20"/>
          <w:lang w:val="en-US"/>
        </w:rPr>
        <w:t>(1960)</w:t>
      </w:r>
      <w:r w:rsidR="006533AA" w:rsidRPr="002A1DFC">
        <w:rPr>
          <w:sz w:val="20"/>
          <w:szCs w:val="20"/>
          <w:lang w:val="en-US"/>
        </w:rPr>
        <w:t xml:space="preserve">. </w:t>
      </w:r>
      <w:r w:rsidR="0094376A" w:rsidRPr="002A1DFC">
        <w:rPr>
          <w:sz w:val="20"/>
          <w:szCs w:val="20"/>
          <w:lang w:val="en-US"/>
        </w:rPr>
        <w:t xml:space="preserve">J. </w:t>
      </w:r>
      <w:proofErr w:type="spellStart"/>
      <w:r w:rsidR="0094376A" w:rsidRPr="002A1DFC">
        <w:rPr>
          <w:sz w:val="20"/>
          <w:szCs w:val="20"/>
          <w:lang w:val="en-US"/>
        </w:rPr>
        <w:t>Rizzi</w:t>
      </w:r>
      <w:proofErr w:type="spellEnd"/>
      <w:r w:rsidR="0094376A" w:rsidRPr="002A1DFC">
        <w:rPr>
          <w:sz w:val="20"/>
          <w:szCs w:val="20"/>
          <w:lang w:val="en-US"/>
        </w:rPr>
        <w:t xml:space="preserve"> </w:t>
      </w:r>
      <w:r w:rsidR="00407642" w:rsidRPr="002A1DFC">
        <w:rPr>
          <w:noProof/>
          <w:sz w:val="20"/>
          <w:szCs w:val="20"/>
          <w:lang w:val="en-US"/>
        </w:rPr>
        <w:t xml:space="preserve">(in Salzani </w:t>
      </w:r>
      <w:r w:rsidR="00407642" w:rsidRPr="00CA6877">
        <w:rPr>
          <w:i/>
          <w:noProof/>
          <w:sz w:val="20"/>
          <w:szCs w:val="20"/>
          <w:lang w:val="en-US"/>
        </w:rPr>
        <w:t>et al.</w:t>
      </w:r>
      <w:r w:rsidR="00407642" w:rsidRPr="002A1DFC">
        <w:rPr>
          <w:noProof/>
          <w:sz w:val="20"/>
          <w:szCs w:val="20"/>
          <w:lang w:val="en-US"/>
        </w:rPr>
        <w:t xml:space="preserve"> 2016</w:t>
      </w:r>
      <w:r w:rsidR="00582D48" w:rsidRPr="002A1DFC">
        <w:rPr>
          <w:noProof/>
          <w:sz w:val="20"/>
          <w:szCs w:val="20"/>
          <w:lang w:val="en-US"/>
        </w:rPr>
        <w:t>,</w:t>
      </w:r>
      <w:r w:rsidR="00407642" w:rsidRPr="002A1DFC">
        <w:rPr>
          <w:noProof/>
          <w:sz w:val="20"/>
          <w:szCs w:val="20"/>
          <w:lang w:val="en-US"/>
        </w:rPr>
        <w:t xml:space="preserve"> 207-209)</w:t>
      </w:r>
      <w:r w:rsidR="0094376A" w:rsidRPr="002A1DFC">
        <w:rPr>
          <w:sz w:val="20"/>
          <w:szCs w:val="20"/>
          <w:lang w:val="en-US"/>
        </w:rPr>
        <w:t xml:space="preserve"> determined the sex of the 10 individuals excavated in 2009 based on long bones, following Stewar</w:t>
      </w:r>
      <w:r w:rsidR="00495BD4" w:rsidRPr="002A1DFC">
        <w:rPr>
          <w:sz w:val="20"/>
          <w:szCs w:val="20"/>
          <w:lang w:val="en-US"/>
        </w:rPr>
        <w:t>t</w:t>
      </w:r>
      <w:r w:rsidR="0094376A" w:rsidRPr="002A1DFC">
        <w:rPr>
          <w:sz w:val="20"/>
          <w:szCs w:val="20"/>
          <w:lang w:val="en-US"/>
        </w:rPr>
        <w:t xml:space="preserve"> </w:t>
      </w:r>
      <w:r w:rsidR="00407642" w:rsidRPr="002A1DFC">
        <w:rPr>
          <w:noProof/>
          <w:sz w:val="20"/>
          <w:szCs w:val="20"/>
          <w:lang w:val="en-US"/>
        </w:rPr>
        <w:t>(1979)</w:t>
      </w:r>
      <w:r w:rsidR="0094376A" w:rsidRPr="002A1DFC">
        <w:rPr>
          <w:sz w:val="20"/>
          <w:szCs w:val="20"/>
          <w:lang w:val="en-US"/>
        </w:rPr>
        <w:t>, and based on morphological aspects of crania and hip bones following</w:t>
      </w:r>
      <w:r w:rsidR="00495BD4" w:rsidRPr="002A1DFC">
        <w:rPr>
          <w:sz w:val="20"/>
          <w:szCs w:val="20"/>
          <w:lang w:val="en-US"/>
        </w:rPr>
        <w:t xml:space="preserve"> among others</w:t>
      </w:r>
      <w:r w:rsidR="0094376A" w:rsidRPr="002A1DFC">
        <w:rPr>
          <w:sz w:val="20"/>
          <w:szCs w:val="20"/>
          <w:lang w:val="en-US"/>
        </w:rPr>
        <w:t xml:space="preserve"> </w:t>
      </w:r>
      <w:proofErr w:type="spellStart"/>
      <w:r w:rsidR="0094376A" w:rsidRPr="002A1DFC">
        <w:rPr>
          <w:sz w:val="20"/>
          <w:szCs w:val="20"/>
          <w:lang w:val="en-US"/>
        </w:rPr>
        <w:t>Acsàdi</w:t>
      </w:r>
      <w:proofErr w:type="spellEnd"/>
      <w:r w:rsidR="0094376A" w:rsidRPr="002A1DFC">
        <w:rPr>
          <w:sz w:val="20"/>
          <w:szCs w:val="20"/>
          <w:lang w:val="en-US"/>
        </w:rPr>
        <w:t xml:space="preserve"> and </w:t>
      </w:r>
      <w:proofErr w:type="spellStart"/>
      <w:r w:rsidR="0094376A" w:rsidRPr="002A1DFC">
        <w:rPr>
          <w:sz w:val="20"/>
          <w:szCs w:val="20"/>
          <w:lang w:val="en-US"/>
        </w:rPr>
        <w:t>Nemeskéri</w:t>
      </w:r>
      <w:proofErr w:type="spellEnd"/>
      <w:r w:rsidR="0094376A" w:rsidRPr="002A1DFC">
        <w:rPr>
          <w:sz w:val="20"/>
          <w:szCs w:val="20"/>
          <w:lang w:val="en-US"/>
        </w:rPr>
        <w:t xml:space="preserve"> </w:t>
      </w:r>
      <w:r w:rsidR="00407642" w:rsidRPr="002A1DFC">
        <w:rPr>
          <w:noProof/>
          <w:sz w:val="20"/>
          <w:szCs w:val="20"/>
          <w:lang w:val="en-US"/>
        </w:rPr>
        <w:t>(1970)</w:t>
      </w:r>
      <w:r w:rsidR="0094376A" w:rsidRPr="002A1DFC">
        <w:rPr>
          <w:sz w:val="20"/>
          <w:szCs w:val="20"/>
          <w:lang w:val="en-US"/>
        </w:rPr>
        <w:t xml:space="preserve">, </w:t>
      </w:r>
      <w:proofErr w:type="spellStart"/>
      <w:r w:rsidR="0094376A" w:rsidRPr="002A1DFC">
        <w:rPr>
          <w:sz w:val="20"/>
          <w:szCs w:val="20"/>
          <w:lang w:val="en-US"/>
        </w:rPr>
        <w:t>Ferembach</w:t>
      </w:r>
      <w:proofErr w:type="spellEnd"/>
      <w:r w:rsidR="0094376A" w:rsidRPr="002A1DFC">
        <w:rPr>
          <w:sz w:val="20"/>
          <w:szCs w:val="20"/>
          <w:lang w:val="en-US"/>
        </w:rPr>
        <w:t xml:space="preserve"> </w:t>
      </w:r>
      <w:r w:rsidR="0094376A" w:rsidRPr="00CA6877">
        <w:rPr>
          <w:i/>
          <w:sz w:val="20"/>
          <w:szCs w:val="20"/>
          <w:lang w:val="en-US"/>
        </w:rPr>
        <w:t>et al.</w:t>
      </w:r>
      <w:r w:rsidR="0094376A" w:rsidRPr="002A1DFC">
        <w:rPr>
          <w:sz w:val="20"/>
          <w:szCs w:val="20"/>
          <w:lang w:val="en-US"/>
        </w:rPr>
        <w:t xml:space="preserve"> </w:t>
      </w:r>
      <w:r w:rsidR="00407642" w:rsidRPr="002A1DFC">
        <w:rPr>
          <w:noProof/>
          <w:sz w:val="20"/>
          <w:szCs w:val="20"/>
          <w:lang w:val="en-US"/>
        </w:rPr>
        <w:t>(1979)</w:t>
      </w:r>
      <w:r w:rsidR="0094376A" w:rsidRPr="002A1DFC">
        <w:rPr>
          <w:sz w:val="20"/>
          <w:szCs w:val="20"/>
          <w:lang w:val="en-US"/>
        </w:rPr>
        <w:t xml:space="preserve">, </w:t>
      </w:r>
      <w:proofErr w:type="spellStart"/>
      <w:r w:rsidR="0094376A" w:rsidRPr="002A1DFC">
        <w:rPr>
          <w:sz w:val="20"/>
          <w:szCs w:val="20"/>
          <w:lang w:val="en-US"/>
        </w:rPr>
        <w:t>Krogman</w:t>
      </w:r>
      <w:proofErr w:type="spellEnd"/>
      <w:r w:rsidR="0094376A" w:rsidRPr="002A1DFC">
        <w:rPr>
          <w:sz w:val="20"/>
          <w:szCs w:val="20"/>
          <w:lang w:val="en-US"/>
        </w:rPr>
        <w:t xml:space="preserve"> </w:t>
      </w:r>
      <w:r w:rsidR="00495BD4" w:rsidRPr="002A1DFC">
        <w:rPr>
          <w:sz w:val="20"/>
          <w:szCs w:val="20"/>
          <w:lang w:val="en-US"/>
        </w:rPr>
        <w:t>a</w:t>
      </w:r>
      <w:r w:rsidR="0094376A" w:rsidRPr="002A1DFC">
        <w:rPr>
          <w:sz w:val="20"/>
          <w:szCs w:val="20"/>
          <w:lang w:val="en-US"/>
        </w:rPr>
        <w:t xml:space="preserve">nd </w:t>
      </w:r>
      <w:proofErr w:type="spellStart"/>
      <w:r w:rsidR="00495BD4" w:rsidRPr="002A1DFC">
        <w:rPr>
          <w:sz w:val="20"/>
          <w:szCs w:val="20"/>
          <w:lang w:val="en-US"/>
        </w:rPr>
        <w:t>İşcan</w:t>
      </w:r>
      <w:proofErr w:type="spellEnd"/>
      <w:r w:rsidR="00495BD4" w:rsidRPr="002A1DFC">
        <w:rPr>
          <w:sz w:val="20"/>
          <w:szCs w:val="20"/>
          <w:lang w:val="en-US"/>
        </w:rPr>
        <w:t xml:space="preserve"> </w:t>
      </w:r>
      <w:r w:rsidR="00407642" w:rsidRPr="002A1DFC">
        <w:rPr>
          <w:noProof/>
          <w:sz w:val="20"/>
          <w:szCs w:val="20"/>
          <w:lang w:val="en-US"/>
        </w:rPr>
        <w:t>(1986)</w:t>
      </w:r>
      <w:r w:rsidR="00495BD4" w:rsidRPr="002A1DFC">
        <w:rPr>
          <w:sz w:val="20"/>
          <w:szCs w:val="20"/>
          <w:lang w:val="en-US"/>
        </w:rPr>
        <w:t xml:space="preserve">, </w:t>
      </w:r>
      <w:proofErr w:type="spellStart"/>
      <w:r w:rsidR="0094376A" w:rsidRPr="002A1DFC">
        <w:rPr>
          <w:sz w:val="20"/>
          <w:szCs w:val="20"/>
          <w:lang w:val="en-US"/>
        </w:rPr>
        <w:t>Bruzek</w:t>
      </w:r>
      <w:proofErr w:type="spellEnd"/>
      <w:r w:rsidR="0094376A" w:rsidRPr="002A1DFC">
        <w:rPr>
          <w:sz w:val="20"/>
          <w:szCs w:val="20"/>
          <w:lang w:val="en-US"/>
        </w:rPr>
        <w:t xml:space="preserve"> </w:t>
      </w:r>
      <w:r w:rsidR="00407642" w:rsidRPr="002A1DFC">
        <w:rPr>
          <w:noProof/>
          <w:sz w:val="20"/>
          <w:szCs w:val="20"/>
          <w:lang w:val="en-US"/>
        </w:rPr>
        <w:t>(2002)</w:t>
      </w:r>
      <w:r w:rsidR="0094376A" w:rsidRPr="002A1DFC">
        <w:rPr>
          <w:sz w:val="20"/>
          <w:szCs w:val="20"/>
          <w:lang w:val="en-US"/>
        </w:rPr>
        <w:t xml:space="preserve"> and </w:t>
      </w:r>
      <w:proofErr w:type="spellStart"/>
      <w:r w:rsidR="00495BD4" w:rsidRPr="002A1DFC">
        <w:rPr>
          <w:sz w:val="20"/>
          <w:szCs w:val="20"/>
          <w:lang w:val="en-US"/>
        </w:rPr>
        <w:t>Canci</w:t>
      </w:r>
      <w:proofErr w:type="spellEnd"/>
      <w:r w:rsidR="00495BD4" w:rsidRPr="002A1DFC">
        <w:rPr>
          <w:sz w:val="20"/>
          <w:szCs w:val="20"/>
          <w:lang w:val="en-US"/>
        </w:rPr>
        <w:t xml:space="preserve"> and </w:t>
      </w:r>
      <w:proofErr w:type="spellStart"/>
      <w:r w:rsidR="00495BD4" w:rsidRPr="002A1DFC">
        <w:rPr>
          <w:sz w:val="20"/>
          <w:szCs w:val="20"/>
          <w:lang w:val="en-US"/>
        </w:rPr>
        <w:t>Minozzi</w:t>
      </w:r>
      <w:proofErr w:type="spellEnd"/>
      <w:r w:rsidR="00495BD4" w:rsidRPr="002A1DFC">
        <w:rPr>
          <w:sz w:val="20"/>
          <w:szCs w:val="20"/>
          <w:lang w:val="en-US"/>
        </w:rPr>
        <w:t xml:space="preserve"> </w:t>
      </w:r>
      <w:r w:rsidR="00407642" w:rsidRPr="002A1DFC">
        <w:rPr>
          <w:noProof/>
          <w:sz w:val="20"/>
          <w:szCs w:val="20"/>
          <w:lang w:val="en-US"/>
        </w:rPr>
        <w:t>(2005)</w:t>
      </w:r>
      <w:r w:rsidR="0094376A" w:rsidRPr="002A1DFC">
        <w:rPr>
          <w:sz w:val="20"/>
          <w:szCs w:val="20"/>
          <w:lang w:val="en-US"/>
        </w:rPr>
        <w:t xml:space="preserve">. </w:t>
      </w:r>
      <w:r w:rsidR="00EE440C" w:rsidRPr="002A1DFC">
        <w:rPr>
          <w:sz w:val="20"/>
          <w:szCs w:val="20"/>
          <w:lang w:val="en-US"/>
        </w:rPr>
        <w:t xml:space="preserve">M. L. </w:t>
      </w:r>
      <w:proofErr w:type="spellStart"/>
      <w:r w:rsidR="00EE440C" w:rsidRPr="002A1DFC">
        <w:rPr>
          <w:sz w:val="20"/>
          <w:szCs w:val="20"/>
          <w:lang w:val="en-US"/>
        </w:rPr>
        <w:t>Pulcini</w:t>
      </w:r>
      <w:proofErr w:type="spellEnd"/>
      <w:r w:rsidR="00EE440C" w:rsidRPr="002A1DFC">
        <w:rPr>
          <w:sz w:val="20"/>
          <w:szCs w:val="20"/>
          <w:lang w:val="en-US"/>
        </w:rPr>
        <w:t xml:space="preserve"> </w:t>
      </w:r>
      <w:r w:rsidR="00407642" w:rsidRPr="002A1DFC">
        <w:rPr>
          <w:noProof/>
          <w:sz w:val="20"/>
          <w:szCs w:val="20"/>
          <w:lang w:val="en-US"/>
        </w:rPr>
        <w:t>(2014</w:t>
      </w:r>
      <w:r w:rsidR="00582D48" w:rsidRPr="002A1DFC">
        <w:rPr>
          <w:noProof/>
          <w:sz w:val="20"/>
          <w:szCs w:val="20"/>
          <w:lang w:val="en-US"/>
        </w:rPr>
        <w:t>,</w:t>
      </w:r>
      <w:r w:rsidR="00407642" w:rsidRPr="002A1DFC">
        <w:rPr>
          <w:noProof/>
          <w:sz w:val="20"/>
          <w:szCs w:val="20"/>
          <w:lang w:val="en-US"/>
        </w:rPr>
        <w:t xml:space="preserve"> 28-31; Canci </w:t>
      </w:r>
      <w:r w:rsidR="00407642" w:rsidRPr="00CA6877">
        <w:rPr>
          <w:i/>
          <w:noProof/>
          <w:sz w:val="20"/>
          <w:szCs w:val="20"/>
          <w:lang w:val="en-US"/>
        </w:rPr>
        <w:t>et al.</w:t>
      </w:r>
      <w:r w:rsidR="00407642" w:rsidRPr="002A1DFC">
        <w:rPr>
          <w:noProof/>
          <w:sz w:val="20"/>
          <w:szCs w:val="20"/>
          <w:lang w:val="en-US"/>
        </w:rPr>
        <w:t xml:space="preserve"> 2015</w:t>
      </w:r>
      <w:r w:rsidR="00582D48" w:rsidRPr="002A1DFC">
        <w:rPr>
          <w:noProof/>
          <w:sz w:val="20"/>
          <w:szCs w:val="20"/>
          <w:lang w:val="en-US"/>
        </w:rPr>
        <w:t>,</w:t>
      </w:r>
      <w:r w:rsidR="00407642" w:rsidRPr="002A1DFC">
        <w:rPr>
          <w:noProof/>
          <w:sz w:val="20"/>
          <w:szCs w:val="20"/>
          <w:lang w:val="en-US"/>
        </w:rPr>
        <w:t xml:space="preserve"> 328)</w:t>
      </w:r>
      <w:r w:rsidR="00EE440C" w:rsidRPr="002A1DFC">
        <w:rPr>
          <w:sz w:val="20"/>
          <w:szCs w:val="20"/>
          <w:lang w:val="en-US"/>
        </w:rPr>
        <w:t xml:space="preserve"> determined the sex of adult individuals only, as </w:t>
      </w:r>
      <w:r w:rsidR="00A561E1" w:rsidRPr="002A1DFC">
        <w:rPr>
          <w:sz w:val="20"/>
          <w:szCs w:val="20"/>
          <w:lang w:val="en-US"/>
        </w:rPr>
        <w:t>the author</w:t>
      </w:r>
      <w:r w:rsidR="00EE440C" w:rsidRPr="002A1DFC">
        <w:rPr>
          <w:sz w:val="20"/>
          <w:szCs w:val="20"/>
          <w:lang w:val="en-US"/>
        </w:rPr>
        <w:t xml:space="preserve"> considers determinations of non-adult individuals too insecure.</w:t>
      </w:r>
      <w:r w:rsidR="00DF0944" w:rsidRPr="002A1DFC">
        <w:rPr>
          <w:sz w:val="20"/>
          <w:szCs w:val="20"/>
          <w:lang w:val="en-US"/>
        </w:rPr>
        <w:t xml:space="preserve"> However, </w:t>
      </w:r>
      <w:r w:rsidR="00A561E1" w:rsidRPr="002A1DFC">
        <w:rPr>
          <w:sz w:val="20"/>
          <w:szCs w:val="20"/>
          <w:lang w:val="en-US"/>
        </w:rPr>
        <w:t>the latter</w:t>
      </w:r>
      <w:r w:rsidR="00DF0944" w:rsidRPr="002A1DFC">
        <w:rPr>
          <w:sz w:val="20"/>
          <w:szCs w:val="20"/>
          <w:lang w:val="en-US"/>
        </w:rPr>
        <w:t xml:space="preserve"> still considers reliable the previous </w:t>
      </w:r>
      <w:r w:rsidRPr="002A1DFC">
        <w:rPr>
          <w:sz w:val="20"/>
          <w:szCs w:val="20"/>
          <w:lang w:val="en-US"/>
        </w:rPr>
        <w:t>sex-determination</w:t>
      </w:r>
      <w:r w:rsidR="00DF0944" w:rsidRPr="002A1DFC">
        <w:rPr>
          <w:sz w:val="20"/>
          <w:szCs w:val="20"/>
          <w:lang w:val="en-US"/>
        </w:rPr>
        <w:t xml:space="preserve"> of the juvenile individual no. </w:t>
      </w:r>
      <w:r w:rsidR="00FE6705" w:rsidRPr="002A1DFC">
        <w:rPr>
          <w:sz w:val="20"/>
          <w:szCs w:val="20"/>
          <w:lang w:val="en-US"/>
        </w:rPr>
        <w:t>265</w:t>
      </w:r>
      <w:r w:rsidR="00DF0944" w:rsidRPr="002A1DFC">
        <w:rPr>
          <w:sz w:val="20"/>
          <w:szCs w:val="20"/>
          <w:lang w:val="en-US"/>
        </w:rPr>
        <w:t>.</w:t>
      </w:r>
      <w:r w:rsidR="00EE440C" w:rsidRPr="002A1DFC">
        <w:rPr>
          <w:sz w:val="20"/>
          <w:szCs w:val="20"/>
          <w:lang w:val="en-US"/>
        </w:rPr>
        <w:t xml:space="preserve"> The determinations included analyses of hip bones and crania following </w:t>
      </w:r>
      <w:proofErr w:type="spellStart"/>
      <w:r w:rsidR="00EE440C" w:rsidRPr="002A1DFC">
        <w:rPr>
          <w:sz w:val="20"/>
          <w:szCs w:val="20"/>
          <w:lang w:val="en-US"/>
        </w:rPr>
        <w:t>Canci</w:t>
      </w:r>
      <w:proofErr w:type="spellEnd"/>
      <w:r w:rsidR="00EE440C" w:rsidRPr="002A1DFC">
        <w:rPr>
          <w:sz w:val="20"/>
          <w:szCs w:val="20"/>
          <w:lang w:val="en-US"/>
        </w:rPr>
        <w:t xml:space="preserve"> and </w:t>
      </w:r>
      <w:proofErr w:type="spellStart"/>
      <w:r w:rsidR="00EE440C" w:rsidRPr="002A1DFC">
        <w:rPr>
          <w:sz w:val="20"/>
          <w:szCs w:val="20"/>
          <w:lang w:val="en-US"/>
        </w:rPr>
        <w:t>Minozzi</w:t>
      </w:r>
      <w:proofErr w:type="spellEnd"/>
      <w:r w:rsidR="00EE440C" w:rsidRPr="002A1DFC">
        <w:rPr>
          <w:sz w:val="20"/>
          <w:szCs w:val="20"/>
          <w:lang w:val="en-US"/>
        </w:rPr>
        <w:t xml:space="preserve"> </w:t>
      </w:r>
      <w:r w:rsidR="00407642" w:rsidRPr="002A1DFC">
        <w:rPr>
          <w:noProof/>
          <w:sz w:val="20"/>
          <w:szCs w:val="20"/>
          <w:lang w:val="en-US"/>
        </w:rPr>
        <w:t>(2015)</w:t>
      </w:r>
      <w:r w:rsidR="006C41BB" w:rsidRPr="002A1DFC">
        <w:rPr>
          <w:sz w:val="20"/>
          <w:szCs w:val="20"/>
          <w:lang w:val="en-US"/>
        </w:rPr>
        <w:t xml:space="preserve">, further following Byers </w:t>
      </w:r>
      <w:r w:rsidR="00407642" w:rsidRPr="002A1DFC">
        <w:rPr>
          <w:noProof/>
          <w:sz w:val="20"/>
          <w:szCs w:val="20"/>
          <w:lang w:val="en-US"/>
        </w:rPr>
        <w:t>(2002)</w:t>
      </w:r>
      <w:r w:rsidR="006C41BB" w:rsidRPr="002A1DFC">
        <w:rPr>
          <w:sz w:val="20"/>
          <w:szCs w:val="20"/>
          <w:lang w:val="en-US"/>
        </w:rPr>
        <w:t xml:space="preserve">, Hager </w:t>
      </w:r>
      <w:r w:rsidR="00407642" w:rsidRPr="002A1DFC">
        <w:rPr>
          <w:noProof/>
          <w:sz w:val="20"/>
          <w:szCs w:val="20"/>
          <w:lang w:val="en-US"/>
        </w:rPr>
        <w:t>(1996)</w:t>
      </w:r>
      <w:r w:rsidR="006C41BB" w:rsidRPr="002A1DFC">
        <w:rPr>
          <w:sz w:val="20"/>
          <w:szCs w:val="20"/>
          <w:lang w:val="en-US"/>
        </w:rPr>
        <w:t xml:space="preserve">, </w:t>
      </w:r>
      <w:proofErr w:type="spellStart"/>
      <w:r w:rsidR="006C41BB" w:rsidRPr="002A1DFC">
        <w:rPr>
          <w:sz w:val="20"/>
          <w:szCs w:val="20"/>
          <w:lang w:val="en-US"/>
        </w:rPr>
        <w:t>Phenice</w:t>
      </w:r>
      <w:proofErr w:type="spellEnd"/>
      <w:r w:rsidR="006C41BB" w:rsidRPr="002A1DFC">
        <w:rPr>
          <w:sz w:val="20"/>
          <w:szCs w:val="20"/>
          <w:lang w:val="en-US"/>
        </w:rPr>
        <w:t xml:space="preserve"> </w:t>
      </w:r>
      <w:r w:rsidR="00407642" w:rsidRPr="002A1DFC">
        <w:rPr>
          <w:noProof/>
          <w:sz w:val="20"/>
          <w:szCs w:val="20"/>
          <w:lang w:val="en-US"/>
        </w:rPr>
        <w:t>(1969)</w:t>
      </w:r>
      <w:r w:rsidR="006C41BB" w:rsidRPr="002A1DFC">
        <w:rPr>
          <w:sz w:val="20"/>
          <w:szCs w:val="20"/>
          <w:lang w:val="en-US"/>
        </w:rPr>
        <w:t xml:space="preserve">, Sutherland and </w:t>
      </w:r>
      <w:proofErr w:type="spellStart"/>
      <w:r w:rsidR="006C41BB" w:rsidRPr="002A1DFC">
        <w:rPr>
          <w:sz w:val="20"/>
          <w:szCs w:val="20"/>
          <w:lang w:val="en-US"/>
        </w:rPr>
        <w:t>Suchey</w:t>
      </w:r>
      <w:proofErr w:type="spellEnd"/>
      <w:r w:rsidR="006C41BB" w:rsidRPr="002A1DFC">
        <w:rPr>
          <w:sz w:val="20"/>
          <w:szCs w:val="20"/>
          <w:lang w:val="en-US"/>
        </w:rPr>
        <w:t xml:space="preserve"> </w:t>
      </w:r>
      <w:r w:rsidR="00407642" w:rsidRPr="002A1DFC">
        <w:rPr>
          <w:noProof/>
          <w:sz w:val="20"/>
          <w:szCs w:val="20"/>
          <w:lang w:val="en-US"/>
        </w:rPr>
        <w:t>(1991)</w:t>
      </w:r>
      <w:r w:rsidR="006C41BB" w:rsidRPr="002A1DFC">
        <w:rPr>
          <w:sz w:val="20"/>
          <w:szCs w:val="20"/>
          <w:lang w:val="en-US"/>
        </w:rPr>
        <w:t xml:space="preserve">, Houghton </w:t>
      </w:r>
      <w:r w:rsidR="00407642" w:rsidRPr="002A1DFC">
        <w:rPr>
          <w:noProof/>
          <w:sz w:val="20"/>
          <w:szCs w:val="20"/>
          <w:lang w:val="en-US"/>
        </w:rPr>
        <w:t>(1975)</w:t>
      </w:r>
      <w:r w:rsidR="0004657E" w:rsidRPr="002A1DFC">
        <w:rPr>
          <w:sz w:val="20"/>
          <w:szCs w:val="20"/>
          <w:lang w:val="en-US"/>
        </w:rPr>
        <w:t xml:space="preserve"> </w:t>
      </w:r>
      <w:r w:rsidR="006C41BB" w:rsidRPr="002A1DFC">
        <w:rPr>
          <w:sz w:val="20"/>
          <w:szCs w:val="20"/>
          <w:lang w:val="en-US"/>
        </w:rPr>
        <w:t xml:space="preserve">and in difficult cases </w:t>
      </w:r>
      <w:proofErr w:type="spellStart"/>
      <w:r w:rsidR="006C41BB" w:rsidRPr="002A1DFC">
        <w:rPr>
          <w:sz w:val="20"/>
          <w:szCs w:val="20"/>
          <w:lang w:val="en-US"/>
        </w:rPr>
        <w:t>Murail</w:t>
      </w:r>
      <w:proofErr w:type="spellEnd"/>
      <w:r w:rsidR="006C41BB" w:rsidRPr="002A1DFC">
        <w:rPr>
          <w:sz w:val="20"/>
          <w:szCs w:val="20"/>
          <w:lang w:val="en-US"/>
        </w:rPr>
        <w:t xml:space="preserve"> </w:t>
      </w:r>
      <w:r w:rsidR="006C41BB" w:rsidRPr="00CA6877">
        <w:rPr>
          <w:i/>
          <w:sz w:val="20"/>
          <w:szCs w:val="20"/>
          <w:lang w:val="en-US"/>
        </w:rPr>
        <w:t>et al.</w:t>
      </w:r>
      <w:r w:rsidR="006C41BB" w:rsidRPr="002A1DFC">
        <w:rPr>
          <w:sz w:val="20"/>
          <w:szCs w:val="20"/>
          <w:lang w:val="en-US"/>
        </w:rPr>
        <w:t xml:space="preserve"> </w:t>
      </w:r>
      <w:r w:rsidR="00407642" w:rsidRPr="002A1DFC">
        <w:rPr>
          <w:noProof/>
          <w:sz w:val="20"/>
          <w:szCs w:val="20"/>
          <w:lang w:val="en-US"/>
        </w:rPr>
        <w:t>(2005)</w:t>
      </w:r>
      <w:r w:rsidR="006C41BB" w:rsidRPr="002A1DFC">
        <w:rPr>
          <w:sz w:val="20"/>
          <w:szCs w:val="20"/>
          <w:lang w:val="en-US"/>
        </w:rPr>
        <w:t xml:space="preserve">. </w:t>
      </w:r>
      <w:r w:rsidR="007F02E2" w:rsidRPr="002A1DFC">
        <w:rPr>
          <w:sz w:val="20"/>
          <w:szCs w:val="20"/>
          <w:lang w:val="en-US"/>
        </w:rPr>
        <w:t xml:space="preserve">The </w:t>
      </w:r>
      <w:r w:rsidRPr="002A1DFC">
        <w:rPr>
          <w:sz w:val="20"/>
          <w:szCs w:val="20"/>
          <w:lang w:val="en-US"/>
        </w:rPr>
        <w:t>sex-determination</w:t>
      </w:r>
      <w:r w:rsidR="007F02E2" w:rsidRPr="002A1DFC">
        <w:rPr>
          <w:sz w:val="20"/>
          <w:szCs w:val="20"/>
          <w:lang w:val="en-US"/>
        </w:rPr>
        <w:t xml:space="preserve">s based on cranium and mandible followed the methods presented by </w:t>
      </w:r>
      <w:proofErr w:type="spellStart"/>
      <w:r w:rsidR="007F02E2" w:rsidRPr="002A1DFC">
        <w:rPr>
          <w:sz w:val="20"/>
          <w:szCs w:val="20"/>
          <w:lang w:val="en-US"/>
        </w:rPr>
        <w:t>Buikstra</w:t>
      </w:r>
      <w:proofErr w:type="spellEnd"/>
      <w:r w:rsidR="007F02E2" w:rsidRPr="002A1DFC">
        <w:rPr>
          <w:sz w:val="20"/>
          <w:szCs w:val="20"/>
          <w:lang w:val="en-US"/>
        </w:rPr>
        <w:t xml:space="preserve"> and </w:t>
      </w:r>
      <w:proofErr w:type="spellStart"/>
      <w:r w:rsidR="007F02E2" w:rsidRPr="002A1DFC">
        <w:rPr>
          <w:sz w:val="20"/>
          <w:szCs w:val="20"/>
          <w:lang w:val="en-US"/>
        </w:rPr>
        <w:t>Ubelaker</w:t>
      </w:r>
      <w:proofErr w:type="spellEnd"/>
      <w:r w:rsidR="007F02E2" w:rsidRPr="002A1DFC">
        <w:rPr>
          <w:sz w:val="20"/>
          <w:szCs w:val="20"/>
          <w:lang w:val="en-US"/>
        </w:rPr>
        <w:t xml:space="preserve"> </w:t>
      </w:r>
      <w:r w:rsidR="00407642" w:rsidRPr="002A1DFC">
        <w:rPr>
          <w:noProof/>
          <w:sz w:val="20"/>
          <w:szCs w:val="20"/>
          <w:lang w:val="en-US"/>
        </w:rPr>
        <w:t>(1994)</w:t>
      </w:r>
      <w:r w:rsidR="007F02E2" w:rsidRPr="002A1DFC">
        <w:rPr>
          <w:sz w:val="20"/>
          <w:szCs w:val="20"/>
          <w:lang w:val="en-US"/>
        </w:rPr>
        <w:t xml:space="preserve"> and </w:t>
      </w:r>
      <w:proofErr w:type="spellStart"/>
      <w:r w:rsidR="007F02E2" w:rsidRPr="002A1DFC">
        <w:rPr>
          <w:sz w:val="20"/>
          <w:szCs w:val="20"/>
          <w:lang w:val="en-US"/>
        </w:rPr>
        <w:t>Krogman</w:t>
      </w:r>
      <w:proofErr w:type="spellEnd"/>
      <w:r w:rsidR="007F02E2" w:rsidRPr="002A1DFC">
        <w:rPr>
          <w:sz w:val="20"/>
          <w:szCs w:val="20"/>
          <w:lang w:val="en-US"/>
        </w:rPr>
        <w:t xml:space="preserve"> and </w:t>
      </w:r>
      <w:proofErr w:type="spellStart"/>
      <w:r w:rsidR="00495BD4" w:rsidRPr="002A1DFC">
        <w:rPr>
          <w:sz w:val="20"/>
          <w:szCs w:val="20"/>
          <w:lang w:val="en-US"/>
        </w:rPr>
        <w:t>İşcan</w:t>
      </w:r>
      <w:proofErr w:type="spellEnd"/>
      <w:r w:rsidR="00495BD4" w:rsidRPr="002A1DFC">
        <w:rPr>
          <w:sz w:val="20"/>
          <w:szCs w:val="20"/>
          <w:lang w:val="en-US"/>
        </w:rPr>
        <w:t xml:space="preserve"> </w:t>
      </w:r>
      <w:r w:rsidR="00407642" w:rsidRPr="002A1DFC">
        <w:rPr>
          <w:noProof/>
          <w:sz w:val="20"/>
          <w:szCs w:val="20"/>
          <w:lang w:val="en-US"/>
        </w:rPr>
        <w:t>(1986)</w:t>
      </w:r>
      <w:r w:rsidR="007F02E2" w:rsidRPr="002A1DFC">
        <w:rPr>
          <w:sz w:val="20"/>
          <w:szCs w:val="20"/>
          <w:lang w:val="en-US"/>
        </w:rPr>
        <w:t xml:space="preserve">. In the case crania and hip bones were absent, </w:t>
      </w:r>
      <w:r w:rsidRPr="002A1DFC">
        <w:rPr>
          <w:sz w:val="20"/>
          <w:szCs w:val="20"/>
          <w:lang w:val="en-US"/>
        </w:rPr>
        <w:t>sex-determination</w:t>
      </w:r>
      <w:r w:rsidR="007F02E2" w:rsidRPr="002A1DFC">
        <w:rPr>
          <w:sz w:val="20"/>
          <w:szCs w:val="20"/>
          <w:lang w:val="en-US"/>
        </w:rPr>
        <w:t xml:space="preserve"> methods focused on metrics of long bones (i.e. femora and </w:t>
      </w:r>
      <w:proofErr w:type="spellStart"/>
      <w:r w:rsidR="007F02E2" w:rsidRPr="002A1DFC">
        <w:rPr>
          <w:sz w:val="20"/>
          <w:szCs w:val="20"/>
          <w:lang w:val="en-US"/>
        </w:rPr>
        <w:t>humeri</w:t>
      </w:r>
      <w:proofErr w:type="spellEnd"/>
      <w:r w:rsidR="007F02E2" w:rsidRPr="002A1DFC">
        <w:rPr>
          <w:sz w:val="20"/>
          <w:szCs w:val="20"/>
          <w:lang w:val="en-US"/>
        </w:rPr>
        <w:t xml:space="preserve">) followed the methods presented by </w:t>
      </w:r>
      <w:proofErr w:type="spellStart"/>
      <w:r w:rsidR="007F02E2" w:rsidRPr="002A1DFC">
        <w:rPr>
          <w:sz w:val="20"/>
          <w:szCs w:val="20"/>
          <w:lang w:val="en-US"/>
        </w:rPr>
        <w:t>Ferembach</w:t>
      </w:r>
      <w:proofErr w:type="spellEnd"/>
      <w:r w:rsidR="007F02E2" w:rsidRPr="002A1DFC">
        <w:rPr>
          <w:sz w:val="20"/>
          <w:szCs w:val="20"/>
          <w:lang w:val="en-US"/>
        </w:rPr>
        <w:t xml:space="preserve"> </w:t>
      </w:r>
      <w:r w:rsidR="007F02E2" w:rsidRPr="00CA6877">
        <w:rPr>
          <w:i/>
          <w:sz w:val="20"/>
          <w:szCs w:val="20"/>
          <w:lang w:val="en-US"/>
        </w:rPr>
        <w:t>et al.</w:t>
      </w:r>
      <w:r w:rsidR="007F02E2" w:rsidRPr="002A1DFC">
        <w:rPr>
          <w:sz w:val="20"/>
          <w:szCs w:val="20"/>
          <w:lang w:val="en-US"/>
        </w:rPr>
        <w:t xml:space="preserve"> </w:t>
      </w:r>
      <w:r w:rsidR="00407642" w:rsidRPr="002A1DFC">
        <w:rPr>
          <w:noProof/>
          <w:sz w:val="20"/>
          <w:szCs w:val="20"/>
          <w:lang w:val="en-US"/>
        </w:rPr>
        <w:t>(1979)</w:t>
      </w:r>
      <w:r w:rsidR="007F02E2" w:rsidRPr="002A1DFC">
        <w:rPr>
          <w:sz w:val="20"/>
          <w:szCs w:val="20"/>
          <w:lang w:val="en-US"/>
        </w:rPr>
        <w:t xml:space="preserve">. </w:t>
      </w:r>
    </w:p>
    <w:p w14:paraId="1B6C0D88" w14:textId="2115E485" w:rsidR="008B20B1" w:rsidRPr="002A1DFC" w:rsidRDefault="009D7719" w:rsidP="00AE4C44">
      <w:pPr>
        <w:jc w:val="both"/>
        <w:rPr>
          <w:sz w:val="20"/>
          <w:szCs w:val="20"/>
          <w:lang w:val="en-US"/>
        </w:rPr>
      </w:pPr>
      <w:r w:rsidRPr="002A1DFC">
        <w:rPr>
          <w:b/>
          <w:sz w:val="20"/>
          <w:szCs w:val="20"/>
          <w:lang w:val="en-US"/>
        </w:rPr>
        <w:t xml:space="preserve">Osteological </w:t>
      </w:r>
      <w:r w:rsidR="00E160E7" w:rsidRPr="002A1DFC">
        <w:rPr>
          <w:b/>
          <w:sz w:val="20"/>
          <w:szCs w:val="20"/>
          <w:lang w:val="en-US"/>
        </w:rPr>
        <w:t>data-analyses</w:t>
      </w:r>
      <w:r w:rsidR="00E160E7" w:rsidRPr="002A1DFC">
        <w:rPr>
          <w:sz w:val="20"/>
          <w:szCs w:val="20"/>
          <w:lang w:val="en-US"/>
        </w:rPr>
        <w:t>:</w:t>
      </w:r>
      <w:r w:rsidR="00A67D66" w:rsidRPr="002A1DFC">
        <w:rPr>
          <w:sz w:val="20"/>
          <w:szCs w:val="20"/>
          <w:lang w:val="en-US"/>
        </w:rPr>
        <w:t xml:space="preserve"> The </w:t>
      </w:r>
      <w:r w:rsidRPr="002A1DFC">
        <w:rPr>
          <w:sz w:val="20"/>
          <w:szCs w:val="20"/>
          <w:lang w:val="en-US"/>
        </w:rPr>
        <w:t xml:space="preserve">osteological </w:t>
      </w:r>
      <w:r w:rsidR="00B013E6" w:rsidRPr="002A1DFC">
        <w:rPr>
          <w:sz w:val="20"/>
          <w:szCs w:val="20"/>
          <w:lang w:val="en-US"/>
        </w:rPr>
        <w:t>analyses of</w:t>
      </w:r>
      <w:r w:rsidR="00A67D66" w:rsidRPr="002A1DFC">
        <w:rPr>
          <w:sz w:val="20"/>
          <w:szCs w:val="20"/>
          <w:lang w:val="en-US"/>
        </w:rPr>
        <w:t xml:space="preserve"> C. </w:t>
      </w:r>
      <w:proofErr w:type="spellStart"/>
      <w:r w:rsidR="00A67D66" w:rsidRPr="002A1DFC">
        <w:rPr>
          <w:sz w:val="20"/>
          <w:szCs w:val="20"/>
          <w:lang w:val="en-US"/>
        </w:rPr>
        <w:t>Corrain</w:t>
      </w:r>
      <w:proofErr w:type="spellEnd"/>
      <w:r w:rsidR="00A67D66" w:rsidRPr="002A1DFC">
        <w:rPr>
          <w:sz w:val="20"/>
          <w:szCs w:val="20"/>
          <w:lang w:val="en-US"/>
        </w:rPr>
        <w:t xml:space="preserve">, L. </w:t>
      </w:r>
      <w:proofErr w:type="spellStart"/>
      <w:r w:rsidR="00A67D66" w:rsidRPr="002A1DFC">
        <w:rPr>
          <w:sz w:val="20"/>
          <w:szCs w:val="20"/>
          <w:lang w:val="en-US"/>
        </w:rPr>
        <w:t>Meneghello</w:t>
      </w:r>
      <w:proofErr w:type="spellEnd"/>
      <w:r w:rsidR="00A67D66" w:rsidRPr="002A1DFC">
        <w:rPr>
          <w:sz w:val="20"/>
          <w:szCs w:val="20"/>
          <w:lang w:val="en-US"/>
        </w:rPr>
        <w:t xml:space="preserve"> and M. </w:t>
      </w:r>
      <w:proofErr w:type="spellStart"/>
      <w:r w:rsidR="00A67D66" w:rsidRPr="002A1DFC">
        <w:rPr>
          <w:sz w:val="20"/>
          <w:szCs w:val="20"/>
          <w:lang w:val="en-US"/>
        </w:rPr>
        <w:t>Capitanio</w:t>
      </w:r>
      <w:proofErr w:type="spellEnd"/>
      <w:r w:rsidR="00A67D66" w:rsidRPr="002A1DFC">
        <w:rPr>
          <w:sz w:val="20"/>
          <w:szCs w:val="20"/>
          <w:lang w:val="en-US"/>
        </w:rPr>
        <w:t xml:space="preserve"> are featured in the main site publication </w:t>
      </w:r>
      <w:r w:rsidR="00407642" w:rsidRPr="002A1DFC">
        <w:rPr>
          <w:noProof/>
          <w:sz w:val="20"/>
          <w:szCs w:val="20"/>
          <w:lang w:val="en-US"/>
        </w:rPr>
        <w:t>(Salzani 2005)</w:t>
      </w:r>
      <w:r w:rsidR="00B013E6" w:rsidRPr="002A1DFC">
        <w:rPr>
          <w:sz w:val="20"/>
          <w:szCs w:val="20"/>
          <w:lang w:val="en-US"/>
        </w:rPr>
        <w:t xml:space="preserve">. Their </w:t>
      </w:r>
      <w:r w:rsidRPr="002A1DFC">
        <w:rPr>
          <w:sz w:val="20"/>
          <w:szCs w:val="20"/>
          <w:lang w:val="en-US"/>
        </w:rPr>
        <w:t xml:space="preserve">osteological </w:t>
      </w:r>
      <w:r w:rsidR="00B013E6" w:rsidRPr="002A1DFC">
        <w:rPr>
          <w:sz w:val="20"/>
          <w:szCs w:val="20"/>
          <w:lang w:val="en-US"/>
        </w:rPr>
        <w:t>observations</w:t>
      </w:r>
      <w:r w:rsidR="0095671F" w:rsidRPr="002A1DFC">
        <w:rPr>
          <w:sz w:val="20"/>
          <w:szCs w:val="20"/>
          <w:lang w:val="en-US"/>
        </w:rPr>
        <w:t xml:space="preserve"> are described in detail following the archaeological descriptions of each burial</w:t>
      </w:r>
      <w:r w:rsidR="00457309" w:rsidRPr="002A1DFC">
        <w:rPr>
          <w:sz w:val="20"/>
          <w:szCs w:val="20"/>
          <w:lang w:val="en-US"/>
        </w:rPr>
        <w:t xml:space="preserve">. The sections </w:t>
      </w:r>
      <w:r w:rsidR="0095671F" w:rsidRPr="002A1DFC">
        <w:rPr>
          <w:sz w:val="20"/>
          <w:szCs w:val="20"/>
          <w:lang w:val="en-US"/>
        </w:rPr>
        <w:t xml:space="preserve">mostly include information regarding the preservation state of the skeleton, age and </w:t>
      </w:r>
      <w:r w:rsidR="008F4666" w:rsidRPr="002A1DFC">
        <w:rPr>
          <w:sz w:val="20"/>
          <w:szCs w:val="20"/>
          <w:lang w:val="en-US"/>
        </w:rPr>
        <w:t>sex-determination</w:t>
      </w:r>
      <w:r w:rsidR="0095671F" w:rsidRPr="002A1DFC">
        <w:rPr>
          <w:sz w:val="20"/>
          <w:szCs w:val="20"/>
          <w:lang w:val="en-US"/>
        </w:rPr>
        <w:t xml:space="preserve">s and the arguments as to what the latter are based on. </w:t>
      </w:r>
      <w:r w:rsidR="00230A42" w:rsidRPr="002A1DFC">
        <w:rPr>
          <w:sz w:val="20"/>
          <w:szCs w:val="20"/>
          <w:lang w:val="en-US"/>
        </w:rPr>
        <w:lastRenderedPageBreak/>
        <w:t xml:space="preserve">J. </w:t>
      </w:r>
      <w:proofErr w:type="spellStart"/>
      <w:r w:rsidR="00230A42" w:rsidRPr="002A1DFC">
        <w:rPr>
          <w:sz w:val="20"/>
          <w:szCs w:val="20"/>
          <w:lang w:val="en-US"/>
        </w:rPr>
        <w:t>Rizzi</w:t>
      </w:r>
      <w:proofErr w:type="spellEnd"/>
      <w:r w:rsidR="00230A42" w:rsidRPr="002A1DFC">
        <w:rPr>
          <w:sz w:val="20"/>
          <w:szCs w:val="20"/>
          <w:lang w:val="en-US"/>
        </w:rPr>
        <w:t xml:space="preserve"> describes </w:t>
      </w:r>
      <w:r w:rsidR="005924C3" w:rsidRPr="002A1DFC">
        <w:rPr>
          <w:sz w:val="20"/>
          <w:szCs w:val="20"/>
          <w:lang w:val="en-US"/>
        </w:rPr>
        <w:t>their</w:t>
      </w:r>
      <w:r w:rsidR="00230A42" w:rsidRPr="002A1DFC">
        <w:rPr>
          <w:sz w:val="20"/>
          <w:szCs w:val="20"/>
          <w:lang w:val="en-US"/>
        </w:rPr>
        <w:t xml:space="preserve"> </w:t>
      </w:r>
      <w:r w:rsidRPr="002A1DFC">
        <w:rPr>
          <w:sz w:val="20"/>
          <w:szCs w:val="20"/>
          <w:lang w:val="en-US"/>
        </w:rPr>
        <w:t xml:space="preserve">osteological </w:t>
      </w:r>
      <w:r w:rsidR="00230A42" w:rsidRPr="002A1DFC">
        <w:rPr>
          <w:sz w:val="20"/>
          <w:szCs w:val="20"/>
          <w:lang w:val="en-US"/>
        </w:rPr>
        <w:t xml:space="preserve">observations and results within a separate section of the collective article focused on the 10 burials excavated in 2009 </w:t>
      </w:r>
      <w:r w:rsidR="00407642" w:rsidRPr="002A1DFC">
        <w:rPr>
          <w:noProof/>
          <w:sz w:val="20"/>
          <w:szCs w:val="20"/>
          <w:lang w:val="en-US"/>
        </w:rPr>
        <w:t xml:space="preserve">(Salzani </w:t>
      </w:r>
      <w:r w:rsidR="00407642" w:rsidRPr="00CA6877">
        <w:rPr>
          <w:i/>
          <w:noProof/>
          <w:sz w:val="20"/>
          <w:szCs w:val="20"/>
          <w:lang w:val="en-US"/>
        </w:rPr>
        <w:t>et al.</w:t>
      </w:r>
      <w:r w:rsidR="00407642" w:rsidRPr="002A1DFC">
        <w:rPr>
          <w:noProof/>
          <w:sz w:val="20"/>
          <w:szCs w:val="20"/>
          <w:lang w:val="en-US"/>
        </w:rPr>
        <w:t xml:space="preserve"> 2016</w:t>
      </w:r>
      <w:r w:rsidR="00582D48" w:rsidRPr="002A1DFC">
        <w:rPr>
          <w:noProof/>
          <w:sz w:val="20"/>
          <w:szCs w:val="20"/>
          <w:lang w:val="en-US"/>
        </w:rPr>
        <w:t>,</w:t>
      </w:r>
      <w:r w:rsidR="00407642" w:rsidRPr="002A1DFC">
        <w:rPr>
          <w:noProof/>
          <w:sz w:val="20"/>
          <w:szCs w:val="20"/>
          <w:lang w:val="en-US"/>
        </w:rPr>
        <w:t xml:space="preserve"> 209-213)</w:t>
      </w:r>
      <w:r w:rsidR="00230A42" w:rsidRPr="002A1DFC">
        <w:rPr>
          <w:sz w:val="20"/>
          <w:szCs w:val="20"/>
          <w:lang w:val="en-US"/>
        </w:rPr>
        <w:t xml:space="preserve">. </w:t>
      </w:r>
      <w:r w:rsidR="005924C3" w:rsidRPr="002A1DFC">
        <w:rPr>
          <w:sz w:val="20"/>
          <w:szCs w:val="20"/>
          <w:lang w:val="en-US"/>
        </w:rPr>
        <w:t>Their</w:t>
      </w:r>
      <w:r w:rsidR="00230A42" w:rsidRPr="002A1DFC">
        <w:rPr>
          <w:sz w:val="20"/>
          <w:szCs w:val="20"/>
          <w:lang w:val="en-US"/>
        </w:rPr>
        <w:t xml:space="preserve"> descriptions of each inhumation include information regarding sex, age, pathologies and potential occupational markers of the deceased individuals. </w:t>
      </w:r>
      <w:r w:rsidR="00754954" w:rsidRPr="002A1DFC">
        <w:rPr>
          <w:sz w:val="20"/>
          <w:szCs w:val="20"/>
          <w:lang w:val="en-US"/>
        </w:rPr>
        <w:t xml:space="preserve">M. L. </w:t>
      </w:r>
      <w:proofErr w:type="spellStart"/>
      <w:r w:rsidR="00754954" w:rsidRPr="002A1DFC">
        <w:rPr>
          <w:sz w:val="20"/>
          <w:szCs w:val="20"/>
          <w:lang w:val="en-US"/>
        </w:rPr>
        <w:t>Pulcini</w:t>
      </w:r>
      <w:proofErr w:type="spellEnd"/>
      <w:r w:rsidR="00754954" w:rsidRPr="002A1DFC">
        <w:rPr>
          <w:sz w:val="20"/>
          <w:szCs w:val="20"/>
          <w:lang w:val="en-US"/>
        </w:rPr>
        <w:t xml:space="preserve"> </w:t>
      </w:r>
      <w:r w:rsidR="00407642" w:rsidRPr="002A1DFC">
        <w:rPr>
          <w:noProof/>
          <w:sz w:val="20"/>
          <w:szCs w:val="20"/>
          <w:lang w:val="en-US"/>
        </w:rPr>
        <w:t xml:space="preserve">(2014; of which the results are summarized in Canci </w:t>
      </w:r>
      <w:r w:rsidR="00407642" w:rsidRPr="00CA6877">
        <w:rPr>
          <w:i/>
          <w:noProof/>
          <w:sz w:val="20"/>
          <w:szCs w:val="20"/>
          <w:lang w:val="en-US"/>
        </w:rPr>
        <w:t>et al.</w:t>
      </w:r>
      <w:r w:rsidR="00407642" w:rsidRPr="002A1DFC">
        <w:rPr>
          <w:noProof/>
          <w:sz w:val="20"/>
          <w:szCs w:val="20"/>
          <w:lang w:val="en-US"/>
        </w:rPr>
        <w:t xml:space="preserve"> 2015)</w:t>
      </w:r>
      <w:r w:rsidR="00754954" w:rsidRPr="002A1DFC">
        <w:rPr>
          <w:sz w:val="20"/>
          <w:szCs w:val="20"/>
          <w:lang w:val="en-US"/>
        </w:rPr>
        <w:t xml:space="preserve"> reconstructed the biological profile of each individual regarding sex, age at death, height, occupational markers, health conditions, traumatic lesions</w:t>
      </w:r>
      <w:r w:rsidR="001A0C76" w:rsidRPr="002A1DFC">
        <w:rPr>
          <w:sz w:val="20"/>
          <w:szCs w:val="20"/>
          <w:lang w:val="en-US"/>
        </w:rPr>
        <w:t xml:space="preserve">. </w:t>
      </w:r>
      <w:r w:rsidR="005924C3" w:rsidRPr="002A1DFC">
        <w:rPr>
          <w:sz w:val="20"/>
          <w:szCs w:val="20"/>
          <w:lang w:val="en-US"/>
        </w:rPr>
        <w:t>The author</w:t>
      </w:r>
      <w:r w:rsidR="009B2041" w:rsidRPr="002A1DFC">
        <w:rPr>
          <w:sz w:val="20"/>
          <w:szCs w:val="20"/>
          <w:lang w:val="en-US"/>
        </w:rPr>
        <w:t xml:space="preserve"> </w:t>
      </w:r>
      <w:r w:rsidR="00AE4C44" w:rsidRPr="002A1DFC">
        <w:rPr>
          <w:sz w:val="20"/>
          <w:szCs w:val="20"/>
          <w:lang w:val="en-US"/>
        </w:rPr>
        <w:t xml:space="preserve">further </w:t>
      </w:r>
      <w:r w:rsidR="009B2041" w:rsidRPr="002A1DFC">
        <w:rPr>
          <w:sz w:val="20"/>
          <w:szCs w:val="20"/>
          <w:lang w:val="en-US"/>
        </w:rPr>
        <w:t>integrates the archaeological data</w:t>
      </w:r>
      <w:r w:rsidR="008B20B1" w:rsidRPr="002A1DFC">
        <w:rPr>
          <w:sz w:val="20"/>
          <w:szCs w:val="20"/>
          <w:lang w:val="en-US"/>
        </w:rPr>
        <w:t xml:space="preserve"> (incl. grave goods that suggest social characteristics like age, sex and rank of the deceased individuals)</w:t>
      </w:r>
      <w:r w:rsidR="009B2041" w:rsidRPr="002A1DFC">
        <w:rPr>
          <w:sz w:val="20"/>
          <w:szCs w:val="20"/>
          <w:lang w:val="en-US"/>
        </w:rPr>
        <w:t xml:space="preserve"> in </w:t>
      </w:r>
      <w:r w:rsidR="005924C3" w:rsidRPr="002A1DFC">
        <w:rPr>
          <w:sz w:val="20"/>
          <w:szCs w:val="20"/>
          <w:lang w:val="en-US"/>
        </w:rPr>
        <w:t>the</w:t>
      </w:r>
      <w:r w:rsidR="009B2041" w:rsidRPr="002A1DFC">
        <w:rPr>
          <w:sz w:val="20"/>
          <w:szCs w:val="20"/>
          <w:lang w:val="en-US"/>
        </w:rPr>
        <w:t xml:space="preserve"> consideration of the </w:t>
      </w:r>
      <w:r w:rsidRPr="002A1DFC">
        <w:rPr>
          <w:sz w:val="20"/>
          <w:szCs w:val="20"/>
          <w:lang w:val="en-US"/>
        </w:rPr>
        <w:t>osteological</w:t>
      </w:r>
      <w:r w:rsidRPr="002A1DFC">
        <w:rPr>
          <w:strike/>
          <w:sz w:val="20"/>
          <w:szCs w:val="20"/>
          <w:lang w:val="en-US"/>
        </w:rPr>
        <w:t xml:space="preserve"> </w:t>
      </w:r>
      <w:r w:rsidR="009B2041" w:rsidRPr="002A1DFC">
        <w:rPr>
          <w:sz w:val="20"/>
          <w:szCs w:val="20"/>
          <w:lang w:val="en-US"/>
        </w:rPr>
        <w:t xml:space="preserve">studies in order to outline the </w:t>
      </w:r>
      <w:r w:rsidR="00BE138E" w:rsidRPr="002A1DFC">
        <w:rPr>
          <w:sz w:val="20"/>
          <w:szCs w:val="20"/>
          <w:lang w:val="en-US"/>
        </w:rPr>
        <w:t>burial practices common to</w:t>
      </w:r>
      <w:r w:rsidR="009B2041" w:rsidRPr="002A1DFC">
        <w:rPr>
          <w:sz w:val="20"/>
          <w:szCs w:val="20"/>
          <w:lang w:val="en-US"/>
        </w:rPr>
        <w:t xml:space="preserve"> the Bronze Age </w:t>
      </w:r>
      <w:proofErr w:type="spellStart"/>
      <w:r w:rsidR="009B2041" w:rsidRPr="002A1DFC">
        <w:rPr>
          <w:sz w:val="20"/>
          <w:szCs w:val="20"/>
          <w:lang w:val="en-US"/>
        </w:rPr>
        <w:t>Olmo</w:t>
      </w:r>
      <w:proofErr w:type="spellEnd"/>
      <w:r w:rsidR="009B2041" w:rsidRPr="002A1DFC">
        <w:rPr>
          <w:sz w:val="20"/>
          <w:szCs w:val="20"/>
          <w:lang w:val="en-US"/>
        </w:rPr>
        <w:t xml:space="preserve"> di </w:t>
      </w:r>
      <w:proofErr w:type="spellStart"/>
      <w:r w:rsidR="009B2041" w:rsidRPr="002A1DFC">
        <w:rPr>
          <w:sz w:val="20"/>
          <w:szCs w:val="20"/>
          <w:lang w:val="en-US"/>
        </w:rPr>
        <w:t>Nogara</w:t>
      </w:r>
      <w:proofErr w:type="spellEnd"/>
      <w:r w:rsidR="009B2041" w:rsidRPr="002A1DFC">
        <w:rPr>
          <w:sz w:val="20"/>
          <w:szCs w:val="20"/>
          <w:lang w:val="en-US"/>
        </w:rPr>
        <w:t xml:space="preserve"> community,</w:t>
      </w:r>
      <w:r w:rsidR="00873F51" w:rsidRPr="002A1DFC">
        <w:rPr>
          <w:sz w:val="20"/>
          <w:szCs w:val="20"/>
          <w:lang w:val="en-US"/>
        </w:rPr>
        <w:t xml:space="preserve"> </w:t>
      </w:r>
      <w:r w:rsidR="00BE138E" w:rsidRPr="002A1DFC">
        <w:rPr>
          <w:sz w:val="20"/>
          <w:szCs w:val="20"/>
          <w:lang w:val="en-US"/>
        </w:rPr>
        <w:t>according to</w:t>
      </w:r>
      <w:r w:rsidR="009B2041" w:rsidRPr="002A1DFC">
        <w:rPr>
          <w:sz w:val="20"/>
          <w:szCs w:val="20"/>
          <w:lang w:val="en-US"/>
        </w:rPr>
        <w:t xml:space="preserve"> chronological phases. </w:t>
      </w:r>
      <w:r w:rsidR="00873F51" w:rsidRPr="002A1DFC">
        <w:rPr>
          <w:sz w:val="20"/>
          <w:szCs w:val="20"/>
          <w:lang w:val="en-US"/>
        </w:rPr>
        <w:t>The author</w:t>
      </w:r>
      <w:r w:rsidR="00D0600C" w:rsidRPr="002A1DFC">
        <w:rPr>
          <w:sz w:val="20"/>
          <w:szCs w:val="20"/>
          <w:lang w:val="en-US"/>
        </w:rPr>
        <w:t xml:space="preserve">, as all other </w:t>
      </w:r>
      <w:r w:rsidR="005924C3" w:rsidRPr="002A1DFC">
        <w:rPr>
          <w:sz w:val="20"/>
          <w:szCs w:val="20"/>
          <w:lang w:val="en-US"/>
        </w:rPr>
        <w:t xml:space="preserve">preceding </w:t>
      </w:r>
      <w:r w:rsidR="00D0600C" w:rsidRPr="002A1DFC">
        <w:rPr>
          <w:sz w:val="20"/>
          <w:szCs w:val="20"/>
          <w:lang w:val="en-US"/>
        </w:rPr>
        <w:t>authors, does not publish the single osteological measurements and observations</w:t>
      </w:r>
      <w:r w:rsidR="00873F51" w:rsidRPr="002A1DFC">
        <w:rPr>
          <w:sz w:val="20"/>
          <w:szCs w:val="20"/>
          <w:lang w:val="en-US"/>
        </w:rPr>
        <w:t xml:space="preserve">. Solely the sex and age determinations which deviated from the previous ones are listed in two tables </w:t>
      </w:r>
      <w:r w:rsidR="00407642" w:rsidRPr="002A1DFC">
        <w:rPr>
          <w:noProof/>
          <w:sz w:val="20"/>
          <w:szCs w:val="20"/>
          <w:lang w:val="en-US"/>
        </w:rPr>
        <w:t>(Pulcini 2014</w:t>
      </w:r>
      <w:r w:rsidR="00582D48" w:rsidRPr="002A1DFC">
        <w:rPr>
          <w:noProof/>
          <w:sz w:val="20"/>
          <w:szCs w:val="20"/>
          <w:lang w:val="en-US"/>
        </w:rPr>
        <w:t>,</w:t>
      </w:r>
      <w:r w:rsidR="00407642" w:rsidRPr="002A1DFC">
        <w:rPr>
          <w:noProof/>
          <w:sz w:val="20"/>
          <w:szCs w:val="20"/>
          <w:lang w:val="en-US"/>
        </w:rPr>
        <w:t xml:space="preserve"> 52-53</w:t>
      </w:r>
      <w:r w:rsidR="00582D48" w:rsidRPr="002A1DFC">
        <w:rPr>
          <w:noProof/>
          <w:sz w:val="20"/>
          <w:szCs w:val="20"/>
          <w:lang w:val="en-US"/>
        </w:rPr>
        <w:t>,</w:t>
      </w:r>
      <w:r w:rsidR="00407642" w:rsidRPr="002A1DFC">
        <w:rPr>
          <w:noProof/>
          <w:sz w:val="20"/>
          <w:szCs w:val="20"/>
          <w:lang w:val="en-US"/>
        </w:rPr>
        <w:t xml:space="preserve"> 56-58)</w:t>
      </w:r>
      <w:r w:rsidR="00873F51" w:rsidRPr="002A1DFC">
        <w:rPr>
          <w:sz w:val="20"/>
          <w:szCs w:val="20"/>
          <w:lang w:val="en-US"/>
        </w:rPr>
        <w:t xml:space="preserve"> without any details regarding the basis on which the determinations were modified. Furthermore, single determinations, which also deviate from the former </w:t>
      </w:r>
      <w:r w:rsidRPr="002A1DFC">
        <w:rPr>
          <w:sz w:val="20"/>
          <w:szCs w:val="20"/>
          <w:lang w:val="en-US"/>
        </w:rPr>
        <w:t xml:space="preserve">osteological </w:t>
      </w:r>
      <w:r w:rsidR="00873F51" w:rsidRPr="002A1DFC">
        <w:rPr>
          <w:sz w:val="20"/>
          <w:szCs w:val="20"/>
          <w:lang w:val="en-US"/>
        </w:rPr>
        <w:t xml:space="preserve">assessment of the </w:t>
      </w:r>
      <w:r w:rsidR="008B20B1" w:rsidRPr="002A1DFC">
        <w:rPr>
          <w:sz w:val="20"/>
          <w:szCs w:val="20"/>
          <w:lang w:val="en-US"/>
        </w:rPr>
        <w:t xml:space="preserve">skeletal </w:t>
      </w:r>
      <w:r w:rsidR="00873F51" w:rsidRPr="002A1DFC">
        <w:rPr>
          <w:sz w:val="20"/>
          <w:szCs w:val="20"/>
          <w:lang w:val="en-US"/>
        </w:rPr>
        <w:t>collection</w:t>
      </w:r>
      <w:r w:rsidR="00AE4C44" w:rsidRPr="002A1DFC">
        <w:rPr>
          <w:sz w:val="20"/>
          <w:szCs w:val="20"/>
          <w:lang w:val="en-US"/>
        </w:rPr>
        <w:t>,</w:t>
      </w:r>
      <w:r w:rsidR="00873F51" w:rsidRPr="002A1DFC">
        <w:rPr>
          <w:sz w:val="20"/>
          <w:szCs w:val="20"/>
          <w:lang w:val="en-US"/>
        </w:rPr>
        <w:t xml:space="preserve"> are spread throughout the thesis</w:t>
      </w:r>
      <w:r w:rsidR="002738C5" w:rsidRPr="002A1DFC">
        <w:rPr>
          <w:sz w:val="20"/>
          <w:szCs w:val="20"/>
          <w:lang w:val="en-US"/>
        </w:rPr>
        <w:t xml:space="preserve"> (e.g. ind</w:t>
      </w:r>
      <w:r w:rsidR="000B3005" w:rsidRPr="002A1DFC">
        <w:rPr>
          <w:sz w:val="20"/>
          <w:szCs w:val="20"/>
          <w:lang w:val="en-US"/>
        </w:rPr>
        <w:t>ividual</w:t>
      </w:r>
      <w:r w:rsidR="002738C5" w:rsidRPr="002A1DFC">
        <w:rPr>
          <w:sz w:val="20"/>
          <w:szCs w:val="20"/>
          <w:lang w:val="en-US"/>
        </w:rPr>
        <w:t xml:space="preserve"> no. 145</w:t>
      </w:r>
      <w:r w:rsidR="00AE4C44" w:rsidRPr="002A1DFC">
        <w:rPr>
          <w:sz w:val="20"/>
          <w:szCs w:val="20"/>
          <w:lang w:val="en-US"/>
        </w:rPr>
        <w:t xml:space="preserve"> – previously of indeterminate sex – is indicated as of female sex on p. 73, but not in the list of </w:t>
      </w:r>
      <w:r w:rsidR="008B20B1" w:rsidRPr="002A1DFC">
        <w:rPr>
          <w:sz w:val="20"/>
          <w:szCs w:val="20"/>
          <w:lang w:val="en-US"/>
        </w:rPr>
        <w:t>individuals of deviant sex-determinations on p. 52-53; and the same applies to ind</w:t>
      </w:r>
      <w:r w:rsidR="000B3005" w:rsidRPr="002A1DFC">
        <w:rPr>
          <w:sz w:val="20"/>
          <w:szCs w:val="20"/>
          <w:lang w:val="en-US"/>
        </w:rPr>
        <w:t>ividual</w:t>
      </w:r>
      <w:r w:rsidR="008B20B1" w:rsidRPr="002A1DFC">
        <w:rPr>
          <w:sz w:val="20"/>
          <w:szCs w:val="20"/>
          <w:lang w:val="en-US"/>
        </w:rPr>
        <w:t xml:space="preserve"> no. 379 on p. 194, fig. 152, which is now considered of male sex). </w:t>
      </w:r>
    </w:p>
    <w:p w14:paraId="36505F03" w14:textId="142FF117" w:rsidR="007A7E9A" w:rsidRPr="002A1DFC" w:rsidRDefault="008F4666" w:rsidP="00FA52BA">
      <w:pPr>
        <w:jc w:val="both"/>
        <w:rPr>
          <w:sz w:val="20"/>
          <w:szCs w:val="20"/>
          <w:lang w:val="en-US"/>
        </w:rPr>
      </w:pPr>
      <w:r w:rsidRPr="002A1DFC">
        <w:rPr>
          <w:b/>
          <w:sz w:val="20"/>
          <w:szCs w:val="20"/>
          <w:lang w:val="en-US"/>
        </w:rPr>
        <w:t>Gender-determination</w:t>
      </w:r>
      <w:r w:rsidR="00E160E7" w:rsidRPr="002A1DFC">
        <w:rPr>
          <w:b/>
          <w:sz w:val="20"/>
          <w:szCs w:val="20"/>
          <w:lang w:val="en-US"/>
        </w:rPr>
        <w:t xml:space="preserve"> methods</w:t>
      </w:r>
      <w:r w:rsidR="007A7E9A" w:rsidRPr="002A1DFC">
        <w:rPr>
          <w:b/>
          <w:sz w:val="20"/>
          <w:szCs w:val="20"/>
          <w:lang w:val="en-US"/>
        </w:rPr>
        <w:t xml:space="preserve"> and data analyses</w:t>
      </w:r>
      <w:r w:rsidR="00E160E7" w:rsidRPr="002A1DFC">
        <w:rPr>
          <w:sz w:val="20"/>
          <w:szCs w:val="20"/>
          <w:lang w:val="en-US"/>
        </w:rPr>
        <w:t>:</w:t>
      </w:r>
      <w:r w:rsidR="00036B5F" w:rsidRPr="002A1DFC">
        <w:rPr>
          <w:sz w:val="20"/>
          <w:szCs w:val="20"/>
          <w:lang w:val="en-US"/>
        </w:rPr>
        <w:t xml:space="preserve"> None of the cited publications makes any </w:t>
      </w:r>
      <w:r w:rsidR="001C5041">
        <w:rPr>
          <w:sz w:val="20"/>
          <w:szCs w:val="20"/>
          <w:lang w:val="en-US"/>
        </w:rPr>
        <w:t>distinction</w:t>
      </w:r>
      <w:r w:rsidR="001C5041" w:rsidRPr="002A1DFC">
        <w:rPr>
          <w:sz w:val="20"/>
          <w:szCs w:val="20"/>
          <w:lang w:val="en-US"/>
        </w:rPr>
        <w:t xml:space="preserve"> </w:t>
      </w:r>
      <w:r w:rsidR="00036B5F" w:rsidRPr="002A1DFC">
        <w:rPr>
          <w:sz w:val="20"/>
          <w:szCs w:val="20"/>
          <w:lang w:val="en-US"/>
        </w:rPr>
        <w:t xml:space="preserve">between the concepts of sex and gender. The absence of such a dichotomy creates some ambiguities in the interpretation. For example, in the main site publication </w:t>
      </w:r>
      <w:r w:rsidR="00407642" w:rsidRPr="002A1DFC">
        <w:rPr>
          <w:noProof/>
          <w:sz w:val="20"/>
          <w:szCs w:val="20"/>
          <w:lang w:val="en-US"/>
        </w:rPr>
        <w:t>(De Angelis in Salzani 2005</w:t>
      </w:r>
      <w:r w:rsidR="00582D48" w:rsidRPr="002A1DFC">
        <w:rPr>
          <w:noProof/>
          <w:sz w:val="20"/>
          <w:szCs w:val="20"/>
          <w:lang w:val="en-US"/>
        </w:rPr>
        <w:t>,</w:t>
      </w:r>
      <w:r w:rsidR="00407642" w:rsidRPr="002A1DFC">
        <w:rPr>
          <w:noProof/>
          <w:sz w:val="20"/>
          <w:szCs w:val="20"/>
          <w:lang w:val="en-US"/>
        </w:rPr>
        <w:t xml:space="preserve"> 449-487)</w:t>
      </w:r>
      <w:r w:rsidR="00036B5F" w:rsidRPr="002A1DFC">
        <w:rPr>
          <w:sz w:val="20"/>
          <w:szCs w:val="20"/>
          <w:lang w:val="en-US"/>
        </w:rPr>
        <w:t xml:space="preserve">, some burials that were determined male by the anthropologists, but contained grave goods that were considered </w:t>
      </w:r>
      <w:r w:rsidR="00B76CCE" w:rsidRPr="002A1DFC">
        <w:rPr>
          <w:sz w:val="20"/>
          <w:szCs w:val="20"/>
          <w:lang w:val="en-US"/>
        </w:rPr>
        <w:t xml:space="preserve">feminine </w:t>
      </w:r>
      <w:r w:rsidR="00036B5F" w:rsidRPr="002A1DFC">
        <w:rPr>
          <w:sz w:val="20"/>
          <w:szCs w:val="20"/>
          <w:lang w:val="en-US"/>
        </w:rPr>
        <w:t>by the archaeologists, were interpreted as female (?)</w:t>
      </w:r>
      <w:r w:rsidR="008A78D7" w:rsidRPr="002A1DFC">
        <w:rPr>
          <w:sz w:val="20"/>
          <w:szCs w:val="20"/>
          <w:lang w:val="en-US"/>
        </w:rPr>
        <w:t xml:space="preserve"> in the final seriation. </w:t>
      </w:r>
      <w:r w:rsidR="002D72B5" w:rsidRPr="002A1DFC">
        <w:rPr>
          <w:sz w:val="20"/>
          <w:szCs w:val="20"/>
          <w:lang w:val="en-US"/>
        </w:rPr>
        <w:t>This</w:t>
      </w:r>
      <w:r w:rsidR="008A78D7" w:rsidRPr="002A1DFC">
        <w:rPr>
          <w:sz w:val="20"/>
          <w:szCs w:val="20"/>
          <w:lang w:val="en-US"/>
        </w:rPr>
        <w:t xml:space="preserve"> apparent discrepancy between the </w:t>
      </w:r>
      <w:r w:rsidR="009D7719" w:rsidRPr="002A1DFC">
        <w:rPr>
          <w:sz w:val="20"/>
          <w:szCs w:val="20"/>
          <w:lang w:val="en-US"/>
        </w:rPr>
        <w:t xml:space="preserve">osteological </w:t>
      </w:r>
      <w:r w:rsidR="008A78D7" w:rsidRPr="002A1DFC">
        <w:rPr>
          <w:sz w:val="20"/>
          <w:szCs w:val="20"/>
          <w:lang w:val="en-US"/>
        </w:rPr>
        <w:t xml:space="preserve">sex of the individuals and their expected archaeological gender seems to represent the main motivation behind the re-examination of the osteological data by </w:t>
      </w:r>
      <w:proofErr w:type="spellStart"/>
      <w:r w:rsidR="008A78D7" w:rsidRPr="002A1DFC">
        <w:rPr>
          <w:sz w:val="20"/>
          <w:szCs w:val="20"/>
          <w:lang w:val="en-US"/>
        </w:rPr>
        <w:t>Pulcini</w:t>
      </w:r>
      <w:proofErr w:type="spellEnd"/>
      <w:r w:rsidR="008A78D7" w:rsidRPr="002A1DFC">
        <w:rPr>
          <w:sz w:val="20"/>
          <w:szCs w:val="20"/>
          <w:lang w:val="en-US"/>
        </w:rPr>
        <w:t xml:space="preserve"> </w:t>
      </w:r>
      <w:r w:rsidR="00407642" w:rsidRPr="002A1DFC">
        <w:rPr>
          <w:noProof/>
          <w:sz w:val="20"/>
          <w:szCs w:val="20"/>
          <w:lang w:val="en-US"/>
        </w:rPr>
        <w:t>(2014)</w:t>
      </w:r>
      <w:r w:rsidR="008A78D7" w:rsidRPr="002A1DFC">
        <w:rPr>
          <w:sz w:val="20"/>
          <w:szCs w:val="20"/>
          <w:lang w:val="en-US"/>
        </w:rPr>
        <w:t>.</w:t>
      </w:r>
      <w:r w:rsidR="007A7E9A" w:rsidRPr="002A1DFC">
        <w:rPr>
          <w:sz w:val="20"/>
          <w:szCs w:val="20"/>
          <w:lang w:val="en-US"/>
        </w:rPr>
        <w:t xml:space="preserve"> </w:t>
      </w:r>
    </w:p>
    <w:p w14:paraId="73ADE255" w14:textId="63DFBE20" w:rsidR="00036B5F" w:rsidRPr="002A1DFC" w:rsidRDefault="008A78D7" w:rsidP="00FA52BA">
      <w:pPr>
        <w:jc w:val="both"/>
        <w:rPr>
          <w:sz w:val="20"/>
          <w:szCs w:val="20"/>
          <w:lang w:val="en-US"/>
        </w:rPr>
      </w:pPr>
      <w:r w:rsidRPr="002A1DFC">
        <w:rPr>
          <w:sz w:val="20"/>
          <w:szCs w:val="20"/>
          <w:lang w:val="en-US"/>
        </w:rPr>
        <w:t xml:space="preserve">In all publications, the authors follow the standard gendered scheme for the attribution of grave goods that is widely accepted for Bronze Age Europe. In general, weapons (swords, daggers, arrowheads) are considered </w:t>
      </w:r>
      <w:r w:rsidR="00B76CCE" w:rsidRPr="002A1DFC">
        <w:rPr>
          <w:sz w:val="20"/>
          <w:szCs w:val="20"/>
          <w:lang w:val="en-US"/>
        </w:rPr>
        <w:t xml:space="preserve">masculine </w:t>
      </w:r>
      <w:r w:rsidRPr="002A1DFC">
        <w:rPr>
          <w:sz w:val="20"/>
          <w:szCs w:val="20"/>
          <w:lang w:val="en-US"/>
        </w:rPr>
        <w:t>attributes</w:t>
      </w:r>
      <w:r w:rsidR="000B7790" w:rsidRPr="002A1DFC">
        <w:rPr>
          <w:sz w:val="20"/>
          <w:szCs w:val="20"/>
          <w:lang w:val="en-US"/>
        </w:rPr>
        <w:t xml:space="preserve">, while elaborate </w:t>
      </w:r>
      <w:proofErr w:type="spellStart"/>
      <w:r w:rsidR="000B7790" w:rsidRPr="002A1DFC">
        <w:rPr>
          <w:sz w:val="20"/>
          <w:szCs w:val="20"/>
          <w:lang w:val="en-US"/>
        </w:rPr>
        <w:t>parures</w:t>
      </w:r>
      <w:proofErr w:type="spellEnd"/>
      <w:r w:rsidR="000B7790" w:rsidRPr="002A1DFC">
        <w:rPr>
          <w:sz w:val="20"/>
          <w:szCs w:val="20"/>
          <w:lang w:val="en-US"/>
        </w:rPr>
        <w:t xml:space="preserve"> (at least two pins, </w:t>
      </w:r>
      <w:r w:rsidR="005C2740" w:rsidRPr="002A1DFC">
        <w:rPr>
          <w:sz w:val="20"/>
          <w:szCs w:val="20"/>
          <w:lang w:val="en-US"/>
        </w:rPr>
        <w:t xml:space="preserve">bronze </w:t>
      </w:r>
      <w:r w:rsidR="000B7790" w:rsidRPr="002A1DFC">
        <w:rPr>
          <w:sz w:val="20"/>
          <w:szCs w:val="20"/>
          <w:lang w:val="en-US"/>
        </w:rPr>
        <w:t xml:space="preserve">hair </w:t>
      </w:r>
      <w:r w:rsidR="00653128" w:rsidRPr="002A1DFC">
        <w:rPr>
          <w:sz w:val="20"/>
          <w:szCs w:val="20"/>
          <w:lang w:val="en-US"/>
        </w:rPr>
        <w:t>spirals</w:t>
      </w:r>
      <w:r w:rsidR="000B7790" w:rsidRPr="002A1DFC">
        <w:rPr>
          <w:sz w:val="20"/>
          <w:szCs w:val="20"/>
          <w:lang w:val="en-US"/>
        </w:rPr>
        <w:t xml:space="preserve">, amber beads and bone combs) are considered </w:t>
      </w:r>
      <w:r w:rsidR="00B76CCE" w:rsidRPr="002A1DFC">
        <w:rPr>
          <w:sz w:val="20"/>
          <w:szCs w:val="20"/>
          <w:lang w:val="en-US"/>
        </w:rPr>
        <w:t xml:space="preserve">feminine </w:t>
      </w:r>
      <w:r w:rsidR="000B7790" w:rsidRPr="002A1DFC">
        <w:rPr>
          <w:sz w:val="20"/>
          <w:szCs w:val="20"/>
          <w:lang w:val="en-US"/>
        </w:rPr>
        <w:t xml:space="preserve">attributes. The gendered attribution of some specific grave goods is defined following a bottom approach. For example, head gear and single pins are considered </w:t>
      </w:r>
      <w:r w:rsidR="00B76CCE" w:rsidRPr="002A1DFC">
        <w:rPr>
          <w:sz w:val="20"/>
          <w:szCs w:val="20"/>
          <w:lang w:val="en-US"/>
        </w:rPr>
        <w:t>masculine</w:t>
      </w:r>
      <w:r w:rsidR="000B7790" w:rsidRPr="002A1DFC">
        <w:rPr>
          <w:sz w:val="20"/>
          <w:szCs w:val="20"/>
          <w:lang w:val="en-US"/>
        </w:rPr>
        <w:t xml:space="preserve"> because they only occur with </w:t>
      </w:r>
      <w:proofErr w:type="spellStart"/>
      <w:r w:rsidR="00B76CCE" w:rsidRPr="002A1DFC">
        <w:rPr>
          <w:sz w:val="20"/>
          <w:szCs w:val="20"/>
          <w:lang w:val="en-US"/>
        </w:rPr>
        <w:t>osteologically</w:t>
      </w:r>
      <w:proofErr w:type="spellEnd"/>
      <w:r w:rsidR="000B7790" w:rsidRPr="002A1DFC">
        <w:rPr>
          <w:sz w:val="20"/>
          <w:szCs w:val="20"/>
          <w:lang w:val="en-US"/>
        </w:rPr>
        <w:t>-determined males.</w:t>
      </w:r>
      <w:r w:rsidR="00E277B8" w:rsidRPr="002A1DFC">
        <w:rPr>
          <w:sz w:val="20"/>
          <w:szCs w:val="20"/>
          <w:lang w:val="en-US"/>
        </w:rPr>
        <w:t xml:space="preserve"> </w:t>
      </w:r>
    </w:p>
    <w:p w14:paraId="1A15A1A2" w14:textId="76FD770E" w:rsidR="00A87927" w:rsidRPr="002A1DFC" w:rsidRDefault="0021457E" w:rsidP="00AC4F22">
      <w:pPr>
        <w:jc w:val="both"/>
        <w:rPr>
          <w:sz w:val="20"/>
          <w:szCs w:val="20"/>
          <w:lang w:val="en-US"/>
        </w:rPr>
      </w:pPr>
      <w:r w:rsidRPr="002A1DFC">
        <w:rPr>
          <w:b/>
          <w:sz w:val="20"/>
          <w:szCs w:val="20"/>
          <w:lang w:val="en-US"/>
        </w:rPr>
        <w:t>Data use and reconstruction</w:t>
      </w:r>
      <w:r w:rsidR="00FA52BA" w:rsidRPr="002A1DFC">
        <w:rPr>
          <w:b/>
          <w:sz w:val="20"/>
          <w:szCs w:val="20"/>
          <w:lang w:val="en-US"/>
        </w:rPr>
        <w:t xml:space="preserve"> for this article</w:t>
      </w:r>
      <w:r w:rsidRPr="002A1DFC">
        <w:rPr>
          <w:b/>
          <w:sz w:val="20"/>
          <w:szCs w:val="20"/>
          <w:lang w:val="en-US"/>
        </w:rPr>
        <w:t>:</w:t>
      </w:r>
      <w:r w:rsidR="00AC4F22" w:rsidRPr="002A1DFC">
        <w:rPr>
          <w:b/>
          <w:sz w:val="20"/>
          <w:szCs w:val="20"/>
          <w:lang w:val="en-US"/>
        </w:rPr>
        <w:t xml:space="preserve"> </w:t>
      </w:r>
      <w:r w:rsidR="00A87927" w:rsidRPr="002A1DFC">
        <w:rPr>
          <w:sz w:val="20"/>
          <w:szCs w:val="20"/>
          <w:lang w:val="en-US"/>
        </w:rPr>
        <w:t>The ‘old’ sex-data is based on</w:t>
      </w:r>
      <w:r w:rsidR="00AC4F22" w:rsidRPr="002A1DFC">
        <w:rPr>
          <w:sz w:val="20"/>
          <w:szCs w:val="20"/>
          <w:lang w:val="en-US"/>
        </w:rPr>
        <w:t xml:space="preserve"> </w:t>
      </w:r>
      <w:proofErr w:type="spellStart"/>
      <w:r w:rsidR="00AC4F22" w:rsidRPr="002A1DFC">
        <w:rPr>
          <w:sz w:val="20"/>
          <w:szCs w:val="20"/>
          <w:lang w:val="en-US"/>
        </w:rPr>
        <w:t>Corrain’s</w:t>
      </w:r>
      <w:proofErr w:type="spellEnd"/>
      <w:r w:rsidR="00AC4F22" w:rsidRPr="002A1DFC">
        <w:rPr>
          <w:sz w:val="20"/>
          <w:szCs w:val="20"/>
          <w:lang w:val="en-US"/>
        </w:rPr>
        <w:t xml:space="preserve">, </w:t>
      </w:r>
      <w:proofErr w:type="spellStart"/>
      <w:r w:rsidR="00AC4F22" w:rsidRPr="002A1DFC">
        <w:rPr>
          <w:sz w:val="20"/>
          <w:szCs w:val="20"/>
          <w:lang w:val="en-US"/>
        </w:rPr>
        <w:t>Meneghello’s</w:t>
      </w:r>
      <w:proofErr w:type="spellEnd"/>
      <w:r w:rsidR="00AC4F22" w:rsidRPr="002A1DFC">
        <w:rPr>
          <w:sz w:val="20"/>
          <w:szCs w:val="20"/>
          <w:lang w:val="en-US"/>
        </w:rPr>
        <w:t xml:space="preserve"> and </w:t>
      </w:r>
      <w:proofErr w:type="spellStart"/>
      <w:r w:rsidR="00AC4F22" w:rsidRPr="002A1DFC">
        <w:rPr>
          <w:sz w:val="20"/>
          <w:szCs w:val="20"/>
          <w:lang w:val="en-US"/>
        </w:rPr>
        <w:t>Capitanio’</w:t>
      </w:r>
      <w:r w:rsidR="002A13B7">
        <w:rPr>
          <w:sz w:val="20"/>
          <w:szCs w:val="20"/>
          <w:lang w:val="en-US"/>
        </w:rPr>
        <w:t>s</w:t>
      </w:r>
      <w:proofErr w:type="spellEnd"/>
      <w:r w:rsidR="00AC4F22" w:rsidRPr="002A1DFC">
        <w:rPr>
          <w:sz w:val="20"/>
          <w:szCs w:val="20"/>
          <w:lang w:val="en-US"/>
        </w:rPr>
        <w:t xml:space="preserve"> determinations, which are indicated for each burial in the main site publication </w:t>
      </w:r>
      <w:r w:rsidR="00407642" w:rsidRPr="002A1DFC">
        <w:rPr>
          <w:noProof/>
          <w:sz w:val="20"/>
          <w:szCs w:val="20"/>
          <w:lang w:val="en-US"/>
        </w:rPr>
        <w:t>(Salzani 2005)</w:t>
      </w:r>
      <w:r w:rsidR="00AC4F22" w:rsidRPr="002A1DFC">
        <w:rPr>
          <w:sz w:val="20"/>
          <w:szCs w:val="20"/>
          <w:lang w:val="en-US"/>
        </w:rPr>
        <w:t xml:space="preserve">, and </w:t>
      </w:r>
      <w:proofErr w:type="spellStart"/>
      <w:r w:rsidR="00AC4F22" w:rsidRPr="002A1DFC">
        <w:rPr>
          <w:sz w:val="20"/>
          <w:szCs w:val="20"/>
          <w:lang w:val="en-US"/>
        </w:rPr>
        <w:t>Rizzi’s</w:t>
      </w:r>
      <w:proofErr w:type="spellEnd"/>
      <w:r w:rsidR="00AC4F22" w:rsidRPr="002A1DFC">
        <w:rPr>
          <w:sz w:val="20"/>
          <w:szCs w:val="20"/>
          <w:lang w:val="en-US"/>
        </w:rPr>
        <w:t xml:space="preserve"> determinations indicated in </w:t>
      </w:r>
      <w:proofErr w:type="spellStart"/>
      <w:r w:rsidR="00AC4F22" w:rsidRPr="002A1DFC">
        <w:rPr>
          <w:sz w:val="20"/>
          <w:szCs w:val="20"/>
          <w:lang w:val="en-US"/>
        </w:rPr>
        <w:t>Salzani</w:t>
      </w:r>
      <w:proofErr w:type="spellEnd"/>
      <w:r w:rsidR="00AC4F22" w:rsidRPr="002A1DFC">
        <w:rPr>
          <w:sz w:val="20"/>
          <w:szCs w:val="20"/>
          <w:lang w:val="en-US"/>
        </w:rPr>
        <w:t xml:space="preserve"> </w:t>
      </w:r>
      <w:r w:rsidR="00AC4F22" w:rsidRPr="00AC3978">
        <w:rPr>
          <w:i/>
          <w:sz w:val="20"/>
          <w:szCs w:val="20"/>
          <w:lang w:val="en-US"/>
        </w:rPr>
        <w:t>et al.</w:t>
      </w:r>
      <w:r w:rsidR="00AC4F22" w:rsidRPr="002A1DFC">
        <w:rPr>
          <w:sz w:val="20"/>
          <w:szCs w:val="20"/>
          <w:lang w:val="en-US"/>
        </w:rPr>
        <w:t xml:space="preserve"> </w:t>
      </w:r>
      <w:r w:rsidR="00407642" w:rsidRPr="002A1DFC">
        <w:rPr>
          <w:noProof/>
          <w:sz w:val="20"/>
          <w:szCs w:val="20"/>
          <w:lang w:val="en-US"/>
        </w:rPr>
        <w:t>(2016</w:t>
      </w:r>
      <w:r w:rsidR="00582D48" w:rsidRPr="002A1DFC">
        <w:rPr>
          <w:noProof/>
          <w:sz w:val="20"/>
          <w:szCs w:val="20"/>
          <w:lang w:val="en-US"/>
        </w:rPr>
        <w:t>,</w:t>
      </w:r>
      <w:r w:rsidR="00407642" w:rsidRPr="002A1DFC">
        <w:rPr>
          <w:noProof/>
          <w:sz w:val="20"/>
          <w:szCs w:val="20"/>
          <w:lang w:val="en-US"/>
        </w:rPr>
        <w:t xml:space="preserve"> 207-213)</w:t>
      </w:r>
      <w:r w:rsidR="00AC4F22" w:rsidRPr="002A1DFC">
        <w:rPr>
          <w:sz w:val="20"/>
          <w:szCs w:val="20"/>
          <w:lang w:val="en-US"/>
        </w:rPr>
        <w:t xml:space="preserve">. </w:t>
      </w:r>
      <w:r w:rsidR="00AC4F22" w:rsidRPr="002A1DFC">
        <w:rPr>
          <w:bCs/>
          <w:sz w:val="20"/>
          <w:szCs w:val="20"/>
          <w:lang w:val="en-US"/>
        </w:rPr>
        <w:t xml:space="preserve">The ‘new’ sex-data is based on </w:t>
      </w:r>
      <w:proofErr w:type="spellStart"/>
      <w:r w:rsidR="00AC4F22" w:rsidRPr="002A1DFC">
        <w:rPr>
          <w:bCs/>
          <w:sz w:val="20"/>
          <w:szCs w:val="20"/>
          <w:lang w:val="en-US"/>
        </w:rPr>
        <w:t>Pulcini’s</w:t>
      </w:r>
      <w:proofErr w:type="spellEnd"/>
      <w:r w:rsidR="00AC4F22" w:rsidRPr="002A1DFC">
        <w:rPr>
          <w:bCs/>
          <w:sz w:val="20"/>
          <w:szCs w:val="20"/>
          <w:lang w:val="en-US"/>
        </w:rPr>
        <w:t xml:space="preserve"> </w:t>
      </w:r>
      <w:r w:rsidR="00407642" w:rsidRPr="002A1DFC">
        <w:rPr>
          <w:bCs/>
          <w:noProof/>
          <w:sz w:val="20"/>
          <w:szCs w:val="20"/>
          <w:lang w:val="en-US"/>
        </w:rPr>
        <w:t>(2014)</w:t>
      </w:r>
      <w:r w:rsidR="00AC4F22" w:rsidRPr="002A1DFC">
        <w:rPr>
          <w:bCs/>
          <w:sz w:val="20"/>
          <w:szCs w:val="20"/>
          <w:lang w:val="en-US"/>
        </w:rPr>
        <w:t xml:space="preserve"> indications, both on </w:t>
      </w:r>
      <w:r w:rsidR="005924C3" w:rsidRPr="002A1DFC">
        <w:rPr>
          <w:bCs/>
          <w:sz w:val="20"/>
          <w:szCs w:val="20"/>
          <w:lang w:val="en-US"/>
        </w:rPr>
        <w:t xml:space="preserve">the </w:t>
      </w:r>
      <w:r w:rsidR="00AC4F22" w:rsidRPr="002A1DFC">
        <w:rPr>
          <w:bCs/>
          <w:sz w:val="20"/>
          <w:szCs w:val="20"/>
          <w:lang w:val="en-US"/>
        </w:rPr>
        <w:t xml:space="preserve">tables of deviating </w:t>
      </w:r>
      <w:r w:rsidR="008F4666" w:rsidRPr="002A1DFC">
        <w:rPr>
          <w:bCs/>
          <w:sz w:val="20"/>
          <w:szCs w:val="20"/>
          <w:lang w:val="en-US"/>
        </w:rPr>
        <w:t>sex-determination</w:t>
      </w:r>
      <w:r w:rsidR="00AC4F22" w:rsidRPr="002A1DFC">
        <w:rPr>
          <w:bCs/>
          <w:sz w:val="20"/>
          <w:szCs w:val="20"/>
          <w:lang w:val="en-US"/>
        </w:rPr>
        <w:t xml:space="preserve">s and on the indications spread throughout </w:t>
      </w:r>
      <w:r w:rsidR="005924C3" w:rsidRPr="002A1DFC">
        <w:rPr>
          <w:bCs/>
          <w:sz w:val="20"/>
          <w:szCs w:val="20"/>
          <w:lang w:val="en-US"/>
        </w:rPr>
        <w:t>the</w:t>
      </w:r>
      <w:r w:rsidR="00AC4F22" w:rsidRPr="002A1DFC">
        <w:rPr>
          <w:bCs/>
          <w:sz w:val="20"/>
          <w:szCs w:val="20"/>
          <w:lang w:val="en-US"/>
        </w:rPr>
        <w:t xml:space="preserve"> research work. </w:t>
      </w:r>
      <w:r w:rsidR="00FA52BA" w:rsidRPr="002A1DFC">
        <w:rPr>
          <w:bCs/>
          <w:sz w:val="20"/>
          <w:szCs w:val="20"/>
          <w:lang w:val="en-US"/>
        </w:rPr>
        <w:t xml:space="preserve">The gender-data are based on the attributes </w:t>
      </w:r>
      <w:r w:rsidR="009B28BB" w:rsidRPr="002A1DFC">
        <w:rPr>
          <w:bCs/>
          <w:sz w:val="20"/>
          <w:szCs w:val="20"/>
          <w:lang w:val="en-US"/>
        </w:rPr>
        <w:t>considered</w:t>
      </w:r>
      <w:r w:rsidR="00FA52BA" w:rsidRPr="002A1DFC">
        <w:rPr>
          <w:bCs/>
          <w:sz w:val="20"/>
          <w:szCs w:val="20"/>
          <w:lang w:val="en-US"/>
        </w:rPr>
        <w:t xml:space="preserve"> </w:t>
      </w:r>
      <w:r w:rsidR="00582D90" w:rsidRPr="002A1DFC">
        <w:rPr>
          <w:bCs/>
          <w:sz w:val="20"/>
          <w:szCs w:val="20"/>
          <w:lang w:val="en-US"/>
        </w:rPr>
        <w:t xml:space="preserve">by </w:t>
      </w:r>
      <w:r w:rsidR="009B28BB" w:rsidRPr="002A1DFC">
        <w:rPr>
          <w:bCs/>
          <w:sz w:val="20"/>
          <w:szCs w:val="20"/>
          <w:lang w:val="en-US"/>
        </w:rPr>
        <w:t>the archaeologists</w:t>
      </w:r>
      <w:r w:rsidR="00582D90" w:rsidRPr="002A1DFC">
        <w:rPr>
          <w:bCs/>
          <w:sz w:val="20"/>
          <w:szCs w:val="20"/>
          <w:lang w:val="en-US"/>
        </w:rPr>
        <w:t xml:space="preserve"> </w:t>
      </w:r>
      <w:r w:rsidR="00407642" w:rsidRPr="002A1DFC">
        <w:rPr>
          <w:bCs/>
          <w:noProof/>
          <w:sz w:val="20"/>
          <w:szCs w:val="20"/>
          <w:lang w:val="en-US"/>
        </w:rPr>
        <w:t xml:space="preserve">(Salzani 2005; Canci </w:t>
      </w:r>
      <w:r w:rsidR="00407642" w:rsidRPr="00AC3978">
        <w:rPr>
          <w:bCs/>
          <w:i/>
          <w:noProof/>
          <w:sz w:val="20"/>
          <w:szCs w:val="20"/>
          <w:lang w:val="en-US"/>
        </w:rPr>
        <w:t>et al.</w:t>
      </w:r>
      <w:r w:rsidR="00407642" w:rsidRPr="002A1DFC">
        <w:rPr>
          <w:bCs/>
          <w:noProof/>
          <w:sz w:val="20"/>
          <w:szCs w:val="20"/>
          <w:lang w:val="en-US"/>
        </w:rPr>
        <w:t xml:space="preserve"> 2015</w:t>
      </w:r>
      <w:r w:rsidR="00582D48" w:rsidRPr="002A1DFC">
        <w:rPr>
          <w:bCs/>
          <w:noProof/>
          <w:sz w:val="20"/>
          <w:szCs w:val="20"/>
          <w:lang w:val="en-US"/>
        </w:rPr>
        <w:t>,</w:t>
      </w:r>
      <w:r w:rsidR="00407642" w:rsidRPr="002A1DFC">
        <w:rPr>
          <w:bCs/>
          <w:noProof/>
          <w:sz w:val="20"/>
          <w:szCs w:val="20"/>
          <w:lang w:val="en-US"/>
        </w:rPr>
        <w:t xml:space="preserve"> 328)</w:t>
      </w:r>
      <w:r w:rsidR="002E44D3" w:rsidRPr="002A1DFC">
        <w:rPr>
          <w:bCs/>
          <w:sz w:val="20"/>
          <w:szCs w:val="20"/>
          <w:lang w:val="en-US"/>
        </w:rPr>
        <w:t xml:space="preserve">, which in turn correspond to the widely accepted scheme for Bronze Age Europe. </w:t>
      </w:r>
    </w:p>
    <w:p w14:paraId="5734C542" w14:textId="5392546C" w:rsidR="000C5633" w:rsidRPr="002A1DFC" w:rsidRDefault="00551D09" w:rsidP="00FE6705">
      <w:pPr>
        <w:jc w:val="both"/>
        <w:rPr>
          <w:b/>
          <w:sz w:val="20"/>
          <w:szCs w:val="20"/>
          <w:lang w:val="en-US"/>
        </w:rPr>
      </w:pPr>
      <w:r w:rsidRPr="002A1DFC">
        <w:rPr>
          <w:b/>
          <w:sz w:val="20"/>
          <w:szCs w:val="20"/>
          <w:lang w:val="en-US"/>
        </w:rPr>
        <w:t>Sex</w:t>
      </w:r>
      <w:r w:rsidR="00CA3F4F" w:rsidRPr="002A1DFC">
        <w:rPr>
          <w:b/>
          <w:sz w:val="20"/>
          <w:szCs w:val="20"/>
          <w:lang w:val="en-US"/>
        </w:rPr>
        <w:t xml:space="preserve"> and gender associations</w:t>
      </w:r>
      <w:r w:rsidR="0021457E" w:rsidRPr="002A1DFC">
        <w:rPr>
          <w:b/>
          <w:sz w:val="20"/>
          <w:szCs w:val="20"/>
          <w:lang w:val="en-US"/>
        </w:rPr>
        <w:t xml:space="preserve">: </w:t>
      </w:r>
      <w:r w:rsidR="000C5633" w:rsidRPr="002A1DFC">
        <w:rPr>
          <w:bCs/>
          <w:sz w:val="20"/>
          <w:szCs w:val="20"/>
          <w:lang w:val="en-US"/>
        </w:rPr>
        <w:t xml:space="preserve">Associations including the ‘old’ sex-data (total n = 465): match (n) = 105, opposite (n) = 14, partial (n) = 199, no data (n) = 147. Associations including the ‘new’ sex-data (total n = 465): match (n) = 124, opposite (n) = 1, partial (n) = 184, no data (n) = 156. </w:t>
      </w:r>
    </w:p>
    <w:p w14:paraId="3EADCEDB" w14:textId="1C155CF5" w:rsidR="009B28BB" w:rsidRPr="00DD2CAC" w:rsidRDefault="00B013E6" w:rsidP="00FE6705">
      <w:pPr>
        <w:jc w:val="both"/>
        <w:rPr>
          <w:sz w:val="20"/>
          <w:szCs w:val="20"/>
          <w:lang w:val="it-IT"/>
        </w:rPr>
      </w:pPr>
      <w:r w:rsidRPr="00DD2CAC">
        <w:rPr>
          <w:b/>
          <w:sz w:val="20"/>
          <w:szCs w:val="20"/>
          <w:lang w:val="it-IT"/>
        </w:rPr>
        <w:t>General site references:</w:t>
      </w:r>
      <w:r w:rsidRPr="00DD2CAC">
        <w:rPr>
          <w:sz w:val="20"/>
          <w:szCs w:val="20"/>
          <w:lang w:val="it-IT"/>
        </w:rPr>
        <w:t xml:space="preserve"> </w:t>
      </w:r>
      <w:r w:rsidR="00407642" w:rsidRPr="00DD2CAC">
        <w:rPr>
          <w:noProof/>
          <w:sz w:val="20"/>
          <w:szCs w:val="20"/>
          <w:lang w:val="it-IT"/>
        </w:rPr>
        <w:t xml:space="preserve">Salzani 2005; Salzani </w:t>
      </w:r>
      <w:r w:rsidR="00407642" w:rsidRPr="00DD2CAC">
        <w:rPr>
          <w:i/>
          <w:noProof/>
          <w:sz w:val="20"/>
          <w:szCs w:val="20"/>
          <w:lang w:val="it-IT"/>
        </w:rPr>
        <w:t>et al.</w:t>
      </w:r>
      <w:r w:rsidR="00407642" w:rsidRPr="00DD2CAC">
        <w:rPr>
          <w:noProof/>
          <w:sz w:val="20"/>
          <w:szCs w:val="20"/>
          <w:lang w:val="it-IT"/>
        </w:rPr>
        <w:t xml:space="preserve"> 2016; Salzani 1988; Corrain</w:t>
      </w:r>
      <w:r w:rsidR="00582D48" w:rsidRPr="00DD2CAC">
        <w:rPr>
          <w:noProof/>
          <w:sz w:val="20"/>
          <w:szCs w:val="20"/>
          <w:lang w:val="it-IT"/>
        </w:rPr>
        <w:t xml:space="preserve"> &amp;</w:t>
      </w:r>
      <w:r w:rsidR="00407642" w:rsidRPr="00DD2CAC">
        <w:rPr>
          <w:noProof/>
          <w:sz w:val="20"/>
          <w:szCs w:val="20"/>
          <w:lang w:val="it-IT"/>
        </w:rPr>
        <w:t xml:space="preserve"> Meneghello 1988; Capitanio</w:t>
      </w:r>
      <w:r w:rsidR="00582D48" w:rsidRPr="00DD2CAC">
        <w:rPr>
          <w:noProof/>
          <w:sz w:val="20"/>
          <w:szCs w:val="20"/>
          <w:lang w:val="it-IT"/>
        </w:rPr>
        <w:t xml:space="preserve"> &amp;</w:t>
      </w:r>
      <w:r w:rsidR="00407642" w:rsidRPr="00DD2CAC">
        <w:rPr>
          <w:noProof/>
          <w:sz w:val="20"/>
          <w:szCs w:val="20"/>
          <w:lang w:val="it-IT"/>
        </w:rPr>
        <w:t xml:space="preserve"> Corrain 1996; Pulcini 2014; Canci </w:t>
      </w:r>
      <w:r w:rsidR="00407642" w:rsidRPr="00DD2CAC">
        <w:rPr>
          <w:i/>
          <w:noProof/>
          <w:sz w:val="20"/>
          <w:szCs w:val="20"/>
          <w:lang w:val="it-IT"/>
        </w:rPr>
        <w:t>et al.</w:t>
      </w:r>
      <w:r w:rsidR="00407642" w:rsidRPr="00DD2CAC">
        <w:rPr>
          <w:noProof/>
          <w:sz w:val="20"/>
          <w:szCs w:val="20"/>
          <w:lang w:val="it-IT"/>
        </w:rPr>
        <w:t xml:space="preserve"> 2015</w:t>
      </w:r>
      <w:r w:rsidR="00582D48" w:rsidRPr="00DD2CAC">
        <w:rPr>
          <w:sz w:val="20"/>
          <w:szCs w:val="20"/>
          <w:lang w:val="it-IT"/>
        </w:rPr>
        <w:t>.</w:t>
      </w:r>
      <w:r w:rsidR="00AC3978" w:rsidRPr="00DD2CAC">
        <w:rPr>
          <w:sz w:val="20"/>
          <w:szCs w:val="20"/>
          <w:lang w:val="it-IT"/>
        </w:rPr>
        <w:t xml:space="preserve"> </w:t>
      </w:r>
    </w:p>
    <w:p w14:paraId="5D8F2004" w14:textId="7EFF4751" w:rsidR="0029211B" w:rsidRPr="00DD2CAC" w:rsidRDefault="0029211B" w:rsidP="0029211B">
      <w:pPr>
        <w:rPr>
          <w:sz w:val="20"/>
          <w:szCs w:val="20"/>
          <w:lang w:val="it-IT"/>
        </w:rPr>
      </w:pPr>
    </w:p>
    <w:p w14:paraId="54471456" w14:textId="2A394BFF" w:rsidR="0029211B" w:rsidRPr="002A1DFC" w:rsidRDefault="0029211B" w:rsidP="00965A19">
      <w:pPr>
        <w:jc w:val="both"/>
        <w:rPr>
          <w:b/>
        </w:rPr>
      </w:pPr>
      <w:r w:rsidRPr="002A1DFC">
        <w:rPr>
          <w:b/>
        </w:rPr>
        <w:t>Neckarsulm</w:t>
      </w:r>
      <w:r w:rsidR="00BE1FAF" w:rsidRPr="002A1DFC">
        <w:rPr>
          <w:b/>
        </w:rPr>
        <w:t>, Trendpark Süd (Germany)</w:t>
      </w:r>
    </w:p>
    <w:p w14:paraId="29431785" w14:textId="586A155A" w:rsidR="00E160E7" w:rsidRPr="002A1DFC" w:rsidRDefault="00E160E7" w:rsidP="00965A19">
      <w:pPr>
        <w:jc w:val="both"/>
        <w:rPr>
          <w:sz w:val="20"/>
          <w:szCs w:val="20"/>
        </w:rPr>
      </w:pPr>
      <w:r w:rsidRPr="002A1DFC">
        <w:rPr>
          <w:b/>
          <w:sz w:val="20"/>
          <w:szCs w:val="20"/>
        </w:rPr>
        <w:t>Location</w:t>
      </w:r>
      <w:r w:rsidRPr="002A1DFC">
        <w:rPr>
          <w:sz w:val="20"/>
          <w:szCs w:val="20"/>
        </w:rPr>
        <w:t>: Neckarsulm</w:t>
      </w:r>
      <w:r w:rsidR="00B509A0" w:rsidRPr="002A1DFC">
        <w:rPr>
          <w:sz w:val="20"/>
          <w:szCs w:val="20"/>
        </w:rPr>
        <w:t xml:space="preserve">, </w:t>
      </w:r>
      <w:r w:rsidRPr="002A1DFC">
        <w:rPr>
          <w:sz w:val="20"/>
          <w:szCs w:val="20"/>
        </w:rPr>
        <w:t>Baden-Württemberg</w:t>
      </w:r>
      <w:r w:rsidR="00B509A0" w:rsidRPr="002A1DFC">
        <w:rPr>
          <w:sz w:val="20"/>
          <w:szCs w:val="20"/>
        </w:rPr>
        <w:t>.</w:t>
      </w:r>
    </w:p>
    <w:p w14:paraId="0DEA0004" w14:textId="74CD47C6" w:rsidR="00E160E7" w:rsidRPr="002A1DFC" w:rsidRDefault="00E160E7" w:rsidP="00965A19">
      <w:pPr>
        <w:jc w:val="both"/>
        <w:rPr>
          <w:sz w:val="20"/>
          <w:szCs w:val="20"/>
          <w:lang w:val="en-US"/>
        </w:rPr>
      </w:pPr>
      <w:r w:rsidRPr="002A1DFC">
        <w:rPr>
          <w:b/>
          <w:sz w:val="20"/>
          <w:szCs w:val="20"/>
          <w:lang w:val="en-US"/>
        </w:rPr>
        <w:t>Excavation</w:t>
      </w:r>
      <w:r w:rsidRPr="002A1DFC">
        <w:rPr>
          <w:sz w:val="20"/>
          <w:szCs w:val="20"/>
          <w:lang w:val="en-US"/>
        </w:rPr>
        <w:t>: 2001 (4 months)</w:t>
      </w:r>
      <w:r w:rsidR="002A13B7">
        <w:rPr>
          <w:sz w:val="20"/>
          <w:szCs w:val="20"/>
          <w:lang w:val="en-US"/>
        </w:rPr>
        <w:t>.</w:t>
      </w:r>
    </w:p>
    <w:p w14:paraId="650F63DB" w14:textId="02476228" w:rsidR="00E160E7" w:rsidRPr="002A1DFC" w:rsidRDefault="00E160E7" w:rsidP="00965A19">
      <w:pPr>
        <w:jc w:val="both"/>
        <w:rPr>
          <w:sz w:val="20"/>
          <w:szCs w:val="20"/>
          <w:lang w:val="en-US"/>
        </w:rPr>
      </w:pPr>
      <w:r w:rsidRPr="002A1DFC">
        <w:rPr>
          <w:b/>
          <w:sz w:val="20"/>
          <w:szCs w:val="20"/>
          <w:lang w:val="en-US"/>
        </w:rPr>
        <w:t>Direction</w:t>
      </w:r>
      <w:r w:rsidRPr="002A1DFC">
        <w:rPr>
          <w:sz w:val="20"/>
          <w:szCs w:val="20"/>
          <w:lang w:val="en-US"/>
        </w:rPr>
        <w:t>: A. Neth</w:t>
      </w:r>
      <w:r w:rsidR="002A13B7">
        <w:rPr>
          <w:sz w:val="20"/>
          <w:szCs w:val="20"/>
          <w:lang w:val="en-US"/>
        </w:rPr>
        <w:t>.</w:t>
      </w:r>
    </w:p>
    <w:p w14:paraId="1A76B090" w14:textId="52423F0E" w:rsidR="00E160E7" w:rsidRPr="002A1DFC" w:rsidRDefault="00E160E7" w:rsidP="00965A19">
      <w:pPr>
        <w:jc w:val="both"/>
        <w:rPr>
          <w:sz w:val="20"/>
          <w:szCs w:val="20"/>
          <w:lang w:val="en-US"/>
        </w:rPr>
      </w:pPr>
      <w:r w:rsidRPr="002A1DFC">
        <w:rPr>
          <w:b/>
          <w:sz w:val="20"/>
          <w:szCs w:val="20"/>
          <w:lang w:val="en-US"/>
        </w:rPr>
        <w:t>Chronology</w:t>
      </w:r>
      <w:r w:rsidRPr="002A1DFC">
        <w:rPr>
          <w:sz w:val="20"/>
          <w:szCs w:val="20"/>
          <w:lang w:val="en-US"/>
        </w:rPr>
        <w:t xml:space="preserve">: </w:t>
      </w:r>
      <w:r w:rsidR="00C837FC" w:rsidRPr="002A1DFC">
        <w:rPr>
          <w:sz w:val="20"/>
          <w:szCs w:val="20"/>
          <w:lang w:val="en-US"/>
        </w:rPr>
        <w:t xml:space="preserve">Late Bronze Age, Urnfield period, </w:t>
      </w:r>
      <w:r w:rsidR="00D649A1" w:rsidRPr="002A1DFC">
        <w:rPr>
          <w:sz w:val="20"/>
          <w:szCs w:val="20"/>
          <w:lang w:val="en-US"/>
        </w:rPr>
        <w:t>Hallstatt A1-period</w:t>
      </w:r>
      <w:r w:rsidR="002A13B7">
        <w:rPr>
          <w:sz w:val="20"/>
          <w:szCs w:val="20"/>
          <w:lang w:val="en-US"/>
        </w:rPr>
        <w:t>.</w:t>
      </w:r>
      <w:r w:rsidR="00C837FC" w:rsidRPr="002A1DFC">
        <w:rPr>
          <w:sz w:val="20"/>
          <w:szCs w:val="20"/>
          <w:lang w:val="en-US"/>
        </w:rPr>
        <w:t xml:space="preserve"> </w:t>
      </w:r>
    </w:p>
    <w:p w14:paraId="3F8BAEF8" w14:textId="078D4950" w:rsidR="00CE775D" w:rsidRPr="002A1DFC" w:rsidRDefault="00CE775D" w:rsidP="00965A19">
      <w:pPr>
        <w:jc w:val="both"/>
        <w:rPr>
          <w:sz w:val="20"/>
          <w:szCs w:val="20"/>
          <w:lang w:val="en-US"/>
        </w:rPr>
      </w:pPr>
      <w:r w:rsidRPr="002A1DFC">
        <w:rPr>
          <w:b/>
          <w:sz w:val="20"/>
          <w:szCs w:val="20"/>
          <w:lang w:val="en-US"/>
        </w:rPr>
        <w:t>Material culture</w:t>
      </w:r>
      <w:r w:rsidRPr="002A1DFC">
        <w:rPr>
          <w:sz w:val="20"/>
          <w:szCs w:val="20"/>
          <w:lang w:val="en-US"/>
        </w:rPr>
        <w:t>: Urnfield Culture</w:t>
      </w:r>
      <w:r w:rsidR="002A13B7">
        <w:rPr>
          <w:sz w:val="20"/>
          <w:szCs w:val="20"/>
          <w:lang w:val="en-US"/>
        </w:rPr>
        <w:t>.</w:t>
      </w:r>
    </w:p>
    <w:p w14:paraId="56603C48" w14:textId="5279E760" w:rsidR="00E160E7" w:rsidRPr="002A1DFC" w:rsidRDefault="00E160E7" w:rsidP="00965A19">
      <w:pPr>
        <w:jc w:val="both"/>
        <w:rPr>
          <w:sz w:val="20"/>
          <w:szCs w:val="20"/>
          <w:lang w:val="en-US"/>
        </w:rPr>
      </w:pPr>
      <w:r w:rsidRPr="002A1DFC">
        <w:rPr>
          <w:b/>
          <w:sz w:val="20"/>
          <w:szCs w:val="20"/>
          <w:lang w:val="en-US"/>
        </w:rPr>
        <w:t>Use duration</w:t>
      </w:r>
      <w:r w:rsidRPr="002A1DFC">
        <w:rPr>
          <w:sz w:val="20"/>
          <w:szCs w:val="20"/>
          <w:lang w:val="en-US"/>
        </w:rPr>
        <w:t xml:space="preserve">: </w:t>
      </w:r>
      <w:r w:rsidR="00C837FC" w:rsidRPr="002A1DFC">
        <w:rPr>
          <w:sz w:val="20"/>
          <w:szCs w:val="20"/>
          <w:lang w:val="en-US"/>
        </w:rPr>
        <w:t>Hallstatt A1-period, approx. 50 years</w:t>
      </w:r>
      <w:r w:rsidR="00D649A1" w:rsidRPr="002A1DFC">
        <w:rPr>
          <w:sz w:val="20"/>
          <w:szCs w:val="20"/>
          <w:lang w:val="en-US"/>
        </w:rPr>
        <w:t xml:space="preserve"> or </w:t>
      </w:r>
      <w:r w:rsidR="00C837FC" w:rsidRPr="002A1DFC">
        <w:rPr>
          <w:sz w:val="20"/>
          <w:szCs w:val="20"/>
          <w:lang w:val="en-US"/>
        </w:rPr>
        <w:t>2 generations</w:t>
      </w:r>
      <w:r w:rsidR="002A13B7">
        <w:rPr>
          <w:sz w:val="20"/>
          <w:szCs w:val="20"/>
          <w:lang w:val="en-US"/>
        </w:rPr>
        <w:t>.</w:t>
      </w:r>
      <w:r w:rsidR="00C837FC" w:rsidRPr="002A1DFC">
        <w:rPr>
          <w:sz w:val="20"/>
          <w:szCs w:val="20"/>
          <w:lang w:val="en-US"/>
        </w:rPr>
        <w:t xml:space="preserve"> </w:t>
      </w:r>
    </w:p>
    <w:p w14:paraId="64E41501" w14:textId="198DC192" w:rsidR="00C837FC" w:rsidRPr="002A1DFC" w:rsidRDefault="00E160E7" w:rsidP="00965A19">
      <w:pPr>
        <w:jc w:val="both"/>
        <w:rPr>
          <w:sz w:val="20"/>
          <w:szCs w:val="20"/>
          <w:lang w:val="en-US"/>
        </w:rPr>
      </w:pPr>
      <w:r w:rsidRPr="002A1DFC">
        <w:rPr>
          <w:b/>
          <w:sz w:val="20"/>
          <w:szCs w:val="20"/>
          <w:lang w:val="en-US"/>
        </w:rPr>
        <w:t>Preservation</w:t>
      </w:r>
      <w:r w:rsidRPr="002A1DFC">
        <w:rPr>
          <w:sz w:val="20"/>
          <w:szCs w:val="20"/>
          <w:lang w:val="en-US"/>
        </w:rPr>
        <w:t xml:space="preserve">: </w:t>
      </w:r>
      <w:r w:rsidR="00CE775D" w:rsidRPr="002A1DFC">
        <w:rPr>
          <w:sz w:val="20"/>
          <w:szCs w:val="20"/>
          <w:lang w:val="en-US"/>
        </w:rPr>
        <w:t>Partial to severe disturbances</w:t>
      </w:r>
      <w:r w:rsidR="007A7E9A" w:rsidRPr="002A1DFC">
        <w:rPr>
          <w:sz w:val="20"/>
          <w:szCs w:val="20"/>
          <w:lang w:val="en-US"/>
        </w:rPr>
        <w:t xml:space="preserve"> are mentioned,</w:t>
      </w:r>
      <w:r w:rsidR="00CE775D" w:rsidRPr="002A1DFC">
        <w:rPr>
          <w:sz w:val="20"/>
          <w:szCs w:val="20"/>
          <w:lang w:val="en-US"/>
        </w:rPr>
        <w:t xml:space="preserve"> due to </w:t>
      </w:r>
      <w:r w:rsidR="007A7E9A" w:rsidRPr="002A1DFC">
        <w:rPr>
          <w:sz w:val="20"/>
          <w:szCs w:val="20"/>
          <w:lang w:val="en-US"/>
        </w:rPr>
        <w:t xml:space="preserve">the generally </w:t>
      </w:r>
      <w:r w:rsidR="00CE775D" w:rsidRPr="002A1DFC">
        <w:rPr>
          <w:sz w:val="20"/>
          <w:szCs w:val="20"/>
          <w:lang w:val="en-US"/>
        </w:rPr>
        <w:t xml:space="preserve">low depth of </w:t>
      </w:r>
      <w:r w:rsidR="002A13B7">
        <w:rPr>
          <w:sz w:val="20"/>
          <w:szCs w:val="20"/>
          <w:lang w:val="en-US"/>
        </w:rPr>
        <w:t xml:space="preserve">the </w:t>
      </w:r>
      <w:r w:rsidR="00CE775D" w:rsidRPr="002A1DFC">
        <w:rPr>
          <w:sz w:val="20"/>
          <w:szCs w:val="20"/>
          <w:lang w:val="en-US"/>
        </w:rPr>
        <w:t>grave</w:t>
      </w:r>
      <w:r w:rsidR="002A13B7">
        <w:rPr>
          <w:sz w:val="20"/>
          <w:szCs w:val="20"/>
          <w:lang w:val="en-US"/>
        </w:rPr>
        <w:t xml:space="preserve"> structures</w:t>
      </w:r>
      <w:r w:rsidR="00CE775D" w:rsidRPr="002A1DFC">
        <w:rPr>
          <w:sz w:val="20"/>
          <w:szCs w:val="20"/>
          <w:lang w:val="en-US"/>
        </w:rPr>
        <w:t>, agricultural and (unsystematic) modern or ancient looting activities, and to a lesser degree to</w:t>
      </w:r>
      <w:r w:rsidR="00BE51CE" w:rsidRPr="002A1DFC">
        <w:rPr>
          <w:sz w:val="20"/>
          <w:szCs w:val="20"/>
          <w:lang w:val="en-US"/>
        </w:rPr>
        <w:t xml:space="preserve"> burrowing</w:t>
      </w:r>
      <w:r w:rsidR="00CE775D" w:rsidRPr="002A1DFC">
        <w:rPr>
          <w:sz w:val="20"/>
          <w:szCs w:val="20"/>
          <w:lang w:val="en-US"/>
        </w:rPr>
        <w:t xml:space="preserve"> animals. Six burials </w:t>
      </w:r>
      <w:r w:rsidR="007A7E9A" w:rsidRPr="002A1DFC">
        <w:rPr>
          <w:sz w:val="20"/>
          <w:szCs w:val="20"/>
          <w:lang w:val="en-US"/>
        </w:rPr>
        <w:t xml:space="preserve">were </w:t>
      </w:r>
      <w:r w:rsidR="00CE775D" w:rsidRPr="002A1DFC">
        <w:rPr>
          <w:sz w:val="20"/>
          <w:szCs w:val="20"/>
          <w:lang w:val="en-US"/>
        </w:rPr>
        <w:t xml:space="preserve">identified based on small bones fragments or burial structure outline only. </w:t>
      </w:r>
      <w:r w:rsidR="007A7E9A" w:rsidRPr="002A1DFC">
        <w:rPr>
          <w:sz w:val="20"/>
          <w:szCs w:val="20"/>
          <w:lang w:val="en-US"/>
        </w:rPr>
        <w:t>A v</w:t>
      </w:r>
      <w:r w:rsidR="00CE775D" w:rsidRPr="002A1DFC">
        <w:rPr>
          <w:sz w:val="20"/>
          <w:szCs w:val="20"/>
          <w:lang w:val="en-US"/>
        </w:rPr>
        <w:t>ariable degree of skeletal preservation</w:t>
      </w:r>
      <w:r w:rsidR="007A7E9A" w:rsidRPr="002A1DFC">
        <w:rPr>
          <w:sz w:val="20"/>
          <w:szCs w:val="20"/>
          <w:lang w:val="en-US"/>
        </w:rPr>
        <w:t xml:space="preserve"> was noted and categorized: </w:t>
      </w:r>
      <w:r w:rsidR="00CE775D" w:rsidRPr="002A1DFC">
        <w:rPr>
          <w:sz w:val="20"/>
          <w:szCs w:val="20"/>
          <w:lang w:val="en-US"/>
        </w:rPr>
        <w:t xml:space="preserve">The existence of small bones and bigger skeletal portions is considered well preserved, while the remains of few bone fragments are considered poorly or not preserved. </w:t>
      </w:r>
    </w:p>
    <w:p w14:paraId="6B04EEB6" w14:textId="6BB8C980" w:rsidR="00E160E7" w:rsidRPr="002A1DFC" w:rsidRDefault="00E160E7" w:rsidP="00965A19">
      <w:pPr>
        <w:jc w:val="both"/>
        <w:rPr>
          <w:sz w:val="20"/>
          <w:szCs w:val="20"/>
          <w:lang w:val="en-US"/>
        </w:rPr>
      </w:pPr>
      <w:r w:rsidRPr="002A1DFC">
        <w:rPr>
          <w:b/>
          <w:sz w:val="20"/>
          <w:szCs w:val="20"/>
          <w:lang w:val="en-US"/>
        </w:rPr>
        <w:t>Burial structures</w:t>
      </w:r>
      <w:r w:rsidRPr="002A1DFC">
        <w:rPr>
          <w:sz w:val="20"/>
          <w:szCs w:val="20"/>
          <w:lang w:val="en-US"/>
        </w:rPr>
        <w:t>: 32</w:t>
      </w:r>
    </w:p>
    <w:p w14:paraId="37469AC1" w14:textId="6E47BFC0" w:rsidR="00E160E7" w:rsidRPr="002A1DFC" w:rsidRDefault="00E160E7" w:rsidP="00965A19">
      <w:pPr>
        <w:jc w:val="both"/>
        <w:rPr>
          <w:sz w:val="20"/>
          <w:szCs w:val="20"/>
          <w:lang w:val="en-US"/>
        </w:rPr>
      </w:pPr>
      <w:r w:rsidRPr="002A1DFC">
        <w:rPr>
          <w:b/>
          <w:sz w:val="20"/>
          <w:szCs w:val="20"/>
          <w:lang w:val="en-US"/>
        </w:rPr>
        <w:t>Burial practice</w:t>
      </w:r>
      <w:r w:rsidRPr="002A1DFC">
        <w:rPr>
          <w:sz w:val="20"/>
          <w:szCs w:val="20"/>
          <w:lang w:val="en-US"/>
        </w:rPr>
        <w:t xml:space="preserve">: </w:t>
      </w:r>
      <w:r w:rsidR="002A13B7">
        <w:rPr>
          <w:sz w:val="20"/>
          <w:szCs w:val="20"/>
          <w:lang w:val="en-US"/>
        </w:rPr>
        <w:t>I</w:t>
      </w:r>
      <w:r w:rsidRPr="002A1DFC">
        <w:rPr>
          <w:sz w:val="20"/>
          <w:szCs w:val="20"/>
          <w:lang w:val="en-US"/>
        </w:rPr>
        <w:t>nhumation</w:t>
      </w:r>
      <w:r w:rsidR="002A13B7">
        <w:rPr>
          <w:sz w:val="20"/>
          <w:szCs w:val="20"/>
          <w:lang w:val="en-US"/>
        </w:rPr>
        <w:t>.</w:t>
      </w:r>
    </w:p>
    <w:p w14:paraId="2AABA17A" w14:textId="32ABE336" w:rsidR="00E160E7" w:rsidRPr="002A1DFC" w:rsidRDefault="00E160E7" w:rsidP="00965A19">
      <w:pPr>
        <w:jc w:val="both"/>
        <w:rPr>
          <w:sz w:val="20"/>
          <w:szCs w:val="20"/>
          <w:lang w:val="en-US"/>
        </w:rPr>
      </w:pPr>
      <w:r w:rsidRPr="002A1DFC">
        <w:rPr>
          <w:b/>
          <w:sz w:val="20"/>
          <w:szCs w:val="20"/>
          <w:lang w:val="en-US"/>
        </w:rPr>
        <w:t>Minimum number of individuals</w:t>
      </w:r>
      <w:r w:rsidRPr="002A1DFC">
        <w:rPr>
          <w:sz w:val="20"/>
          <w:szCs w:val="20"/>
          <w:lang w:val="en-US"/>
        </w:rPr>
        <w:t>: 50</w:t>
      </w:r>
    </w:p>
    <w:p w14:paraId="0D0E526F" w14:textId="73BA380C" w:rsidR="00921920" w:rsidRPr="002A1DFC" w:rsidRDefault="00921920" w:rsidP="00965A19">
      <w:pPr>
        <w:jc w:val="both"/>
        <w:rPr>
          <w:b/>
          <w:sz w:val="20"/>
          <w:szCs w:val="20"/>
          <w:lang w:val="en-US"/>
        </w:rPr>
      </w:pPr>
      <w:r w:rsidRPr="002A1DFC">
        <w:rPr>
          <w:b/>
          <w:sz w:val="20"/>
          <w:szCs w:val="20"/>
          <w:lang w:val="en-US"/>
        </w:rPr>
        <w:t>Anthropologis</w:t>
      </w:r>
      <w:r w:rsidRPr="002A1DFC">
        <w:rPr>
          <w:sz w:val="20"/>
          <w:szCs w:val="20"/>
          <w:lang w:val="en-US"/>
        </w:rPr>
        <w:t>t: J. Wahl</w:t>
      </w:r>
      <w:r w:rsidR="002A13B7">
        <w:rPr>
          <w:sz w:val="20"/>
          <w:szCs w:val="20"/>
          <w:lang w:val="en-US"/>
        </w:rPr>
        <w:t>.</w:t>
      </w:r>
    </w:p>
    <w:p w14:paraId="201D6D83" w14:textId="51940E0D" w:rsidR="003F274A" w:rsidRPr="00AC3978" w:rsidRDefault="008F4666" w:rsidP="00965A19">
      <w:pPr>
        <w:jc w:val="both"/>
        <w:rPr>
          <w:sz w:val="20"/>
          <w:szCs w:val="20"/>
          <w:lang w:val="en-US"/>
        </w:rPr>
      </w:pPr>
      <w:r w:rsidRPr="002A1DFC">
        <w:rPr>
          <w:b/>
          <w:sz w:val="20"/>
          <w:szCs w:val="20"/>
          <w:lang w:val="en-US"/>
        </w:rPr>
        <w:t>Sex-determination</w:t>
      </w:r>
      <w:r w:rsidR="00E160E7" w:rsidRPr="002A1DFC">
        <w:rPr>
          <w:b/>
          <w:sz w:val="20"/>
          <w:szCs w:val="20"/>
          <w:lang w:val="en-US"/>
        </w:rPr>
        <w:t xml:space="preserve"> methods:</w:t>
      </w:r>
      <w:r w:rsidR="00E160E7" w:rsidRPr="002A1DFC">
        <w:rPr>
          <w:sz w:val="20"/>
          <w:szCs w:val="20"/>
          <w:lang w:val="en-US"/>
        </w:rPr>
        <w:t xml:space="preserve"> </w:t>
      </w:r>
      <w:r w:rsidR="007A7E9A" w:rsidRPr="002A1DFC">
        <w:rPr>
          <w:sz w:val="20"/>
          <w:szCs w:val="20"/>
          <w:lang w:val="en-US"/>
        </w:rPr>
        <w:t>Wahl follows</w:t>
      </w:r>
      <w:r w:rsidR="00E160E7" w:rsidRPr="002A1DFC">
        <w:rPr>
          <w:sz w:val="20"/>
          <w:szCs w:val="20"/>
          <w:lang w:val="en-US"/>
        </w:rPr>
        <w:t xml:space="preserve"> conventional methods, </w:t>
      </w:r>
      <w:r w:rsidR="007A7E9A" w:rsidRPr="002A1DFC">
        <w:rPr>
          <w:sz w:val="20"/>
          <w:szCs w:val="20"/>
          <w:lang w:val="en-US"/>
        </w:rPr>
        <w:t>of which those</w:t>
      </w:r>
      <w:r w:rsidR="00E160E7" w:rsidRPr="002A1DFC">
        <w:rPr>
          <w:sz w:val="20"/>
          <w:szCs w:val="20"/>
          <w:lang w:val="en-US"/>
        </w:rPr>
        <w:t xml:space="preserve"> </w:t>
      </w:r>
      <w:r w:rsidR="007A7E9A" w:rsidRPr="002A1DFC">
        <w:rPr>
          <w:sz w:val="20"/>
          <w:szCs w:val="20"/>
          <w:lang w:val="en-US"/>
        </w:rPr>
        <w:t>of (</w:t>
      </w:r>
      <w:r w:rsidR="00E160E7" w:rsidRPr="002A1DFC">
        <w:rPr>
          <w:sz w:val="20"/>
          <w:szCs w:val="20"/>
          <w:lang w:val="en-US"/>
        </w:rPr>
        <w:t>among others</w:t>
      </w:r>
      <w:r w:rsidR="007A7E9A" w:rsidRPr="002A1DFC">
        <w:rPr>
          <w:sz w:val="20"/>
          <w:szCs w:val="20"/>
          <w:lang w:val="en-US"/>
        </w:rPr>
        <w:t>)</w:t>
      </w:r>
      <w:r w:rsidR="00E160E7" w:rsidRPr="002A1DFC">
        <w:rPr>
          <w:sz w:val="20"/>
          <w:szCs w:val="20"/>
          <w:lang w:val="en-US"/>
        </w:rPr>
        <w:t xml:space="preserve"> </w:t>
      </w:r>
      <w:proofErr w:type="spellStart"/>
      <w:r w:rsidR="00E160E7" w:rsidRPr="002A1DFC">
        <w:rPr>
          <w:sz w:val="20"/>
          <w:szCs w:val="20"/>
          <w:lang w:val="en-US"/>
        </w:rPr>
        <w:t>Ferembach</w:t>
      </w:r>
      <w:proofErr w:type="spellEnd"/>
      <w:r w:rsidR="00E160E7" w:rsidRPr="002A1DFC">
        <w:rPr>
          <w:sz w:val="20"/>
          <w:szCs w:val="20"/>
          <w:lang w:val="en-US"/>
        </w:rPr>
        <w:t xml:space="preserve"> </w:t>
      </w:r>
      <w:r w:rsidR="00E160E7" w:rsidRPr="00AC3978">
        <w:rPr>
          <w:i/>
          <w:sz w:val="20"/>
          <w:szCs w:val="20"/>
          <w:lang w:val="en-US"/>
        </w:rPr>
        <w:t>et al.</w:t>
      </w:r>
      <w:r w:rsidR="00E160E7" w:rsidRPr="002A1DFC">
        <w:rPr>
          <w:sz w:val="20"/>
          <w:szCs w:val="20"/>
          <w:lang w:val="en-US"/>
        </w:rPr>
        <w:t xml:space="preserve"> </w:t>
      </w:r>
      <w:r w:rsidR="00407642" w:rsidRPr="002A1DFC">
        <w:rPr>
          <w:noProof/>
          <w:sz w:val="20"/>
          <w:szCs w:val="20"/>
          <w:lang w:val="en-US"/>
        </w:rPr>
        <w:t>(1979)</w:t>
      </w:r>
      <w:r w:rsidR="002B4E84" w:rsidRPr="002A1DFC">
        <w:rPr>
          <w:sz w:val="20"/>
          <w:szCs w:val="20"/>
          <w:lang w:val="en-US"/>
        </w:rPr>
        <w:t>,</w:t>
      </w:r>
      <w:r w:rsidR="00E160E7" w:rsidRPr="002A1DFC">
        <w:rPr>
          <w:sz w:val="20"/>
          <w:szCs w:val="20"/>
          <w:lang w:val="en-US"/>
        </w:rPr>
        <w:t xml:space="preserve"> Her</w:t>
      </w:r>
      <w:r w:rsidR="00AC3978">
        <w:rPr>
          <w:sz w:val="20"/>
          <w:szCs w:val="20"/>
          <w:lang w:val="en-US"/>
        </w:rPr>
        <w:t>r</w:t>
      </w:r>
      <w:r w:rsidR="00E160E7" w:rsidRPr="002A1DFC">
        <w:rPr>
          <w:sz w:val="20"/>
          <w:szCs w:val="20"/>
          <w:lang w:val="en-US"/>
        </w:rPr>
        <w:t xml:space="preserve">mann </w:t>
      </w:r>
      <w:r w:rsidR="00E160E7" w:rsidRPr="00AC3978">
        <w:rPr>
          <w:i/>
          <w:sz w:val="20"/>
          <w:szCs w:val="20"/>
          <w:lang w:val="en-US"/>
        </w:rPr>
        <w:t>et al.</w:t>
      </w:r>
      <w:r w:rsidR="00E160E7" w:rsidRPr="002A1DFC">
        <w:rPr>
          <w:sz w:val="20"/>
          <w:szCs w:val="20"/>
          <w:lang w:val="en-US"/>
        </w:rPr>
        <w:t xml:space="preserve"> </w:t>
      </w:r>
      <w:r w:rsidR="00407642" w:rsidRPr="002A1DFC">
        <w:rPr>
          <w:noProof/>
          <w:sz w:val="20"/>
          <w:szCs w:val="20"/>
          <w:lang w:val="en-US"/>
        </w:rPr>
        <w:t>(1990)</w:t>
      </w:r>
      <w:r w:rsidR="002B4E84" w:rsidRPr="002A1DFC">
        <w:rPr>
          <w:sz w:val="20"/>
          <w:szCs w:val="20"/>
          <w:lang w:val="en-US"/>
        </w:rPr>
        <w:t>,</w:t>
      </w:r>
      <w:r w:rsidR="00E160E7" w:rsidRPr="002A1DFC">
        <w:rPr>
          <w:sz w:val="20"/>
          <w:szCs w:val="20"/>
          <w:lang w:val="en-US"/>
        </w:rPr>
        <w:t xml:space="preserve"> </w:t>
      </w:r>
      <w:proofErr w:type="spellStart"/>
      <w:r w:rsidR="00E160E7" w:rsidRPr="002A1DFC">
        <w:rPr>
          <w:sz w:val="20"/>
          <w:szCs w:val="20"/>
          <w:lang w:val="en-US"/>
        </w:rPr>
        <w:t>Buikstra</w:t>
      </w:r>
      <w:proofErr w:type="spellEnd"/>
      <w:r w:rsidR="002B4E84" w:rsidRPr="002A1DFC">
        <w:rPr>
          <w:sz w:val="20"/>
          <w:szCs w:val="20"/>
          <w:lang w:val="en-US"/>
        </w:rPr>
        <w:t xml:space="preserve"> and </w:t>
      </w:r>
      <w:proofErr w:type="spellStart"/>
      <w:r w:rsidR="00E160E7" w:rsidRPr="002A1DFC">
        <w:rPr>
          <w:sz w:val="20"/>
          <w:szCs w:val="20"/>
          <w:lang w:val="en-US"/>
        </w:rPr>
        <w:t>Ubelaker</w:t>
      </w:r>
      <w:proofErr w:type="spellEnd"/>
      <w:r w:rsidR="00E160E7" w:rsidRPr="002A1DFC">
        <w:rPr>
          <w:sz w:val="20"/>
          <w:szCs w:val="20"/>
          <w:lang w:val="en-US"/>
        </w:rPr>
        <w:t xml:space="preserve"> </w:t>
      </w:r>
      <w:r w:rsidR="00407642" w:rsidRPr="002A1DFC">
        <w:rPr>
          <w:noProof/>
          <w:sz w:val="20"/>
          <w:szCs w:val="20"/>
          <w:lang w:val="en-US"/>
        </w:rPr>
        <w:t>(1994)</w:t>
      </w:r>
      <w:r w:rsidR="00E160E7" w:rsidRPr="002A1DFC">
        <w:rPr>
          <w:sz w:val="20"/>
          <w:szCs w:val="20"/>
          <w:lang w:val="en-US"/>
        </w:rPr>
        <w:t xml:space="preserve">. </w:t>
      </w:r>
      <w:r w:rsidR="001A519C" w:rsidRPr="002A1DFC">
        <w:rPr>
          <w:sz w:val="20"/>
          <w:szCs w:val="20"/>
          <w:lang w:val="en-US"/>
        </w:rPr>
        <w:t xml:space="preserve">The sex estimates were preferentially based on the hip girdle and the skull. In view of the poor preservation state of many individuals further bone features were taken into consideration, e.g. petrous bones, metric data, discriminant analyses of various skeletal elements, </w:t>
      </w:r>
      <w:r w:rsidR="001A519C" w:rsidRPr="002A1DFC">
        <w:rPr>
          <w:sz w:val="20"/>
          <w:szCs w:val="20"/>
          <w:lang w:val="en-US"/>
        </w:rPr>
        <w:lastRenderedPageBreak/>
        <w:t xml:space="preserve">general proportions and height ratios, </w:t>
      </w:r>
      <w:proofErr w:type="spellStart"/>
      <w:r w:rsidR="001A519C" w:rsidRPr="002A1DFC">
        <w:rPr>
          <w:sz w:val="20"/>
          <w:szCs w:val="20"/>
          <w:lang w:val="en-US"/>
        </w:rPr>
        <w:t>robusticity</w:t>
      </w:r>
      <w:proofErr w:type="spellEnd"/>
      <w:r w:rsidR="001A519C" w:rsidRPr="002A1DFC">
        <w:rPr>
          <w:sz w:val="20"/>
          <w:szCs w:val="20"/>
          <w:lang w:val="en-US"/>
        </w:rPr>
        <w:t xml:space="preserve"> or gracility and muscle markers based on</w:t>
      </w:r>
      <w:r w:rsidR="007A7E9A" w:rsidRPr="002A1DFC">
        <w:rPr>
          <w:sz w:val="20"/>
          <w:szCs w:val="20"/>
          <w:lang w:val="en-US"/>
        </w:rPr>
        <w:t xml:space="preserve"> (</w:t>
      </w:r>
      <w:r w:rsidR="001A519C" w:rsidRPr="002A1DFC">
        <w:rPr>
          <w:sz w:val="20"/>
          <w:szCs w:val="20"/>
          <w:lang w:val="en-US"/>
        </w:rPr>
        <w:t>among others</w:t>
      </w:r>
      <w:r w:rsidR="007A7E9A" w:rsidRPr="002A1DFC">
        <w:rPr>
          <w:sz w:val="20"/>
          <w:szCs w:val="20"/>
          <w:lang w:val="en-US"/>
        </w:rPr>
        <w:t>)</w:t>
      </w:r>
      <w:r w:rsidR="00E160E7" w:rsidRPr="002A1DFC">
        <w:rPr>
          <w:sz w:val="20"/>
          <w:szCs w:val="20"/>
          <w:lang w:val="en-US"/>
        </w:rPr>
        <w:t xml:space="preserve"> </w:t>
      </w:r>
      <w:proofErr w:type="spellStart"/>
      <w:r w:rsidR="00E160E7" w:rsidRPr="002A1DFC">
        <w:rPr>
          <w:sz w:val="20"/>
          <w:szCs w:val="20"/>
          <w:lang w:val="en-US"/>
        </w:rPr>
        <w:t>Bruzek</w:t>
      </w:r>
      <w:proofErr w:type="spellEnd"/>
      <w:r w:rsidR="00E160E7" w:rsidRPr="002A1DFC">
        <w:rPr>
          <w:sz w:val="20"/>
          <w:szCs w:val="20"/>
          <w:lang w:val="en-US"/>
        </w:rPr>
        <w:t xml:space="preserve"> </w:t>
      </w:r>
      <w:r w:rsidR="00407642" w:rsidRPr="002A1DFC">
        <w:rPr>
          <w:noProof/>
          <w:sz w:val="20"/>
          <w:szCs w:val="20"/>
          <w:lang w:val="en-US"/>
        </w:rPr>
        <w:t>(2002)</w:t>
      </w:r>
      <w:r w:rsidR="00C7681E" w:rsidRPr="002A1DFC">
        <w:rPr>
          <w:sz w:val="20"/>
          <w:szCs w:val="20"/>
          <w:lang w:val="en-US"/>
        </w:rPr>
        <w:t>,</w:t>
      </w:r>
      <w:r w:rsidR="00E160E7" w:rsidRPr="002A1DFC">
        <w:rPr>
          <w:sz w:val="20"/>
          <w:szCs w:val="20"/>
          <w:lang w:val="en-US"/>
        </w:rPr>
        <w:t xml:space="preserve"> </w:t>
      </w:r>
      <w:proofErr w:type="spellStart"/>
      <w:r w:rsidR="00E160E7" w:rsidRPr="002A1DFC">
        <w:rPr>
          <w:sz w:val="20"/>
          <w:szCs w:val="20"/>
          <w:lang w:val="en-US"/>
        </w:rPr>
        <w:t>Murail</w:t>
      </w:r>
      <w:proofErr w:type="spellEnd"/>
      <w:r w:rsidR="00E160E7" w:rsidRPr="002A1DFC">
        <w:rPr>
          <w:sz w:val="20"/>
          <w:szCs w:val="20"/>
          <w:lang w:val="en-US"/>
        </w:rPr>
        <w:t xml:space="preserve"> </w:t>
      </w:r>
      <w:r w:rsidR="00C7681E" w:rsidRPr="00AC3978">
        <w:rPr>
          <w:i/>
          <w:sz w:val="20"/>
          <w:szCs w:val="20"/>
          <w:lang w:val="en-US"/>
        </w:rPr>
        <w:t>et al.</w:t>
      </w:r>
      <w:r w:rsidR="00C7681E" w:rsidRPr="002A1DFC">
        <w:rPr>
          <w:sz w:val="20"/>
          <w:szCs w:val="20"/>
          <w:lang w:val="en-US"/>
        </w:rPr>
        <w:t xml:space="preserve"> </w:t>
      </w:r>
      <w:r w:rsidR="00407642" w:rsidRPr="002A1DFC">
        <w:rPr>
          <w:noProof/>
          <w:sz w:val="20"/>
          <w:szCs w:val="20"/>
          <w:lang w:val="en-US"/>
        </w:rPr>
        <w:t>(2005)</w:t>
      </w:r>
      <w:r w:rsidR="00C7681E" w:rsidRPr="002A1DFC">
        <w:rPr>
          <w:sz w:val="20"/>
          <w:szCs w:val="20"/>
          <w:lang w:val="en-US"/>
        </w:rPr>
        <w:t>,</w:t>
      </w:r>
      <w:r w:rsidR="00E160E7" w:rsidRPr="002A1DFC">
        <w:rPr>
          <w:sz w:val="20"/>
          <w:szCs w:val="20"/>
          <w:lang w:val="en-US"/>
        </w:rPr>
        <w:t xml:space="preserve"> </w:t>
      </w:r>
      <w:proofErr w:type="spellStart"/>
      <w:r w:rsidR="00E160E7" w:rsidRPr="002A1DFC">
        <w:rPr>
          <w:sz w:val="20"/>
          <w:szCs w:val="20"/>
          <w:lang w:val="en-US"/>
        </w:rPr>
        <w:t>Introna</w:t>
      </w:r>
      <w:proofErr w:type="spellEnd"/>
      <w:r w:rsidR="00E160E7" w:rsidRPr="002A1DFC">
        <w:rPr>
          <w:sz w:val="20"/>
          <w:szCs w:val="20"/>
          <w:lang w:val="en-US"/>
        </w:rPr>
        <w:t xml:space="preserve"> </w:t>
      </w:r>
      <w:r w:rsidR="00C7681E" w:rsidRPr="00AC3978">
        <w:rPr>
          <w:i/>
          <w:sz w:val="20"/>
          <w:szCs w:val="20"/>
          <w:lang w:val="en-US"/>
        </w:rPr>
        <w:t>et al.</w:t>
      </w:r>
      <w:r w:rsidR="00E160E7" w:rsidRPr="002A1DFC">
        <w:rPr>
          <w:sz w:val="20"/>
          <w:szCs w:val="20"/>
          <w:lang w:val="en-US"/>
        </w:rPr>
        <w:t xml:space="preserve"> </w:t>
      </w:r>
      <w:r w:rsidR="00407642" w:rsidRPr="002A1DFC">
        <w:rPr>
          <w:noProof/>
          <w:sz w:val="20"/>
          <w:szCs w:val="20"/>
          <w:lang w:val="en-US"/>
        </w:rPr>
        <w:t>(1997)</w:t>
      </w:r>
      <w:r w:rsidR="00C7681E" w:rsidRPr="002A1DFC">
        <w:rPr>
          <w:sz w:val="20"/>
          <w:szCs w:val="20"/>
          <w:lang w:val="en-US"/>
        </w:rPr>
        <w:t>,</w:t>
      </w:r>
      <w:r w:rsidR="00E160E7" w:rsidRPr="002A1DFC">
        <w:rPr>
          <w:sz w:val="20"/>
          <w:szCs w:val="20"/>
          <w:lang w:val="en-US"/>
        </w:rPr>
        <w:t xml:space="preserve"> </w:t>
      </w:r>
      <w:proofErr w:type="spellStart"/>
      <w:r w:rsidR="00E160E7" w:rsidRPr="002A1DFC">
        <w:rPr>
          <w:sz w:val="20"/>
          <w:szCs w:val="20"/>
          <w:lang w:val="en-US"/>
        </w:rPr>
        <w:t>Robling</w:t>
      </w:r>
      <w:proofErr w:type="spellEnd"/>
      <w:r w:rsidR="00C7681E" w:rsidRPr="002A1DFC">
        <w:rPr>
          <w:sz w:val="20"/>
          <w:szCs w:val="20"/>
          <w:lang w:val="en-US"/>
        </w:rPr>
        <w:t xml:space="preserve"> and </w:t>
      </w:r>
      <w:proofErr w:type="spellStart"/>
      <w:r w:rsidR="00E160E7" w:rsidRPr="002A1DFC">
        <w:rPr>
          <w:sz w:val="20"/>
          <w:szCs w:val="20"/>
          <w:lang w:val="en-US"/>
        </w:rPr>
        <w:t>Ubelaker</w:t>
      </w:r>
      <w:proofErr w:type="spellEnd"/>
      <w:r w:rsidR="00E160E7" w:rsidRPr="002A1DFC">
        <w:rPr>
          <w:sz w:val="20"/>
          <w:szCs w:val="20"/>
          <w:lang w:val="en-US"/>
        </w:rPr>
        <w:t xml:space="preserve"> </w:t>
      </w:r>
      <w:r w:rsidR="00407642" w:rsidRPr="002A1DFC">
        <w:rPr>
          <w:noProof/>
          <w:sz w:val="20"/>
          <w:szCs w:val="20"/>
          <w:lang w:val="en-US"/>
        </w:rPr>
        <w:t>(1997)</w:t>
      </w:r>
      <w:r w:rsidR="00C7681E" w:rsidRPr="002A1DFC">
        <w:rPr>
          <w:sz w:val="20"/>
          <w:szCs w:val="20"/>
          <w:lang w:val="en-US"/>
        </w:rPr>
        <w:t>,</w:t>
      </w:r>
      <w:r w:rsidR="00E160E7" w:rsidRPr="002A1DFC">
        <w:rPr>
          <w:sz w:val="20"/>
          <w:szCs w:val="20"/>
          <w:lang w:val="en-US"/>
        </w:rPr>
        <w:t xml:space="preserve"> Holman</w:t>
      </w:r>
      <w:r w:rsidR="00C7681E" w:rsidRPr="002A1DFC">
        <w:rPr>
          <w:sz w:val="20"/>
          <w:szCs w:val="20"/>
          <w:lang w:val="en-US"/>
        </w:rPr>
        <w:t xml:space="preserve"> and </w:t>
      </w:r>
      <w:r w:rsidR="00E160E7" w:rsidRPr="002A1DFC">
        <w:rPr>
          <w:sz w:val="20"/>
          <w:szCs w:val="20"/>
          <w:lang w:val="en-US"/>
        </w:rPr>
        <w:t xml:space="preserve">Bennett </w:t>
      </w:r>
      <w:r w:rsidR="00407642" w:rsidRPr="002A1DFC">
        <w:rPr>
          <w:noProof/>
          <w:sz w:val="20"/>
          <w:szCs w:val="20"/>
          <w:lang w:val="en-US"/>
        </w:rPr>
        <w:t>(1991)</w:t>
      </w:r>
      <w:r w:rsidR="00C7681E" w:rsidRPr="002A1DFC">
        <w:rPr>
          <w:sz w:val="20"/>
          <w:szCs w:val="20"/>
          <w:lang w:val="en-US"/>
        </w:rPr>
        <w:t>,</w:t>
      </w:r>
      <w:r w:rsidR="00E160E7" w:rsidRPr="002A1DFC">
        <w:rPr>
          <w:sz w:val="20"/>
          <w:szCs w:val="20"/>
          <w:lang w:val="en-US"/>
        </w:rPr>
        <w:t xml:space="preserve"> Ditch</w:t>
      </w:r>
      <w:r w:rsidR="00C7681E" w:rsidRPr="002A1DFC">
        <w:rPr>
          <w:sz w:val="20"/>
          <w:szCs w:val="20"/>
          <w:lang w:val="en-US"/>
        </w:rPr>
        <w:t xml:space="preserve"> and </w:t>
      </w:r>
      <w:r w:rsidR="00E160E7" w:rsidRPr="002A1DFC">
        <w:rPr>
          <w:sz w:val="20"/>
          <w:szCs w:val="20"/>
          <w:lang w:val="en-US"/>
        </w:rPr>
        <w:t xml:space="preserve">Rose </w:t>
      </w:r>
      <w:r w:rsidR="00407642" w:rsidRPr="002A1DFC">
        <w:rPr>
          <w:noProof/>
          <w:sz w:val="20"/>
          <w:szCs w:val="20"/>
          <w:lang w:val="en-US"/>
        </w:rPr>
        <w:t>(1972)</w:t>
      </w:r>
      <w:r w:rsidR="00C7681E" w:rsidRPr="002A1DFC">
        <w:rPr>
          <w:sz w:val="20"/>
          <w:szCs w:val="20"/>
          <w:lang w:val="en-US"/>
        </w:rPr>
        <w:t>,</w:t>
      </w:r>
      <w:r w:rsidR="00E160E7" w:rsidRPr="002A1DFC">
        <w:rPr>
          <w:sz w:val="20"/>
          <w:szCs w:val="20"/>
          <w:lang w:val="en-US"/>
        </w:rPr>
        <w:t xml:space="preserve"> Graw </w:t>
      </w:r>
      <w:r w:rsidR="00407642" w:rsidRPr="002A1DFC">
        <w:rPr>
          <w:noProof/>
          <w:sz w:val="20"/>
          <w:szCs w:val="20"/>
          <w:lang w:val="en-US"/>
        </w:rPr>
        <w:t>(2001)</w:t>
      </w:r>
      <w:r w:rsidR="00E160E7" w:rsidRPr="002A1DFC">
        <w:rPr>
          <w:sz w:val="20"/>
          <w:szCs w:val="20"/>
          <w:lang w:val="en-US"/>
        </w:rPr>
        <w:t>.</w:t>
      </w:r>
      <w:r w:rsidR="001A519C" w:rsidRPr="002A1DFC">
        <w:rPr>
          <w:sz w:val="20"/>
          <w:szCs w:val="20"/>
          <w:lang w:val="en-US"/>
        </w:rPr>
        <w:t xml:space="preserve"> Out of nine </w:t>
      </w:r>
      <w:proofErr w:type="spellStart"/>
      <w:r w:rsidR="001A519C" w:rsidRPr="002A1DFC">
        <w:rPr>
          <w:sz w:val="20"/>
          <w:szCs w:val="20"/>
          <w:lang w:val="en-US"/>
        </w:rPr>
        <w:t>aDNA</w:t>
      </w:r>
      <w:proofErr w:type="spellEnd"/>
      <w:r w:rsidR="001A519C" w:rsidRPr="002A1DFC">
        <w:rPr>
          <w:sz w:val="20"/>
          <w:szCs w:val="20"/>
          <w:lang w:val="en-US"/>
        </w:rPr>
        <w:t xml:space="preserve">-analyses, only one could confirm the morphological </w:t>
      </w:r>
      <w:r w:rsidRPr="002A1DFC">
        <w:rPr>
          <w:sz w:val="20"/>
          <w:szCs w:val="20"/>
          <w:lang w:val="en-US"/>
        </w:rPr>
        <w:t>sex-determination</w:t>
      </w:r>
      <w:r w:rsidR="001A519C" w:rsidRPr="002A1DFC">
        <w:rPr>
          <w:sz w:val="20"/>
          <w:szCs w:val="20"/>
          <w:lang w:val="en-US"/>
        </w:rPr>
        <w:t xml:space="preserve"> of an individual </w:t>
      </w:r>
      <w:r w:rsidR="00407642" w:rsidRPr="002A1DFC">
        <w:rPr>
          <w:sz w:val="20"/>
          <w:lang w:val="en-US"/>
        </w:rPr>
        <w:t xml:space="preserve">(Ind. 18/1, Wahl in </w:t>
      </w:r>
      <w:proofErr w:type="spellStart"/>
      <w:r w:rsidR="00407642" w:rsidRPr="002A1DFC">
        <w:rPr>
          <w:sz w:val="20"/>
          <w:lang w:val="en-US"/>
        </w:rPr>
        <w:t>Knöpke</w:t>
      </w:r>
      <w:proofErr w:type="spellEnd"/>
      <w:r w:rsidR="00407642" w:rsidRPr="002A1DFC">
        <w:rPr>
          <w:sz w:val="20"/>
          <w:lang w:val="en-US"/>
        </w:rPr>
        <w:t xml:space="preserve"> 2009</w:t>
      </w:r>
      <w:r w:rsidR="00582D48" w:rsidRPr="002A1DFC">
        <w:rPr>
          <w:sz w:val="20"/>
          <w:lang w:val="en-US"/>
        </w:rPr>
        <w:t>,</w:t>
      </w:r>
      <w:r w:rsidR="00407642" w:rsidRPr="002A1DFC">
        <w:rPr>
          <w:sz w:val="20"/>
          <w:lang w:val="en-US"/>
        </w:rPr>
        <w:t xml:space="preserve"> 341, footnote 15)</w:t>
      </w:r>
      <w:r w:rsidR="001A519C" w:rsidRPr="002A1DFC">
        <w:rPr>
          <w:sz w:val="20"/>
          <w:szCs w:val="20"/>
          <w:lang w:val="en-US"/>
        </w:rPr>
        <w:t>. Body height</w:t>
      </w:r>
      <w:r w:rsidR="002A13B7">
        <w:rPr>
          <w:sz w:val="20"/>
          <w:szCs w:val="20"/>
          <w:lang w:val="en-US"/>
        </w:rPr>
        <w:t>s</w:t>
      </w:r>
      <w:r w:rsidR="001A519C" w:rsidRPr="002A1DFC">
        <w:rPr>
          <w:sz w:val="20"/>
          <w:szCs w:val="20"/>
          <w:lang w:val="en-US"/>
        </w:rPr>
        <w:t xml:space="preserve"> </w:t>
      </w:r>
      <w:r w:rsidR="002A13B7">
        <w:rPr>
          <w:sz w:val="20"/>
          <w:szCs w:val="20"/>
          <w:lang w:val="en-US"/>
        </w:rPr>
        <w:t>were</w:t>
      </w:r>
      <w:r w:rsidR="002A13B7" w:rsidRPr="002A1DFC">
        <w:rPr>
          <w:sz w:val="20"/>
          <w:szCs w:val="20"/>
          <w:lang w:val="en-US"/>
        </w:rPr>
        <w:t xml:space="preserve"> </w:t>
      </w:r>
      <w:r w:rsidR="001A519C" w:rsidRPr="002A1DFC">
        <w:rPr>
          <w:sz w:val="20"/>
          <w:szCs w:val="20"/>
          <w:lang w:val="en-US"/>
        </w:rPr>
        <w:t xml:space="preserve">assessed according to the reference tables of </w:t>
      </w:r>
      <w:proofErr w:type="spellStart"/>
      <w:r w:rsidR="00E160E7" w:rsidRPr="002A1DFC">
        <w:rPr>
          <w:sz w:val="20"/>
          <w:szCs w:val="20"/>
          <w:lang w:val="en-US"/>
        </w:rPr>
        <w:t>Breitinger</w:t>
      </w:r>
      <w:proofErr w:type="spellEnd"/>
      <w:r w:rsidR="00E160E7" w:rsidRPr="002A1DFC">
        <w:rPr>
          <w:sz w:val="20"/>
          <w:szCs w:val="20"/>
          <w:lang w:val="en-US"/>
        </w:rPr>
        <w:t xml:space="preserve"> </w:t>
      </w:r>
      <w:r w:rsidR="00407642" w:rsidRPr="002A1DFC">
        <w:rPr>
          <w:noProof/>
          <w:sz w:val="20"/>
          <w:szCs w:val="20"/>
          <w:lang w:val="en-US"/>
        </w:rPr>
        <w:t>(1937)</w:t>
      </w:r>
      <w:r w:rsidR="00C7681E" w:rsidRPr="002A1DFC">
        <w:rPr>
          <w:sz w:val="20"/>
          <w:szCs w:val="20"/>
          <w:lang w:val="en-US"/>
        </w:rPr>
        <w:t>,</w:t>
      </w:r>
      <w:r w:rsidR="00E160E7" w:rsidRPr="002A1DFC">
        <w:rPr>
          <w:sz w:val="20"/>
          <w:szCs w:val="20"/>
          <w:lang w:val="en-US"/>
        </w:rPr>
        <w:t xml:space="preserve"> Olivier </w:t>
      </w:r>
      <w:r w:rsidR="00C7681E" w:rsidRPr="00AC3978">
        <w:rPr>
          <w:i/>
          <w:sz w:val="20"/>
          <w:szCs w:val="20"/>
          <w:lang w:val="en-US"/>
        </w:rPr>
        <w:t>et al.</w:t>
      </w:r>
      <w:r w:rsidR="00E160E7" w:rsidRPr="002A1DFC">
        <w:rPr>
          <w:sz w:val="20"/>
          <w:szCs w:val="20"/>
          <w:lang w:val="en-US"/>
        </w:rPr>
        <w:t xml:space="preserve"> </w:t>
      </w:r>
      <w:r w:rsidR="00407642" w:rsidRPr="002A1DFC">
        <w:rPr>
          <w:noProof/>
          <w:sz w:val="20"/>
          <w:szCs w:val="20"/>
          <w:lang w:val="en-US"/>
        </w:rPr>
        <w:t>(1978)</w:t>
      </w:r>
      <w:r w:rsidR="00E160E7" w:rsidRPr="002A1DFC">
        <w:rPr>
          <w:sz w:val="20"/>
          <w:szCs w:val="20"/>
          <w:lang w:val="en-US"/>
        </w:rPr>
        <w:t xml:space="preserve">, </w:t>
      </w:r>
      <w:proofErr w:type="spellStart"/>
      <w:r w:rsidR="00E160E7" w:rsidRPr="002A1DFC">
        <w:rPr>
          <w:sz w:val="20"/>
          <w:szCs w:val="20"/>
          <w:lang w:val="en-US"/>
        </w:rPr>
        <w:t>Rösing</w:t>
      </w:r>
      <w:proofErr w:type="spellEnd"/>
      <w:r w:rsidR="00E160E7" w:rsidRPr="002A1DFC">
        <w:rPr>
          <w:sz w:val="20"/>
          <w:szCs w:val="20"/>
          <w:lang w:val="en-US"/>
        </w:rPr>
        <w:t xml:space="preserve"> </w:t>
      </w:r>
      <w:r w:rsidR="00407642" w:rsidRPr="002A1DFC">
        <w:rPr>
          <w:noProof/>
          <w:sz w:val="20"/>
          <w:szCs w:val="20"/>
          <w:lang w:val="en-US"/>
        </w:rPr>
        <w:t>(1988)</w:t>
      </w:r>
      <w:r w:rsidR="00C7681E" w:rsidRPr="002A1DFC">
        <w:rPr>
          <w:sz w:val="20"/>
          <w:szCs w:val="20"/>
          <w:lang w:val="en-US"/>
        </w:rPr>
        <w:t>,</w:t>
      </w:r>
      <w:r w:rsidR="001A519C" w:rsidRPr="002A1DFC">
        <w:rPr>
          <w:sz w:val="20"/>
          <w:szCs w:val="20"/>
          <w:lang w:val="en-US"/>
        </w:rPr>
        <w:t xml:space="preserve"> and</w:t>
      </w:r>
      <w:r w:rsidR="00E160E7" w:rsidRPr="002A1DFC">
        <w:rPr>
          <w:sz w:val="20"/>
          <w:szCs w:val="20"/>
          <w:lang w:val="en-US"/>
        </w:rPr>
        <w:t xml:space="preserve"> Jacobs </w:t>
      </w:r>
      <w:r w:rsidR="00407642" w:rsidRPr="002A1DFC">
        <w:rPr>
          <w:noProof/>
          <w:sz w:val="20"/>
          <w:szCs w:val="20"/>
          <w:lang w:val="en-US"/>
        </w:rPr>
        <w:t>(1992)</w:t>
      </w:r>
      <w:r w:rsidR="00E160E7" w:rsidRPr="002A1DFC">
        <w:rPr>
          <w:sz w:val="20"/>
          <w:szCs w:val="20"/>
          <w:lang w:val="en-US"/>
        </w:rPr>
        <w:t xml:space="preserve">. </w:t>
      </w:r>
    </w:p>
    <w:p w14:paraId="2DA3016B" w14:textId="03B5E483" w:rsidR="003F274A" w:rsidRPr="002A1DFC" w:rsidRDefault="009D7719" w:rsidP="00965A19">
      <w:pPr>
        <w:jc w:val="both"/>
        <w:rPr>
          <w:sz w:val="20"/>
          <w:szCs w:val="20"/>
          <w:lang w:val="en-US"/>
        </w:rPr>
      </w:pPr>
      <w:r w:rsidRPr="002A1DFC">
        <w:rPr>
          <w:b/>
          <w:sz w:val="20"/>
          <w:szCs w:val="20"/>
          <w:lang w:val="en-US"/>
        </w:rPr>
        <w:t xml:space="preserve">Osteological </w:t>
      </w:r>
      <w:r w:rsidR="00E160E7" w:rsidRPr="002A1DFC">
        <w:rPr>
          <w:b/>
          <w:sz w:val="20"/>
          <w:szCs w:val="20"/>
          <w:lang w:val="en-US"/>
        </w:rPr>
        <w:t>data-analyses</w:t>
      </w:r>
      <w:r w:rsidR="00E160E7" w:rsidRPr="002A1DFC">
        <w:rPr>
          <w:sz w:val="20"/>
          <w:szCs w:val="20"/>
          <w:lang w:val="en-US"/>
        </w:rPr>
        <w:t xml:space="preserve">: </w:t>
      </w:r>
      <w:r w:rsidR="007A7E9A" w:rsidRPr="002A1DFC">
        <w:rPr>
          <w:sz w:val="20"/>
          <w:szCs w:val="20"/>
          <w:lang w:val="en-US"/>
        </w:rPr>
        <w:t xml:space="preserve">The analyses are presented </w:t>
      </w:r>
      <w:r w:rsidR="003F274A" w:rsidRPr="002A1DFC">
        <w:rPr>
          <w:sz w:val="20"/>
          <w:szCs w:val="20"/>
          <w:lang w:val="en-US"/>
        </w:rPr>
        <w:t xml:space="preserve">in </w:t>
      </w:r>
      <w:r w:rsidR="002A13B7">
        <w:rPr>
          <w:sz w:val="20"/>
          <w:szCs w:val="20"/>
          <w:lang w:val="en-US"/>
        </w:rPr>
        <w:t xml:space="preserve">a </w:t>
      </w:r>
      <w:r w:rsidR="003F274A" w:rsidRPr="002A1DFC">
        <w:rPr>
          <w:sz w:val="20"/>
          <w:szCs w:val="20"/>
          <w:lang w:val="en-US"/>
        </w:rPr>
        <w:t>separate section at the end of the text part</w:t>
      </w:r>
      <w:r w:rsidR="00606BAB" w:rsidRPr="002A1DFC">
        <w:rPr>
          <w:sz w:val="20"/>
          <w:szCs w:val="20"/>
          <w:lang w:val="en-US"/>
        </w:rPr>
        <w:t xml:space="preserve"> </w:t>
      </w:r>
      <w:r w:rsidR="00407642" w:rsidRPr="002A1DFC">
        <w:rPr>
          <w:sz w:val="20"/>
          <w:lang w:val="en-US"/>
        </w:rPr>
        <w:t xml:space="preserve">(Wahl in </w:t>
      </w:r>
      <w:proofErr w:type="spellStart"/>
      <w:r w:rsidR="00407642" w:rsidRPr="002A1DFC">
        <w:rPr>
          <w:sz w:val="20"/>
          <w:lang w:val="en-US"/>
        </w:rPr>
        <w:t>Knöpke</w:t>
      </w:r>
      <w:proofErr w:type="spellEnd"/>
      <w:r w:rsidR="00407642" w:rsidRPr="002A1DFC">
        <w:rPr>
          <w:sz w:val="20"/>
          <w:lang w:val="en-US"/>
        </w:rPr>
        <w:t xml:space="preserve"> 2009</w:t>
      </w:r>
      <w:r w:rsidR="00582D48" w:rsidRPr="002A1DFC">
        <w:rPr>
          <w:sz w:val="20"/>
          <w:lang w:val="en-US"/>
        </w:rPr>
        <w:t>,</w:t>
      </w:r>
      <w:r w:rsidR="00407642" w:rsidRPr="002A1DFC">
        <w:rPr>
          <w:sz w:val="20"/>
          <w:lang w:val="en-US"/>
        </w:rPr>
        <w:t xml:space="preserve"> 339-349)</w:t>
      </w:r>
      <w:r w:rsidR="00D616D4" w:rsidRPr="002A1DFC">
        <w:rPr>
          <w:sz w:val="20"/>
          <w:szCs w:val="20"/>
          <w:lang w:val="en-US"/>
        </w:rPr>
        <w:t>.</w:t>
      </w:r>
      <w:r w:rsidR="001A519C" w:rsidRPr="002A1DFC">
        <w:rPr>
          <w:sz w:val="20"/>
          <w:szCs w:val="20"/>
          <w:lang w:val="en-US"/>
        </w:rPr>
        <w:t xml:space="preserve"> </w:t>
      </w:r>
      <w:r w:rsidR="007A7E9A" w:rsidRPr="002A1DFC">
        <w:rPr>
          <w:sz w:val="20"/>
          <w:szCs w:val="20"/>
          <w:lang w:val="en-US"/>
        </w:rPr>
        <w:t>It is mentioned</w:t>
      </w:r>
      <w:r w:rsidR="001A519C" w:rsidRPr="002A1DFC">
        <w:rPr>
          <w:sz w:val="20"/>
          <w:szCs w:val="20"/>
          <w:lang w:val="en-US"/>
        </w:rPr>
        <w:t xml:space="preserve"> that the </w:t>
      </w:r>
      <w:r w:rsidRPr="002A1DFC">
        <w:rPr>
          <w:sz w:val="20"/>
          <w:szCs w:val="20"/>
          <w:lang w:val="en-US"/>
        </w:rPr>
        <w:t xml:space="preserve">osteological </w:t>
      </w:r>
      <w:r w:rsidR="001A519C" w:rsidRPr="002A1DFC">
        <w:rPr>
          <w:sz w:val="20"/>
          <w:szCs w:val="20"/>
          <w:lang w:val="en-US"/>
        </w:rPr>
        <w:t xml:space="preserve">analyses are not completed and that the latter </w:t>
      </w:r>
      <w:r w:rsidR="00D64430" w:rsidRPr="002A1DFC">
        <w:rPr>
          <w:sz w:val="20"/>
          <w:szCs w:val="20"/>
          <w:lang w:val="en-US"/>
        </w:rPr>
        <w:t>shall</w:t>
      </w:r>
      <w:r w:rsidR="001A519C" w:rsidRPr="002A1DFC">
        <w:rPr>
          <w:sz w:val="20"/>
          <w:szCs w:val="20"/>
          <w:lang w:val="en-US"/>
        </w:rPr>
        <w:t xml:space="preserve"> be published separately (state of 2009). The final sex estimat</w:t>
      </w:r>
      <w:r w:rsidR="002A13B7">
        <w:rPr>
          <w:sz w:val="20"/>
          <w:szCs w:val="20"/>
          <w:lang w:val="en-US"/>
        </w:rPr>
        <w:t>es</w:t>
      </w:r>
      <w:r w:rsidR="001A519C" w:rsidRPr="002A1DFC">
        <w:rPr>
          <w:sz w:val="20"/>
          <w:szCs w:val="20"/>
          <w:lang w:val="en-US"/>
        </w:rPr>
        <w:t xml:space="preserve"> </w:t>
      </w:r>
      <w:r w:rsidR="00D64430" w:rsidRPr="002A1DFC">
        <w:rPr>
          <w:sz w:val="20"/>
          <w:szCs w:val="20"/>
          <w:lang w:val="en-US"/>
        </w:rPr>
        <w:t xml:space="preserve">feature male individuals only (following the reliability categories: male, rather male, male?) and </w:t>
      </w:r>
      <w:r w:rsidR="001A519C" w:rsidRPr="002A1DFC">
        <w:rPr>
          <w:sz w:val="20"/>
          <w:szCs w:val="20"/>
          <w:lang w:val="en-US"/>
        </w:rPr>
        <w:t xml:space="preserve">are featured in a table by grave and individual, including age and body height estimates </w:t>
      </w:r>
      <w:r w:rsidR="00407642" w:rsidRPr="002A1DFC">
        <w:rPr>
          <w:sz w:val="20"/>
          <w:lang w:val="en-US"/>
        </w:rPr>
        <w:t xml:space="preserve">(Wahl in </w:t>
      </w:r>
      <w:proofErr w:type="spellStart"/>
      <w:r w:rsidR="00407642" w:rsidRPr="002A1DFC">
        <w:rPr>
          <w:sz w:val="20"/>
          <w:lang w:val="en-US"/>
        </w:rPr>
        <w:t>Knöpke</w:t>
      </w:r>
      <w:proofErr w:type="spellEnd"/>
      <w:r w:rsidR="00407642" w:rsidRPr="002A1DFC">
        <w:rPr>
          <w:sz w:val="20"/>
          <w:lang w:val="en-US"/>
        </w:rPr>
        <w:t xml:space="preserve"> 2009</w:t>
      </w:r>
      <w:r w:rsidR="00582D48" w:rsidRPr="002A1DFC">
        <w:rPr>
          <w:sz w:val="20"/>
          <w:lang w:val="en-US"/>
        </w:rPr>
        <w:t>,</w:t>
      </w:r>
      <w:r w:rsidR="00407642" w:rsidRPr="002A1DFC">
        <w:rPr>
          <w:sz w:val="20"/>
          <w:lang w:val="en-US"/>
        </w:rPr>
        <w:t xml:space="preserve"> 339, tab. 1)</w:t>
      </w:r>
      <w:r w:rsidR="00D64430" w:rsidRPr="002A1DFC">
        <w:rPr>
          <w:sz w:val="20"/>
          <w:szCs w:val="20"/>
          <w:lang w:val="en-US"/>
        </w:rPr>
        <w:t>.</w:t>
      </w:r>
      <w:r w:rsidR="00CA3F4F" w:rsidRPr="002A1DFC">
        <w:rPr>
          <w:sz w:val="20"/>
          <w:szCs w:val="20"/>
          <w:lang w:val="en-US"/>
        </w:rPr>
        <w:t xml:space="preserve"> J.</w:t>
      </w:r>
      <w:r w:rsidR="00D64430" w:rsidRPr="002A1DFC">
        <w:rPr>
          <w:sz w:val="20"/>
          <w:szCs w:val="20"/>
          <w:lang w:val="en-US"/>
        </w:rPr>
        <w:t xml:space="preserve"> Wahl underlines, that</w:t>
      </w:r>
      <w:r w:rsidR="007A7E9A" w:rsidRPr="002A1DFC">
        <w:rPr>
          <w:sz w:val="20"/>
          <w:szCs w:val="20"/>
          <w:lang w:val="en-US"/>
        </w:rPr>
        <w:t xml:space="preserve"> of</w:t>
      </w:r>
      <w:r w:rsidR="00D64430" w:rsidRPr="002A1DFC">
        <w:rPr>
          <w:sz w:val="20"/>
          <w:szCs w:val="20"/>
          <w:lang w:val="en-US"/>
        </w:rPr>
        <w:t xml:space="preserve"> the 13 individuals of indeterminate sex, none may be considered female without a doubt. Of the 13 individuals, five did not allow for </w:t>
      </w:r>
      <w:r w:rsidR="008F4666" w:rsidRPr="002A1DFC">
        <w:rPr>
          <w:sz w:val="20"/>
          <w:szCs w:val="20"/>
          <w:lang w:val="en-US"/>
        </w:rPr>
        <w:t>sex-determination</w:t>
      </w:r>
      <w:r w:rsidR="00D64430" w:rsidRPr="002A1DFC">
        <w:rPr>
          <w:sz w:val="20"/>
          <w:szCs w:val="20"/>
          <w:lang w:val="en-US"/>
        </w:rPr>
        <w:t xml:space="preserve"> due to the lack of bone preservation. The remaining eight individuals either do not feature (clear) sex dimorphisms</w:t>
      </w:r>
      <w:r w:rsidR="003C06AD" w:rsidRPr="002A1DFC">
        <w:rPr>
          <w:sz w:val="20"/>
          <w:szCs w:val="20"/>
          <w:lang w:val="en-US"/>
        </w:rPr>
        <w:t xml:space="preserve"> (5 individuals)</w:t>
      </w:r>
      <w:r w:rsidR="00D64430" w:rsidRPr="002A1DFC">
        <w:rPr>
          <w:sz w:val="20"/>
          <w:szCs w:val="20"/>
          <w:lang w:val="en-US"/>
        </w:rPr>
        <w:t xml:space="preserve"> or may, due to gracility indexes, represent female individuals</w:t>
      </w:r>
      <w:r w:rsidR="003C06AD" w:rsidRPr="002A1DFC">
        <w:rPr>
          <w:sz w:val="20"/>
          <w:szCs w:val="20"/>
          <w:lang w:val="en-US"/>
        </w:rPr>
        <w:t xml:space="preserve"> (3 individuals)</w:t>
      </w:r>
      <w:r w:rsidR="00D64430" w:rsidRPr="002A1DFC">
        <w:rPr>
          <w:sz w:val="20"/>
          <w:szCs w:val="20"/>
          <w:lang w:val="en-US"/>
        </w:rPr>
        <w:t xml:space="preserve">. The association of (archaeological) </w:t>
      </w:r>
      <w:r w:rsidR="00B76CCE" w:rsidRPr="002A1DFC">
        <w:rPr>
          <w:sz w:val="20"/>
          <w:szCs w:val="20"/>
          <w:lang w:val="en-US"/>
        </w:rPr>
        <w:t xml:space="preserve">masculine </w:t>
      </w:r>
      <w:r w:rsidR="00D64430" w:rsidRPr="002A1DFC">
        <w:rPr>
          <w:sz w:val="20"/>
          <w:szCs w:val="20"/>
          <w:lang w:val="en-US"/>
        </w:rPr>
        <w:t xml:space="preserve">attributes with two </w:t>
      </w:r>
      <w:r w:rsidR="003C06AD" w:rsidRPr="002A1DFC">
        <w:rPr>
          <w:sz w:val="20"/>
          <w:szCs w:val="20"/>
          <w:lang w:val="en-US"/>
        </w:rPr>
        <w:t xml:space="preserve">indeterminate </w:t>
      </w:r>
      <w:r w:rsidR="00D64430" w:rsidRPr="002A1DFC">
        <w:rPr>
          <w:sz w:val="20"/>
          <w:szCs w:val="20"/>
          <w:lang w:val="en-US"/>
        </w:rPr>
        <w:t xml:space="preserve">individuals (Ind. 18/2 and 21/2) lead </w:t>
      </w:r>
      <w:r w:rsidR="00A561E1" w:rsidRPr="002A1DFC">
        <w:rPr>
          <w:sz w:val="20"/>
          <w:szCs w:val="20"/>
          <w:lang w:val="en-US"/>
        </w:rPr>
        <w:t>Wahl</w:t>
      </w:r>
      <w:r w:rsidR="00D64430" w:rsidRPr="002A1DFC">
        <w:rPr>
          <w:sz w:val="20"/>
          <w:szCs w:val="20"/>
          <w:lang w:val="en-US"/>
        </w:rPr>
        <w:t xml:space="preserve"> to the assumption that these </w:t>
      </w:r>
      <w:r w:rsidR="003C06AD" w:rsidRPr="002A1DFC">
        <w:rPr>
          <w:sz w:val="20"/>
          <w:szCs w:val="20"/>
          <w:lang w:val="en-US"/>
        </w:rPr>
        <w:t>would rather</w:t>
      </w:r>
      <w:r w:rsidR="00D64430" w:rsidRPr="002A1DFC">
        <w:rPr>
          <w:sz w:val="20"/>
          <w:szCs w:val="20"/>
          <w:lang w:val="en-US"/>
        </w:rPr>
        <w:t xml:space="preserve"> represent (biological) male ind</w:t>
      </w:r>
      <w:r w:rsidR="003C06AD" w:rsidRPr="002A1DFC">
        <w:rPr>
          <w:sz w:val="20"/>
          <w:szCs w:val="20"/>
          <w:lang w:val="en-US"/>
        </w:rPr>
        <w:t>i</w:t>
      </w:r>
      <w:r w:rsidR="00D64430" w:rsidRPr="002A1DFC">
        <w:rPr>
          <w:sz w:val="20"/>
          <w:szCs w:val="20"/>
          <w:lang w:val="en-US"/>
        </w:rPr>
        <w:t>viduals.</w:t>
      </w:r>
      <w:r w:rsidR="003C06AD" w:rsidRPr="002A1DFC">
        <w:rPr>
          <w:sz w:val="20"/>
          <w:szCs w:val="20"/>
          <w:lang w:val="en-US"/>
        </w:rPr>
        <w:t xml:space="preserve"> In view of the sexual imbalance of the deceased population of </w:t>
      </w:r>
      <w:proofErr w:type="spellStart"/>
      <w:r w:rsidR="003C06AD" w:rsidRPr="002A1DFC">
        <w:rPr>
          <w:sz w:val="20"/>
          <w:szCs w:val="20"/>
          <w:lang w:val="en-US"/>
        </w:rPr>
        <w:t>Neckarsulm</w:t>
      </w:r>
      <w:proofErr w:type="spellEnd"/>
      <w:r w:rsidR="003C06AD" w:rsidRPr="002A1DFC">
        <w:rPr>
          <w:sz w:val="20"/>
          <w:szCs w:val="20"/>
          <w:lang w:val="en-US"/>
        </w:rPr>
        <w:t xml:space="preserve">, Wahl supports the hypothesis of a </w:t>
      </w:r>
      <w:r w:rsidR="007A7E9A" w:rsidRPr="002A1DFC">
        <w:rPr>
          <w:sz w:val="20"/>
          <w:szCs w:val="20"/>
          <w:lang w:val="en-US"/>
        </w:rPr>
        <w:t>‘</w:t>
      </w:r>
      <w:r w:rsidR="003C06AD" w:rsidRPr="002A1DFC">
        <w:rPr>
          <w:sz w:val="20"/>
          <w:szCs w:val="20"/>
          <w:lang w:val="en-US"/>
        </w:rPr>
        <w:t>male</w:t>
      </w:r>
      <w:r w:rsidR="007A7E9A" w:rsidRPr="002A1DFC">
        <w:rPr>
          <w:sz w:val="20"/>
          <w:szCs w:val="20"/>
          <w:lang w:val="en-US"/>
        </w:rPr>
        <w:t>-</w:t>
      </w:r>
      <w:r w:rsidR="00CA3F4F" w:rsidRPr="002A1DFC">
        <w:rPr>
          <w:sz w:val="20"/>
          <w:szCs w:val="20"/>
          <w:lang w:val="en-US"/>
        </w:rPr>
        <w:t>only</w:t>
      </w:r>
      <w:r w:rsidR="007A7E9A" w:rsidRPr="002A1DFC">
        <w:rPr>
          <w:sz w:val="20"/>
          <w:szCs w:val="20"/>
          <w:lang w:val="en-US"/>
        </w:rPr>
        <w:t>’</w:t>
      </w:r>
      <w:r w:rsidR="00CA3F4F" w:rsidRPr="002A1DFC">
        <w:rPr>
          <w:sz w:val="20"/>
          <w:szCs w:val="20"/>
          <w:lang w:val="en-US"/>
        </w:rPr>
        <w:t xml:space="preserve"> </w:t>
      </w:r>
      <w:r w:rsidR="003C06AD" w:rsidRPr="002A1DFC">
        <w:rPr>
          <w:sz w:val="20"/>
          <w:szCs w:val="20"/>
          <w:lang w:val="en-US"/>
        </w:rPr>
        <w:t xml:space="preserve">burial site. </w:t>
      </w:r>
    </w:p>
    <w:p w14:paraId="0434CE0E" w14:textId="014D70C8" w:rsidR="00790AD0" w:rsidRPr="002A1DFC" w:rsidRDefault="008F4666" w:rsidP="00965A19">
      <w:pPr>
        <w:jc w:val="both"/>
        <w:rPr>
          <w:sz w:val="20"/>
          <w:szCs w:val="20"/>
          <w:lang w:val="en-US"/>
        </w:rPr>
      </w:pPr>
      <w:r w:rsidRPr="002A1DFC">
        <w:rPr>
          <w:b/>
          <w:sz w:val="20"/>
          <w:szCs w:val="20"/>
          <w:lang w:val="en-US"/>
        </w:rPr>
        <w:t>Gender-determination</w:t>
      </w:r>
      <w:r w:rsidR="00E160E7" w:rsidRPr="002A1DFC">
        <w:rPr>
          <w:b/>
          <w:sz w:val="20"/>
          <w:szCs w:val="20"/>
          <w:lang w:val="en-US"/>
        </w:rPr>
        <w:t xml:space="preserve"> methods</w:t>
      </w:r>
      <w:r w:rsidR="00E160E7" w:rsidRPr="002A1DFC">
        <w:rPr>
          <w:sz w:val="20"/>
          <w:szCs w:val="20"/>
          <w:lang w:val="en-US"/>
        </w:rPr>
        <w:t>:</w:t>
      </w:r>
      <w:r w:rsidR="0065095E" w:rsidRPr="002A1DFC">
        <w:rPr>
          <w:sz w:val="20"/>
          <w:szCs w:val="20"/>
          <w:lang w:val="en-US"/>
        </w:rPr>
        <w:t xml:space="preserve"> </w:t>
      </w:r>
      <w:proofErr w:type="spellStart"/>
      <w:r w:rsidR="002A13B7">
        <w:rPr>
          <w:sz w:val="20"/>
          <w:szCs w:val="20"/>
          <w:lang w:val="en-US"/>
        </w:rPr>
        <w:t>Knöpke</w:t>
      </w:r>
      <w:proofErr w:type="spellEnd"/>
      <w:r w:rsidR="002A13B7">
        <w:rPr>
          <w:sz w:val="20"/>
          <w:szCs w:val="20"/>
          <w:lang w:val="en-US"/>
        </w:rPr>
        <w:t xml:space="preserve"> refers (</w:t>
      </w:r>
      <w:r w:rsidR="002A13B7" w:rsidRPr="002A1DFC">
        <w:rPr>
          <w:sz w:val="20"/>
          <w:szCs w:val="20"/>
          <w:lang w:val="en-US"/>
        </w:rPr>
        <w:t>with no specific indication of literature</w:t>
      </w:r>
      <w:r w:rsidR="002A13B7">
        <w:rPr>
          <w:sz w:val="20"/>
          <w:szCs w:val="20"/>
          <w:lang w:val="en-US"/>
        </w:rPr>
        <w:t>)</w:t>
      </w:r>
      <w:r w:rsidR="002A13B7" w:rsidRPr="002A1DFC">
        <w:rPr>
          <w:sz w:val="20"/>
          <w:szCs w:val="20"/>
          <w:lang w:val="en-US"/>
        </w:rPr>
        <w:t xml:space="preserve"> </w:t>
      </w:r>
      <w:r w:rsidR="002A13B7">
        <w:rPr>
          <w:sz w:val="20"/>
          <w:szCs w:val="20"/>
          <w:lang w:val="en-US"/>
        </w:rPr>
        <w:t>to the</w:t>
      </w:r>
      <w:r w:rsidR="00780CD8" w:rsidRPr="002A1DFC">
        <w:rPr>
          <w:sz w:val="20"/>
          <w:szCs w:val="20"/>
          <w:lang w:val="en-US"/>
        </w:rPr>
        <w:t xml:space="preserve"> </w:t>
      </w:r>
      <w:r w:rsidR="0065095E" w:rsidRPr="002A1DFC">
        <w:rPr>
          <w:sz w:val="20"/>
          <w:szCs w:val="20"/>
          <w:lang w:val="en-US"/>
        </w:rPr>
        <w:t xml:space="preserve">general knowledge of </w:t>
      </w:r>
      <w:r w:rsidR="002A13B7">
        <w:rPr>
          <w:sz w:val="20"/>
          <w:szCs w:val="20"/>
          <w:lang w:val="en-US"/>
        </w:rPr>
        <w:t xml:space="preserve">gendered attributes that are </w:t>
      </w:r>
      <w:r w:rsidR="0065095E" w:rsidRPr="002A1DFC">
        <w:rPr>
          <w:sz w:val="20"/>
          <w:szCs w:val="20"/>
          <w:lang w:val="en-US"/>
        </w:rPr>
        <w:t xml:space="preserve">common for the Urnfield period </w:t>
      </w:r>
      <w:r w:rsidR="00407642" w:rsidRPr="002A1DFC">
        <w:rPr>
          <w:sz w:val="20"/>
          <w:lang w:val="en-US"/>
        </w:rPr>
        <w:t>(</w:t>
      </w:r>
      <w:proofErr w:type="spellStart"/>
      <w:r w:rsidR="00407642" w:rsidRPr="002A1DFC">
        <w:rPr>
          <w:sz w:val="20"/>
          <w:lang w:val="en-US"/>
        </w:rPr>
        <w:t>Knöpke</w:t>
      </w:r>
      <w:proofErr w:type="spellEnd"/>
      <w:r w:rsidR="00407642" w:rsidRPr="002A1DFC">
        <w:rPr>
          <w:sz w:val="20"/>
          <w:lang w:val="en-US"/>
        </w:rPr>
        <w:t xml:space="preserve"> 2009</w:t>
      </w:r>
      <w:r w:rsidR="00582D48" w:rsidRPr="002A1DFC">
        <w:rPr>
          <w:sz w:val="20"/>
          <w:lang w:val="en-US"/>
        </w:rPr>
        <w:t>,</w:t>
      </w:r>
      <w:r w:rsidR="00407642" w:rsidRPr="002A1DFC">
        <w:rPr>
          <w:sz w:val="20"/>
          <w:lang w:val="en-US"/>
        </w:rPr>
        <w:t xml:space="preserve"> 45)</w:t>
      </w:r>
      <w:r w:rsidR="0065095E" w:rsidRPr="002A1DFC">
        <w:rPr>
          <w:sz w:val="20"/>
          <w:szCs w:val="20"/>
          <w:lang w:val="en-US"/>
        </w:rPr>
        <w:t xml:space="preserve">. </w:t>
      </w:r>
    </w:p>
    <w:p w14:paraId="1815380A" w14:textId="0852D30C" w:rsidR="00A01A05" w:rsidRPr="002A1DFC" w:rsidRDefault="00790AD0" w:rsidP="00965A19">
      <w:pPr>
        <w:jc w:val="both"/>
        <w:rPr>
          <w:sz w:val="20"/>
          <w:szCs w:val="20"/>
          <w:lang w:val="en-US"/>
        </w:rPr>
      </w:pPr>
      <w:r w:rsidRPr="002A1DFC">
        <w:rPr>
          <w:b/>
          <w:sz w:val="20"/>
          <w:szCs w:val="20"/>
          <w:lang w:val="en-US"/>
        </w:rPr>
        <w:t>Gender</w:t>
      </w:r>
      <w:r w:rsidR="008F4666" w:rsidRPr="002A1DFC">
        <w:rPr>
          <w:b/>
          <w:sz w:val="20"/>
          <w:szCs w:val="20"/>
          <w:lang w:val="en-US"/>
        </w:rPr>
        <w:t>-</w:t>
      </w:r>
      <w:r w:rsidRPr="002A1DFC">
        <w:rPr>
          <w:b/>
          <w:sz w:val="20"/>
          <w:szCs w:val="20"/>
          <w:lang w:val="en-US"/>
        </w:rPr>
        <w:t>data</w:t>
      </w:r>
      <w:r w:rsidR="008F4666" w:rsidRPr="002A1DFC">
        <w:rPr>
          <w:b/>
          <w:sz w:val="20"/>
          <w:szCs w:val="20"/>
          <w:lang w:val="en-US"/>
        </w:rPr>
        <w:t xml:space="preserve"> </w:t>
      </w:r>
      <w:r w:rsidRPr="002A1DFC">
        <w:rPr>
          <w:b/>
          <w:sz w:val="20"/>
          <w:szCs w:val="20"/>
          <w:lang w:val="en-US"/>
        </w:rPr>
        <w:t>analyses:</w:t>
      </w:r>
      <w:r w:rsidRPr="002A1DFC">
        <w:rPr>
          <w:sz w:val="20"/>
          <w:szCs w:val="20"/>
          <w:lang w:val="en-US"/>
        </w:rPr>
        <w:t xml:space="preserve"> </w:t>
      </w:r>
      <w:r w:rsidR="0065095E" w:rsidRPr="002A1DFC">
        <w:rPr>
          <w:sz w:val="20"/>
          <w:szCs w:val="20"/>
          <w:lang w:val="en-US"/>
        </w:rPr>
        <w:t>According to th</w:t>
      </w:r>
      <w:r w:rsidRPr="002A1DFC">
        <w:rPr>
          <w:sz w:val="20"/>
          <w:szCs w:val="20"/>
          <w:lang w:val="en-US"/>
        </w:rPr>
        <w:t>is common knowledge</w:t>
      </w:r>
      <w:r w:rsidR="0065095E" w:rsidRPr="002A1DFC">
        <w:rPr>
          <w:sz w:val="20"/>
          <w:szCs w:val="20"/>
          <w:lang w:val="en-US"/>
        </w:rPr>
        <w:t xml:space="preserve">, </w:t>
      </w:r>
      <w:r w:rsidR="00B76CCE" w:rsidRPr="002A1DFC">
        <w:rPr>
          <w:sz w:val="20"/>
          <w:szCs w:val="20"/>
          <w:lang w:val="en-US"/>
        </w:rPr>
        <w:t xml:space="preserve">masculine </w:t>
      </w:r>
      <w:r w:rsidR="0065095E" w:rsidRPr="002A1DFC">
        <w:rPr>
          <w:sz w:val="20"/>
          <w:szCs w:val="20"/>
          <w:lang w:val="en-US"/>
        </w:rPr>
        <w:t xml:space="preserve">attributes at the site of </w:t>
      </w:r>
      <w:proofErr w:type="spellStart"/>
      <w:r w:rsidR="0065095E" w:rsidRPr="002A1DFC">
        <w:rPr>
          <w:sz w:val="20"/>
          <w:szCs w:val="20"/>
          <w:lang w:val="en-US"/>
        </w:rPr>
        <w:t>Neckarsulm</w:t>
      </w:r>
      <w:proofErr w:type="spellEnd"/>
      <w:r w:rsidR="0065095E" w:rsidRPr="002A1DFC">
        <w:rPr>
          <w:sz w:val="20"/>
          <w:szCs w:val="20"/>
          <w:lang w:val="en-US"/>
        </w:rPr>
        <w:t xml:space="preserve"> include weapons (swords and razors) and </w:t>
      </w:r>
      <w:proofErr w:type="spellStart"/>
      <w:r w:rsidR="002D72B5" w:rsidRPr="002A1DFC">
        <w:rPr>
          <w:iCs/>
          <w:sz w:val="20"/>
          <w:szCs w:val="20"/>
          <w:lang w:val="en-US"/>
        </w:rPr>
        <w:t>parure</w:t>
      </w:r>
      <w:r w:rsidR="002D72B5" w:rsidRPr="002A1DFC">
        <w:rPr>
          <w:sz w:val="20"/>
          <w:szCs w:val="20"/>
          <w:lang w:val="en-US"/>
        </w:rPr>
        <w:t>s</w:t>
      </w:r>
      <w:proofErr w:type="spellEnd"/>
      <w:r w:rsidR="0065095E" w:rsidRPr="002A1DFC">
        <w:rPr>
          <w:sz w:val="20"/>
          <w:szCs w:val="20"/>
          <w:lang w:val="en-US"/>
        </w:rPr>
        <w:t xml:space="preserve"> (single pins). </w:t>
      </w:r>
      <w:r w:rsidR="00B76CCE" w:rsidRPr="002A1DFC">
        <w:rPr>
          <w:sz w:val="20"/>
          <w:szCs w:val="20"/>
          <w:lang w:val="en-US"/>
        </w:rPr>
        <w:t xml:space="preserve">Feminine </w:t>
      </w:r>
      <w:r w:rsidR="0065095E" w:rsidRPr="002A1DFC">
        <w:rPr>
          <w:sz w:val="20"/>
          <w:szCs w:val="20"/>
          <w:lang w:val="en-US"/>
        </w:rPr>
        <w:t xml:space="preserve">attributes would commonly include </w:t>
      </w:r>
      <w:proofErr w:type="spellStart"/>
      <w:r w:rsidR="002D72B5" w:rsidRPr="002A1DFC">
        <w:rPr>
          <w:iCs/>
          <w:sz w:val="20"/>
          <w:szCs w:val="20"/>
          <w:lang w:val="en-US"/>
        </w:rPr>
        <w:t>parures</w:t>
      </w:r>
      <w:proofErr w:type="spellEnd"/>
      <w:r w:rsidR="0065095E" w:rsidRPr="002A1DFC">
        <w:rPr>
          <w:sz w:val="20"/>
          <w:szCs w:val="20"/>
          <w:lang w:val="en-US"/>
        </w:rPr>
        <w:t xml:space="preserve"> (pairs of pins, arm and leg-jewelry). No </w:t>
      </w:r>
      <w:r w:rsidR="00B76CCE" w:rsidRPr="002A1DFC">
        <w:rPr>
          <w:sz w:val="20"/>
          <w:szCs w:val="20"/>
          <w:lang w:val="en-US"/>
        </w:rPr>
        <w:t xml:space="preserve">feminine </w:t>
      </w:r>
      <w:r w:rsidR="0065095E" w:rsidRPr="002A1DFC">
        <w:rPr>
          <w:sz w:val="20"/>
          <w:szCs w:val="20"/>
          <w:lang w:val="en-US"/>
        </w:rPr>
        <w:t xml:space="preserve">attributes have, however, been recovered from the burial site of </w:t>
      </w:r>
      <w:proofErr w:type="spellStart"/>
      <w:r w:rsidR="0065095E" w:rsidRPr="002A1DFC">
        <w:rPr>
          <w:sz w:val="20"/>
          <w:szCs w:val="20"/>
          <w:lang w:val="en-US"/>
        </w:rPr>
        <w:t>Neckarsulm</w:t>
      </w:r>
      <w:proofErr w:type="spellEnd"/>
      <w:r w:rsidR="0065095E" w:rsidRPr="002A1DFC">
        <w:rPr>
          <w:sz w:val="20"/>
          <w:szCs w:val="20"/>
          <w:lang w:val="en-US"/>
        </w:rPr>
        <w:t xml:space="preserve">. The archaeological </w:t>
      </w:r>
      <w:r w:rsidR="007171F5" w:rsidRPr="002A1DFC">
        <w:rPr>
          <w:sz w:val="20"/>
          <w:szCs w:val="20"/>
          <w:lang w:val="en-US"/>
        </w:rPr>
        <w:t>gender</w:t>
      </w:r>
      <w:r w:rsidR="0065095E" w:rsidRPr="002A1DFC">
        <w:rPr>
          <w:sz w:val="20"/>
          <w:szCs w:val="20"/>
          <w:lang w:val="en-US"/>
        </w:rPr>
        <w:t xml:space="preserve"> is considered the cross-validation of </w:t>
      </w:r>
      <w:r w:rsidR="009D7719" w:rsidRPr="002A1DFC">
        <w:rPr>
          <w:sz w:val="20"/>
          <w:szCs w:val="20"/>
          <w:lang w:val="en-US"/>
        </w:rPr>
        <w:t xml:space="preserve">osteological </w:t>
      </w:r>
      <w:r w:rsidR="0065095E" w:rsidRPr="002A1DFC">
        <w:rPr>
          <w:sz w:val="20"/>
          <w:szCs w:val="20"/>
          <w:lang w:val="en-US"/>
        </w:rPr>
        <w:t xml:space="preserve">sex estimates. In the case of individuals of indeterminate </w:t>
      </w:r>
      <w:r w:rsidR="009D7719" w:rsidRPr="002A1DFC">
        <w:rPr>
          <w:sz w:val="20"/>
          <w:szCs w:val="20"/>
          <w:lang w:val="en-US"/>
        </w:rPr>
        <w:t xml:space="preserve">osteological </w:t>
      </w:r>
      <w:r w:rsidR="0065095E" w:rsidRPr="002A1DFC">
        <w:rPr>
          <w:sz w:val="20"/>
          <w:szCs w:val="20"/>
          <w:lang w:val="en-US"/>
        </w:rPr>
        <w:t xml:space="preserve">sex, archaeological </w:t>
      </w:r>
      <w:r w:rsidR="003E6490" w:rsidRPr="002A1DFC">
        <w:rPr>
          <w:sz w:val="20"/>
          <w:szCs w:val="20"/>
          <w:lang w:val="en-US"/>
        </w:rPr>
        <w:t>gender</w:t>
      </w:r>
      <w:r w:rsidR="0065095E" w:rsidRPr="002A1DFC">
        <w:rPr>
          <w:sz w:val="20"/>
          <w:szCs w:val="20"/>
          <w:lang w:val="en-US"/>
        </w:rPr>
        <w:t xml:space="preserve"> is used. The final interpretation of the existence of a male burial site in </w:t>
      </w:r>
      <w:proofErr w:type="spellStart"/>
      <w:r w:rsidR="0065095E" w:rsidRPr="002A1DFC">
        <w:rPr>
          <w:sz w:val="20"/>
          <w:szCs w:val="20"/>
          <w:lang w:val="en-US"/>
        </w:rPr>
        <w:t>Neckarsulm</w:t>
      </w:r>
      <w:proofErr w:type="spellEnd"/>
      <w:r w:rsidR="0065095E" w:rsidRPr="002A1DFC">
        <w:rPr>
          <w:sz w:val="20"/>
          <w:szCs w:val="20"/>
          <w:lang w:val="en-US"/>
        </w:rPr>
        <w:t xml:space="preserve"> is finally based on the cross</w:t>
      </w:r>
      <w:r w:rsidR="00AC3978">
        <w:rPr>
          <w:sz w:val="20"/>
          <w:szCs w:val="20"/>
          <w:lang w:val="en-US"/>
        </w:rPr>
        <w:t>-</w:t>
      </w:r>
      <w:r w:rsidR="0065095E" w:rsidRPr="002A1DFC">
        <w:rPr>
          <w:sz w:val="20"/>
          <w:szCs w:val="20"/>
          <w:lang w:val="en-US"/>
        </w:rPr>
        <w:t xml:space="preserve">validation of archaeological and </w:t>
      </w:r>
      <w:r w:rsidR="009D7719" w:rsidRPr="002A1DFC">
        <w:rPr>
          <w:sz w:val="20"/>
          <w:szCs w:val="20"/>
          <w:lang w:val="en-US"/>
        </w:rPr>
        <w:t xml:space="preserve">osteological </w:t>
      </w:r>
      <w:r w:rsidR="0065095E" w:rsidRPr="002A1DFC">
        <w:rPr>
          <w:sz w:val="20"/>
          <w:szCs w:val="20"/>
          <w:lang w:val="en-US"/>
        </w:rPr>
        <w:t>sex</w:t>
      </w:r>
      <w:r w:rsidR="003E6490" w:rsidRPr="002A1DFC">
        <w:rPr>
          <w:sz w:val="20"/>
          <w:szCs w:val="20"/>
          <w:lang w:val="en-US"/>
        </w:rPr>
        <w:t xml:space="preserve"> and gender</w:t>
      </w:r>
      <w:r w:rsidR="0065095E" w:rsidRPr="002A1DFC">
        <w:rPr>
          <w:sz w:val="20"/>
          <w:szCs w:val="20"/>
          <w:lang w:val="en-US"/>
        </w:rPr>
        <w:t xml:space="preserve">, as well as on the lack of clear female </w:t>
      </w:r>
      <w:r w:rsidR="00B76CCE" w:rsidRPr="002A1DFC">
        <w:rPr>
          <w:sz w:val="20"/>
          <w:szCs w:val="20"/>
          <w:lang w:val="en-US"/>
        </w:rPr>
        <w:t xml:space="preserve">osteological </w:t>
      </w:r>
      <w:r w:rsidR="0065095E" w:rsidRPr="002A1DFC">
        <w:rPr>
          <w:sz w:val="20"/>
          <w:szCs w:val="20"/>
          <w:lang w:val="en-US"/>
        </w:rPr>
        <w:t xml:space="preserve">markers and archaeological attributes </w:t>
      </w:r>
      <w:r w:rsidR="00407642" w:rsidRPr="002A1DFC">
        <w:rPr>
          <w:sz w:val="20"/>
          <w:lang w:val="en-US"/>
        </w:rPr>
        <w:t>(</w:t>
      </w:r>
      <w:proofErr w:type="spellStart"/>
      <w:r w:rsidR="00407642" w:rsidRPr="002A1DFC">
        <w:rPr>
          <w:sz w:val="20"/>
          <w:lang w:val="en-US"/>
        </w:rPr>
        <w:t>Knöpke</w:t>
      </w:r>
      <w:proofErr w:type="spellEnd"/>
      <w:r w:rsidR="00407642" w:rsidRPr="002A1DFC">
        <w:rPr>
          <w:sz w:val="20"/>
          <w:lang w:val="en-US"/>
        </w:rPr>
        <w:t xml:space="preserve"> 2009</w:t>
      </w:r>
      <w:r w:rsidR="00582D48" w:rsidRPr="002A1DFC">
        <w:rPr>
          <w:sz w:val="20"/>
          <w:lang w:val="en-US"/>
        </w:rPr>
        <w:t>,</w:t>
      </w:r>
      <w:r w:rsidR="00407642" w:rsidRPr="002A1DFC">
        <w:rPr>
          <w:sz w:val="20"/>
          <w:lang w:val="en-US"/>
        </w:rPr>
        <w:t xml:space="preserve"> 45)</w:t>
      </w:r>
      <w:r w:rsidR="0065095E" w:rsidRPr="002A1DFC">
        <w:rPr>
          <w:sz w:val="20"/>
          <w:szCs w:val="20"/>
          <w:lang w:val="en-US"/>
        </w:rPr>
        <w:t>.</w:t>
      </w:r>
    </w:p>
    <w:p w14:paraId="38F4C019" w14:textId="341F1A23" w:rsidR="0021457E" w:rsidRPr="002A1DFC" w:rsidRDefault="007A60E1" w:rsidP="00965A19">
      <w:pPr>
        <w:jc w:val="both"/>
        <w:rPr>
          <w:sz w:val="20"/>
          <w:szCs w:val="20"/>
          <w:lang w:val="en-US"/>
        </w:rPr>
      </w:pPr>
      <w:r w:rsidRPr="002A1DFC">
        <w:rPr>
          <w:b/>
          <w:sz w:val="20"/>
          <w:szCs w:val="20"/>
          <w:lang w:val="en-US"/>
        </w:rPr>
        <w:t>Data use and reconstruction for this article</w:t>
      </w:r>
      <w:r w:rsidR="0021457E" w:rsidRPr="002A1DFC">
        <w:rPr>
          <w:b/>
          <w:sz w:val="20"/>
          <w:szCs w:val="20"/>
          <w:lang w:val="en-US"/>
        </w:rPr>
        <w:t xml:space="preserve">: </w:t>
      </w:r>
      <w:r w:rsidR="00C66D05" w:rsidRPr="002A1DFC">
        <w:rPr>
          <w:bCs/>
          <w:sz w:val="20"/>
          <w:szCs w:val="20"/>
          <w:lang w:val="en-US"/>
        </w:rPr>
        <w:t xml:space="preserve">The gender-data was reconstructed based on the criteria set by </w:t>
      </w:r>
      <w:proofErr w:type="spellStart"/>
      <w:r w:rsidR="00C66D05" w:rsidRPr="002A1DFC">
        <w:rPr>
          <w:bCs/>
          <w:sz w:val="20"/>
          <w:szCs w:val="20"/>
          <w:lang w:val="en-US"/>
        </w:rPr>
        <w:t>Knöpke</w:t>
      </w:r>
      <w:proofErr w:type="spellEnd"/>
      <w:r w:rsidR="00C66D05" w:rsidRPr="002A1DFC">
        <w:rPr>
          <w:bCs/>
          <w:sz w:val="20"/>
          <w:szCs w:val="20"/>
          <w:lang w:val="en-US"/>
        </w:rPr>
        <w:t xml:space="preserve"> </w:t>
      </w:r>
      <w:r w:rsidR="00407642" w:rsidRPr="002A1DFC">
        <w:rPr>
          <w:sz w:val="20"/>
          <w:lang w:val="en-US"/>
        </w:rPr>
        <w:t>(2009</w:t>
      </w:r>
      <w:r w:rsidR="00582D48" w:rsidRPr="002A1DFC">
        <w:rPr>
          <w:sz w:val="20"/>
          <w:lang w:val="en-US"/>
        </w:rPr>
        <w:t>,</w:t>
      </w:r>
      <w:r w:rsidR="00407642" w:rsidRPr="002A1DFC">
        <w:rPr>
          <w:sz w:val="20"/>
          <w:lang w:val="en-US"/>
        </w:rPr>
        <w:t xml:space="preserve"> 45)</w:t>
      </w:r>
      <w:r w:rsidR="00C66D05" w:rsidRPr="002A1DFC">
        <w:rPr>
          <w:bCs/>
          <w:sz w:val="20"/>
          <w:szCs w:val="20"/>
          <w:lang w:val="en-US"/>
        </w:rPr>
        <w:t xml:space="preserve">. The sex/age-data used is based on </w:t>
      </w:r>
      <w:r w:rsidR="00CA3F4F" w:rsidRPr="002A1DFC">
        <w:rPr>
          <w:bCs/>
          <w:sz w:val="20"/>
          <w:szCs w:val="20"/>
          <w:lang w:val="en-US"/>
        </w:rPr>
        <w:t xml:space="preserve">those indicated by J. </w:t>
      </w:r>
      <w:r w:rsidR="00C66D05" w:rsidRPr="002A1DFC">
        <w:rPr>
          <w:bCs/>
          <w:sz w:val="20"/>
          <w:szCs w:val="20"/>
          <w:lang w:val="en-US"/>
        </w:rPr>
        <w:t xml:space="preserve">Wahl </w:t>
      </w:r>
      <w:r w:rsidR="00407642" w:rsidRPr="002A1DFC">
        <w:rPr>
          <w:sz w:val="20"/>
          <w:lang w:val="en-US"/>
        </w:rPr>
        <w:t xml:space="preserve">(in </w:t>
      </w:r>
      <w:proofErr w:type="spellStart"/>
      <w:r w:rsidR="00407642" w:rsidRPr="002A1DFC">
        <w:rPr>
          <w:sz w:val="20"/>
          <w:lang w:val="en-US"/>
        </w:rPr>
        <w:t>Knöpke</w:t>
      </w:r>
      <w:proofErr w:type="spellEnd"/>
      <w:r w:rsidR="00407642" w:rsidRPr="002A1DFC">
        <w:rPr>
          <w:sz w:val="20"/>
          <w:lang w:val="en-US"/>
        </w:rPr>
        <w:t xml:space="preserve"> 2009</w:t>
      </w:r>
      <w:r w:rsidR="00582D48" w:rsidRPr="002A1DFC">
        <w:rPr>
          <w:sz w:val="20"/>
          <w:lang w:val="en-US"/>
        </w:rPr>
        <w:t>,</w:t>
      </w:r>
      <w:r w:rsidR="00407642" w:rsidRPr="002A1DFC">
        <w:rPr>
          <w:sz w:val="20"/>
          <w:lang w:val="en-US"/>
        </w:rPr>
        <w:t xml:space="preserve"> 339, tab. 1)</w:t>
      </w:r>
      <w:r w:rsidR="00C66D05" w:rsidRPr="002A1DFC">
        <w:rPr>
          <w:bCs/>
          <w:sz w:val="20"/>
          <w:szCs w:val="20"/>
          <w:lang w:val="en-US"/>
        </w:rPr>
        <w:t xml:space="preserve">. </w:t>
      </w:r>
    </w:p>
    <w:p w14:paraId="6419483A" w14:textId="3EDC52B6" w:rsidR="0021457E" w:rsidRPr="002A1DFC" w:rsidRDefault="00551D09" w:rsidP="00965A19">
      <w:pPr>
        <w:jc w:val="both"/>
        <w:rPr>
          <w:sz w:val="20"/>
          <w:szCs w:val="20"/>
          <w:lang w:val="en-US"/>
        </w:rPr>
      </w:pPr>
      <w:r w:rsidRPr="002A1DFC">
        <w:rPr>
          <w:b/>
          <w:sz w:val="20"/>
          <w:szCs w:val="20"/>
          <w:lang w:val="en-US"/>
        </w:rPr>
        <w:t>Sex</w:t>
      </w:r>
      <w:r w:rsidR="00CA3F4F" w:rsidRPr="002A1DFC">
        <w:rPr>
          <w:b/>
          <w:sz w:val="20"/>
          <w:szCs w:val="20"/>
          <w:lang w:val="en-US"/>
        </w:rPr>
        <w:t xml:space="preserve"> and gender associations</w:t>
      </w:r>
      <w:r w:rsidR="0021457E" w:rsidRPr="002A1DFC">
        <w:rPr>
          <w:b/>
          <w:sz w:val="20"/>
          <w:szCs w:val="20"/>
          <w:lang w:val="en-US"/>
        </w:rPr>
        <w:t xml:space="preserve">: </w:t>
      </w:r>
      <w:r w:rsidR="0021457E" w:rsidRPr="002A1DFC">
        <w:rPr>
          <w:bCs/>
          <w:sz w:val="20"/>
          <w:szCs w:val="20"/>
          <w:lang w:val="en-US"/>
        </w:rPr>
        <w:t xml:space="preserve">match (n) = 16, </w:t>
      </w:r>
      <w:r w:rsidR="00CA3F4F" w:rsidRPr="002A1DFC">
        <w:rPr>
          <w:bCs/>
          <w:sz w:val="20"/>
          <w:szCs w:val="20"/>
          <w:lang w:val="en-US"/>
        </w:rPr>
        <w:t>partial</w:t>
      </w:r>
      <w:r w:rsidR="0021457E" w:rsidRPr="002A1DFC">
        <w:rPr>
          <w:bCs/>
          <w:sz w:val="20"/>
          <w:szCs w:val="20"/>
          <w:lang w:val="en-US"/>
        </w:rPr>
        <w:t xml:space="preserve"> (n) = 26, </w:t>
      </w:r>
      <w:r w:rsidR="00CA3F4F" w:rsidRPr="002A1DFC">
        <w:rPr>
          <w:bCs/>
          <w:sz w:val="20"/>
          <w:szCs w:val="20"/>
          <w:lang w:val="en-US"/>
        </w:rPr>
        <w:t>no data</w:t>
      </w:r>
      <w:r w:rsidR="0021457E" w:rsidRPr="002A1DFC">
        <w:rPr>
          <w:bCs/>
          <w:sz w:val="20"/>
          <w:szCs w:val="20"/>
          <w:lang w:val="en-US"/>
        </w:rPr>
        <w:t xml:space="preserve"> (n) = 8.</w:t>
      </w:r>
    </w:p>
    <w:p w14:paraId="2462D3C0" w14:textId="599F94EB" w:rsidR="00E160E7" w:rsidRPr="002A1DFC" w:rsidRDefault="00B013E6" w:rsidP="00965A19">
      <w:pPr>
        <w:jc w:val="both"/>
        <w:rPr>
          <w:sz w:val="20"/>
          <w:szCs w:val="20"/>
          <w:lang w:val="en-US"/>
        </w:rPr>
      </w:pPr>
      <w:r w:rsidRPr="002A1DFC">
        <w:rPr>
          <w:b/>
          <w:sz w:val="20"/>
          <w:szCs w:val="20"/>
          <w:lang w:val="en-US"/>
        </w:rPr>
        <w:t>General site references:</w:t>
      </w:r>
      <w:r w:rsidRPr="002A1DFC">
        <w:rPr>
          <w:sz w:val="20"/>
          <w:szCs w:val="20"/>
          <w:lang w:val="en-US"/>
        </w:rPr>
        <w:t xml:space="preserve"> </w:t>
      </w:r>
      <w:proofErr w:type="spellStart"/>
      <w:r w:rsidR="00407642" w:rsidRPr="002A1DFC">
        <w:rPr>
          <w:sz w:val="20"/>
          <w:lang w:val="en-US"/>
        </w:rPr>
        <w:t>Knöpke</w:t>
      </w:r>
      <w:proofErr w:type="spellEnd"/>
      <w:r w:rsidR="00407642" w:rsidRPr="002A1DFC">
        <w:rPr>
          <w:sz w:val="20"/>
          <w:lang w:val="en-US"/>
        </w:rPr>
        <w:t xml:space="preserve"> 2009</w:t>
      </w:r>
      <w:r w:rsidR="00582D48" w:rsidRPr="002A1DFC">
        <w:rPr>
          <w:sz w:val="20"/>
          <w:lang w:val="en-US"/>
        </w:rPr>
        <w:t>.</w:t>
      </w:r>
    </w:p>
    <w:p w14:paraId="47333D18" w14:textId="74690B98" w:rsidR="00922165" w:rsidRPr="002A1DFC" w:rsidRDefault="00922165" w:rsidP="0029211B">
      <w:pPr>
        <w:rPr>
          <w:b/>
          <w:sz w:val="20"/>
          <w:szCs w:val="20"/>
          <w:lang w:val="en-US"/>
        </w:rPr>
      </w:pPr>
    </w:p>
    <w:p w14:paraId="6B4FA2A3" w14:textId="77777777" w:rsidR="00133C85" w:rsidRPr="002A1DFC" w:rsidRDefault="00133C85" w:rsidP="00813BB1">
      <w:pPr>
        <w:rPr>
          <w:sz w:val="20"/>
          <w:szCs w:val="20"/>
          <w:lang w:val="en-US"/>
        </w:rPr>
      </w:pPr>
    </w:p>
    <w:p w14:paraId="1CBC2C1C" w14:textId="0A78A515" w:rsidR="00922165" w:rsidRPr="002A1DFC" w:rsidRDefault="00B013E6" w:rsidP="00813BB1">
      <w:pPr>
        <w:rPr>
          <w:b/>
          <w:sz w:val="20"/>
          <w:szCs w:val="20"/>
          <w:lang w:val="en-US"/>
        </w:rPr>
      </w:pPr>
      <w:r w:rsidRPr="002A1DFC">
        <w:rPr>
          <w:b/>
          <w:sz w:val="20"/>
          <w:szCs w:val="20"/>
          <w:lang w:val="en-US"/>
        </w:rPr>
        <w:t>Cited r</w:t>
      </w:r>
      <w:r w:rsidR="00922165" w:rsidRPr="002A1DFC">
        <w:rPr>
          <w:b/>
          <w:sz w:val="20"/>
          <w:szCs w:val="20"/>
          <w:lang w:val="en-US"/>
        </w:rPr>
        <w:t>eferences</w:t>
      </w:r>
    </w:p>
    <w:p w14:paraId="42A5A8B9"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Alt, K.W., B. Riemensperger, W. Vach &amp; G. Krekeler, 1998. Zahnwurzellänge und Zahnhalsdurchmesser als Indikatoren zur Geschlechtsbestimmung an menschlichen Zähnen, </w:t>
      </w:r>
      <w:r w:rsidRPr="002079F4">
        <w:rPr>
          <w:i/>
          <w:iCs/>
          <w:sz w:val="20"/>
          <w:szCs w:val="20"/>
        </w:rPr>
        <w:t>Anthropologischer Anzeiger</w:t>
      </w:r>
      <w:r w:rsidRPr="002079F4">
        <w:rPr>
          <w:sz w:val="20"/>
          <w:szCs w:val="20"/>
        </w:rPr>
        <w:t xml:space="preserve"> 56(2), 131–44.</w:t>
      </w:r>
    </w:p>
    <w:p w14:paraId="68468E9B" w14:textId="77777777" w:rsidR="003C651A" w:rsidRPr="002079F4" w:rsidRDefault="003C651A" w:rsidP="003C651A">
      <w:pPr>
        <w:widowControl w:val="0"/>
        <w:autoSpaceDE w:val="0"/>
        <w:autoSpaceDN w:val="0"/>
        <w:adjustRightInd w:val="0"/>
        <w:ind w:left="567" w:hanging="567"/>
        <w:rPr>
          <w:sz w:val="20"/>
          <w:szCs w:val="20"/>
        </w:rPr>
      </w:pPr>
      <w:proofErr w:type="spellStart"/>
      <w:r w:rsidRPr="002079F4">
        <w:rPr>
          <w:sz w:val="20"/>
          <w:szCs w:val="20"/>
          <w:lang w:val="en-US"/>
        </w:rPr>
        <w:t>Ascádi</w:t>
      </w:r>
      <w:proofErr w:type="spellEnd"/>
      <w:r w:rsidRPr="002079F4">
        <w:rPr>
          <w:sz w:val="20"/>
          <w:szCs w:val="20"/>
          <w:lang w:val="en-US"/>
        </w:rPr>
        <w:t xml:space="preserve">, G. &amp; J. </w:t>
      </w:r>
      <w:proofErr w:type="spellStart"/>
      <w:r w:rsidRPr="002079F4">
        <w:rPr>
          <w:sz w:val="20"/>
          <w:szCs w:val="20"/>
          <w:lang w:val="en-US"/>
        </w:rPr>
        <w:t>Nemeskéri</w:t>
      </w:r>
      <w:proofErr w:type="spellEnd"/>
      <w:r w:rsidRPr="002079F4">
        <w:rPr>
          <w:sz w:val="20"/>
          <w:szCs w:val="20"/>
          <w:lang w:val="en-US"/>
        </w:rPr>
        <w:t xml:space="preserve">, 1970. </w:t>
      </w:r>
      <w:r w:rsidRPr="002079F4">
        <w:rPr>
          <w:i/>
          <w:iCs/>
          <w:sz w:val="20"/>
          <w:szCs w:val="20"/>
          <w:lang w:val="en-US"/>
        </w:rPr>
        <w:t>History of Human Life Span and Mortality</w:t>
      </w:r>
      <w:r w:rsidRPr="002079F4">
        <w:rPr>
          <w:sz w:val="20"/>
          <w:szCs w:val="20"/>
          <w:lang w:val="en-US"/>
        </w:rPr>
        <w:t xml:space="preserve">. </w:t>
      </w:r>
      <w:r w:rsidRPr="002079F4">
        <w:rPr>
          <w:sz w:val="20"/>
          <w:szCs w:val="20"/>
        </w:rPr>
        <w:t>Budapest: Akad. Kiadó.</w:t>
      </w:r>
    </w:p>
    <w:p w14:paraId="75D9C27F"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Asmus, G., 1939. Die anthropologische Stellung der jungsteinzeitlichen Ostorfer Schädel und Skelette, </w:t>
      </w:r>
      <w:r w:rsidRPr="002079F4">
        <w:rPr>
          <w:i/>
          <w:iCs/>
          <w:sz w:val="20"/>
          <w:szCs w:val="20"/>
        </w:rPr>
        <w:t>Mecklenburg</w:t>
      </w:r>
      <w:r w:rsidRPr="002079F4">
        <w:rPr>
          <w:sz w:val="20"/>
          <w:szCs w:val="20"/>
        </w:rPr>
        <w:t xml:space="preserve"> 34,2, 87–93.</w:t>
      </w:r>
    </w:p>
    <w:p w14:paraId="3E077B72"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Bastian, W., 1961. Das jungsteinzeitliche Flachgräberfeld von Ostorf, Kreis Schwerin, </w:t>
      </w:r>
      <w:r w:rsidRPr="002079F4">
        <w:rPr>
          <w:i/>
          <w:iCs/>
          <w:sz w:val="20"/>
          <w:szCs w:val="20"/>
        </w:rPr>
        <w:t>Jahrbuch für Bodendenkmalpflege Mecklenburg</w:t>
      </w:r>
      <w:r w:rsidRPr="002079F4">
        <w:rPr>
          <w:sz w:val="20"/>
          <w:szCs w:val="20"/>
        </w:rPr>
        <w:t xml:space="preserve"> 1961, 7–130.</w:t>
      </w:r>
    </w:p>
    <w:p w14:paraId="4017A140"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Baum, N., 1990. Aiterhofen-Ödmühle. Paläodontologie eines bandkeramischen Gräberfeldes in Niederbayern, </w:t>
      </w:r>
      <w:r w:rsidRPr="002079F4">
        <w:rPr>
          <w:i/>
          <w:iCs/>
          <w:sz w:val="20"/>
          <w:szCs w:val="20"/>
        </w:rPr>
        <w:t>Praehistorische Zeitschrift</w:t>
      </w:r>
      <w:r w:rsidRPr="002079F4">
        <w:rPr>
          <w:sz w:val="20"/>
          <w:szCs w:val="20"/>
        </w:rPr>
        <w:t xml:space="preserve"> 65(1), 157–203.</w:t>
      </w:r>
    </w:p>
    <w:p w14:paraId="6591F01C"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Bräuer, G., 1988. Osteometrie, in </w:t>
      </w:r>
      <w:r w:rsidRPr="002079F4">
        <w:rPr>
          <w:i/>
          <w:iCs/>
          <w:sz w:val="20"/>
          <w:szCs w:val="20"/>
        </w:rPr>
        <w:t>Anthropologie. Handbuch der vergleichenden Biologie des Menschen I/1</w:t>
      </w:r>
      <w:r w:rsidRPr="002079F4">
        <w:rPr>
          <w:sz w:val="20"/>
          <w:szCs w:val="20"/>
        </w:rPr>
        <w:t>, ed. R. Knussmann. Stuttgart, New York: Fischer, 160–231.</w:t>
      </w:r>
    </w:p>
    <w:p w14:paraId="2AB5568A"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Breitinger, E., 1937. Zur Berechnung der Körperhöhe aus den langen Gliedmaßenknochen, </w:t>
      </w:r>
      <w:r w:rsidRPr="002079F4">
        <w:rPr>
          <w:i/>
          <w:iCs/>
          <w:sz w:val="20"/>
          <w:szCs w:val="20"/>
        </w:rPr>
        <w:t>Anthropologischer Anzeiger</w:t>
      </w:r>
      <w:r w:rsidRPr="002079F4">
        <w:rPr>
          <w:sz w:val="20"/>
          <w:szCs w:val="20"/>
        </w:rPr>
        <w:t xml:space="preserve"> 14, 249–74.</w:t>
      </w:r>
    </w:p>
    <w:p w14:paraId="09C5A2FC" w14:textId="77777777" w:rsidR="003C651A" w:rsidRPr="002079F4" w:rsidRDefault="003C651A" w:rsidP="003C651A">
      <w:pPr>
        <w:widowControl w:val="0"/>
        <w:autoSpaceDE w:val="0"/>
        <w:autoSpaceDN w:val="0"/>
        <w:adjustRightInd w:val="0"/>
        <w:ind w:left="567" w:hanging="567"/>
        <w:rPr>
          <w:sz w:val="20"/>
          <w:szCs w:val="20"/>
          <w:lang w:val="en-US"/>
        </w:rPr>
      </w:pPr>
      <w:proofErr w:type="spellStart"/>
      <w:r w:rsidRPr="002079F4">
        <w:rPr>
          <w:sz w:val="20"/>
          <w:szCs w:val="20"/>
          <w:lang w:val="en-US"/>
        </w:rPr>
        <w:t>Brothwell</w:t>
      </w:r>
      <w:proofErr w:type="spellEnd"/>
      <w:r w:rsidRPr="002079F4">
        <w:rPr>
          <w:sz w:val="20"/>
          <w:szCs w:val="20"/>
          <w:lang w:val="en-US"/>
        </w:rPr>
        <w:t xml:space="preserve">, D.R., 1965. </w:t>
      </w:r>
      <w:r w:rsidRPr="002079F4">
        <w:rPr>
          <w:i/>
          <w:iCs/>
          <w:sz w:val="20"/>
          <w:szCs w:val="20"/>
          <w:lang w:val="en-US"/>
        </w:rPr>
        <w:t>Digging up Bones: The Excavation, Treatment and Study of Human Skeletal Remains</w:t>
      </w:r>
      <w:r w:rsidRPr="002079F4">
        <w:rPr>
          <w:sz w:val="20"/>
          <w:szCs w:val="20"/>
          <w:lang w:val="en-US"/>
        </w:rPr>
        <w:t>. London: British Museum (Natural History).</w:t>
      </w:r>
    </w:p>
    <w:p w14:paraId="7E0A4F85" w14:textId="77777777" w:rsidR="003C651A" w:rsidRPr="002079F4" w:rsidRDefault="003C651A" w:rsidP="003C651A">
      <w:pPr>
        <w:widowControl w:val="0"/>
        <w:autoSpaceDE w:val="0"/>
        <w:autoSpaceDN w:val="0"/>
        <w:adjustRightInd w:val="0"/>
        <w:ind w:left="567" w:hanging="567"/>
        <w:rPr>
          <w:sz w:val="20"/>
          <w:szCs w:val="20"/>
          <w:lang w:val="en-US"/>
        </w:rPr>
      </w:pPr>
      <w:proofErr w:type="spellStart"/>
      <w:r w:rsidRPr="002079F4">
        <w:rPr>
          <w:sz w:val="20"/>
          <w:szCs w:val="20"/>
          <w:lang w:val="en-US"/>
        </w:rPr>
        <w:t>Bruzek</w:t>
      </w:r>
      <w:proofErr w:type="spellEnd"/>
      <w:r w:rsidRPr="002079F4">
        <w:rPr>
          <w:sz w:val="20"/>
          <w:szCs w:val="20"/>
          <w:lang w:val="en-US"/>
        </w:rPr>
        <w:t xml:space="preserve">, J., 2002. A method for visual determination of sex, using the human hip bone, </w:t>
      </w:r>
      <w:r w:rsidRPr="002079F4">
        <w:rPr>
          <w:i/>
          <w:iCs/>
          <w:sz w:val="20"/>
          <w:szCs w:val="20"/>
          <w:lang w:val="en-US"/>
        </w:rPr>
        <w:t>American Journal of Physical Anthropology</w:t>
      </w:r>
      <w:r w:rsidRPr="002079F4">
        <w:rPr>
          <w:sz w:val="20"/>
          <w:szCs w:val="20"/>
          <w:lang w:val="en-US"/>
        </w:rPr>
        <w:t xml:space="preserve"> 117(2), 157–68.</w:t>
      </w:r>
    </w:p>
    <w:p w14:paraId="6C99A770" w14:textId="77777777" w:rsidR="003C651A" w:rsidRPr="002079F4" w:rsidRDefault="003C651A" w:rsidP="003C651A">
      <w:pPr>
        <w:widowControl w:val="0"/>
        <w:autoSpaceDE w:val="0"/>
        <w:autoSpaceDN w:val="0"/>
        <w:adjustRightInd w:val="0"/>
        <w:ind w:left="567" w:hanging="567"/>
        <w:rPr>
          <w:sz w:val="20"/>
          <w:szCs w:val="20"/>
          <w:lang w:val="en-US"/>
        </w:rPr>
      </w:pPr>
      <w:proofErr w:type="spellStart"/>
      <w:r w:rsidRPr="002079F4">
        <w:rPr>
          <w:sz w:val="20"/>
          <w:szCs w:val="20"/>
          <w:lang w:val="en-US"/>
        </w:rPr>
        <w:t>Buikstra</w:t>
      </w:r>
      <w:proofErr w:type="spellEnd"/>
      <w:r w:rsidRPr="002079F4">
        <w:rPr>
          <w:sz w:val="20"/>
          <w:szCs w:val="20"/>
          <w:lang w:val="en-US"/>
        </w:rPr>
        <w:t xml:space="preserve">, J.E. &amp; D.H. </w:t>
      </w:r>
      <w:proofErr w:type="spellStart"/>
      <w:r w:rsidRPr="002079F4">
        <w:rPr>
          <w:sz w:val="20"/>
          <w:szCs w:val="20"/>
          <w:lang w:val="en-US"/>
        </w:rPr>
        <w:t>Ubelaker</w:t>
      </w:r>
      <w:proofErr w:type="spellEnd"/>
      <w:r w:rsidRPr="002079F4">
        <w:rPr>
          <w:sz w:val="20"/>
          <w:szCs w:val="20"/>
          <w:lang w:val="en-US"/>
        </w:rPr>
        <w:t xml:space="preserve"> (eds.), 1994. </w:t>
      </w:r>
      <w:r w:rsidRPr="002079F4">
        <w:rPr>
          <w:i/>
          <w:iCs/>
          <w:sz w:val="20"/>
          <w:szCs w:val="20"/>
          <w:lang w:val="en-US"/>
        </w:rPr>
        <w:t xml:space="preserve">Standards for Data Collection </w:t>
      </w:r>
      <w:proofErr w:type="gramStart"/>
      <w:r w:rsidRPr="002079F4">
        <w:rPr>
          <w:i/>
          <w:iCs/>
          <w:sz w:val="20"/>
          <w:szCs w:val="20"/>
          <w:lang w:val="en-US"/>
        </w:rPr>
        <w:t>From</w:t>
      </w:r>
      <w:proofErr w:type="gramEnd"/>
      <w:r w:rsidRPr="002079F4">
        <w:rPr>
          <w:i/>
          <w:iCs/>
          <w:sz w:val="20"/>
          <w:szCs w:val="20"/>
          <w:lang w:val="en-US"/>
        </w:rPr>
        <w:t xml:space="preserve"> Human Skeletal Remains</w:t>
      </w:r>
      <w:r w:rsidRPr="002079F4">
        <w:rPr>
          <w:sz w:val="20"/>
          <w:szCs w:val="20"/>
          <w:lang w:val="en-US"/>
        </w:rPr>
        <w:t xml:space="preserve"> (Arkansas Archeological Survey research series). Fayetteville: Arkansas Archeological Survey Publications.</w:t>
      </w:r>
    </w:p>
    <w:p w14:paraId="5DB952EB" w14:textId="77777777" w:rsidR="003C651A" w:rsidRPr="00DD2CAC" w:rsidRDefault="003C651A" w:rsidP="003C651A">
      <w:pPr>
        <w:widowControl w:val="0"/>
        <w:autoSpaceDE w:val="0"/>
        <w:autoSpaceDN w:val="0"/>
        <w:adjustRightInd w:val="0"/>
        <w:ind w:left="567" w:hanging="567"/>
        <w:rPr>
          <w:sz w:val="20"/>
          <w:szCs w:val="20"/>
          <w:lang w:val="en-US"/>
        </w:rPr>
      </w:pPr>
      <w:r w:rsidRPr="002079F4">
        <w:rPr>
          <w:sz w:val="20"/>
          <w:szCs w:val="20"/>
          <w:lang w:val="en-US"/>
        </w:rPr>
        <w:t xml:space="preserve">Byers, S.N., 2002. </w:t>
      </w:r>
      <w:r w:rsidRPr="002079F4">
        <w:rPr>
          <w:i/>
          <w:iCs/>
          <w:sz w:val="20"/>
          <w:szCs w:val="20"/>
          <w:lang w:val="en-US"/>
        </w:rPr>
        <w:t xml:space="preserve">Introduction to Forensic Anthropology: A Textbook </w:t>
      </w:r>
      <w:r w:rsidRPr="002079F4">
        <w:rPr>
          <w:sz w:val="20"/>
          <w:szCs w:val="20"/>
          <w:lang w:val="en-US"/>
        </w:rPr>
        <w:t xml:space="preserve">2nd ed. </w:t>
      </w:r>
      <w:r w:rsidRPr="00DD2CAC">
        <w:rPr>
          <w:sz w:val="20"/>
          <w:szCs w:val="20"/>
          <w:lang w:val="en-US"/>
        </w:rPr>
        <w:t>Boston (Mass.): Pearson.</w:t>
      </w:r>
    </w:p>
    <w:p w14:paraId="29AEFC7B" w14:textId="77777777" w:rsidR="003C651A" w:rsidRPr="00DD2CAC" w:rsidRDefault="003C651A" w:rsidP="003C651A">
      <w:pPr>
        <w:widowControl w:val="0"/>
        <w:autoSpaceDE w:val="0"/>
        <w:autoSpaceDN w:val="0"/>
        <w:adjustRightInd w:val="0"/>
        <w:ind w:left="567" w:hanging="567"/>
        <w:rPr>
          <w:sz w:val="20"/>
          <w:szCs w:val="20"/>
        </w:rPr>
      </w:pPr>
      <w:r w:rsidRPr="00DD2CAC">
        <w:rPr>
          <w:sz w:val="20"/>
          <w:szCs w:val="20"/>
          <w:lang w:val="en-US"/>
        </w:rPr>
        <w:t xml:space="preserve">Canci, A., M. Cupitò, M.L. Pulcini, L. Salzani, G. Fornaciari, M.A. Tafuri &amp; G.D. Zuanna, 2015. </w:t>
      </w:r>
      <w:r w:rsidRPr="00DD2CAC">
        <w:rPr>
          <w:sz w:val="20"/>
          <w:szCs w:val="20"/>
        </w:rPr>
        <w:t xml:space="preserve">La necropoli della media e recente Età del bronzo di Olmo di Nogara (Verona). Risultati della ricerca osteoarcheologica, paleochimica e paleodemografica, in </w:t>
      </w:r>
      <w:r w:rsidRPr="00DD2CAC">
        <w:rPr>
          <w:i/>
          <w:iCs/>
          <w:sz w:val="20"/>
          <w:szCs w:val="20"/>
        </w:rPr>
        <w:t>Preistoria e protostoria del Veneto</w:t>
      </w:r>
      <w:r w:rsidRPr="00DD2CAC">
        <w:rPr>
          <w:sz w:val="20"/>
          <w:szCs w:val="20"/>
        </w:rPr>
        <w:t>, eds. G. Leonardi &amp; V. Tiné (Studi di preistoria e protostoria 2). Firenze, Padova: Istituto italiano di preistoria e protostoria, Soprintendenza per i beni archeologici del Veneto, Università degli studi di Padova, 327–40.</w:t>
      </w:r>
    </w:p>
    <w:p w14:paraId="3918BEDE" w14:textId="77777777" w:rsidR="003C651A" w:rsidRPr="00DD2CAC" w:rsidRDefault="003C651A" w:rsidP="003C651A">
      <w:pPr>
        <w:widowControl w:val="0"/>
        <w:autoSpaceDE w:val="0"/>
        <w:autoSpaceDN w:val="0"/>
        <w:adjustRightInd w:val="0"/>
        <w:ind w:left="567" w:hanging="567"/>
        <w:rPr>
          <w:sz w:val="20"/>
          <w:szCs w:val="20"/>
          <w:lang w:val="en-US"/>
        </w:rPr>
      </w:pPr>
      <w:r w:rsidRPr="00DD2CAC">
        <w:rPr>
          <w:sz w:val="20"/>
          <w:szCs w:val="20"/>
          <w:lang w:val="en-US"/>
        </w:rPr>
        <w:t xml:space="preserve">Canci, A. &amp; S. Minozzi, 2005. </w:t>
      </w:r>
      <w:r w:rsidRPr="00DD2CAC">
        <w:rPr>
          <w:i/>
          <w:iCs/>
          <w:sz w:val="20"/>
          <w:szCs w:val="20"/>
          <w:lang w:val="en-US"/>
        </w:rPr>
        <w:t>Archeologia Dei Resti Umani: Dallo Scavo al Laboratorio</w:t>
      </w:r>
      <w:r w:rsidRPr="00DD2CAC">
        <w:rPr>
          <w:sz w:val="20"/>
          <w:szCs w:val="20"/>
          <w:lang w:val="en-US"/>
        </w:rPr>
        <w:t>. Roma: Carocci.</w:t>
      </w:r>
    </w:p>
    <w:p w14:paraId="055F2FBB" w14:textId="77777777" w:rsidR="003C651A" w:rsidRPr="00DD2CAC" w:rsidRDefault="003C651A" w:rsidP="003C651A">
      <w:pPr>
        <w:widowControl w:val="0"/>
        <w:autoSpaceDE w:val="0"/>
        <w:autoSpaceDN w:val="0"/>
        <w:adjustRightInd w:val="0"/>
        <w:ind w:left="567" w:hanging="567"/>
        <w:rPr>
          <w:sz w:val="20"/>
          <w:szCs w:val="20"/>
          <w:lang w:val="en-US"/>
        </w:rPr>
      </w:pPr>
      <w:r w:rsidRPr="00DD2CAC">
        <w:rPr>
          <w:sz w:val="20"/>
          <w:szCs w:val="20"/>
          <w:lang w:val="en-US"/>
        </w:rPr>
        <w:t xml:space="preserve">Capitanio, M. &amp; C. Corrain, 1996. Resti scheletrici umani di Olmo di Nogara (Verona), dell’Età del Bronzo, </w:t>
      </w:r>
      <w:r w:rsidRPr="00DD2CAC">
        <w:rPr>
          <w:i/>
          <w:iCs/>
          <w:sz w:val="20"/>
          <w:szCs w:val="20"/>
          <w:lang w:val="en-US"/>
        </w:rPr>
        <w:lastRenderedPageBreak/>
        <w:t>Archivio per l’Antropologia et la Etnologia</w:t>
      </w:r>
      <w:r w:rsidRPr="00DD2CAC">
        <w:rPr>
          <w:sz w:val="20"/>
          <w:szCs w:val="20"/>
          <w:lang w:val="en-US"/>
        </w:rPr>
        <w:t xml:space="preserve"> 126, 155–88.</w:t>
      </w:r>
    </w:p>
    <w:p w14:paraId="2FB6CDAF" w14:textId="77777777" w:rsidR="003C651A" w:rsidRPr="00DD2CAC" w:rsidRDefault="003C651A" w:rsidP="003C651A">
      <w:pPr>
        <w:widowControl w:val="0"/>
        <w:autoSpaceDE w:val="0"/>
        <w:autoSpaceDN w:val="0"/>
        <w:adjustRightInd w:val="0"/>
        <w:ind w:left="567" w:hanging="567"/>
        <w:rPr>
          <w:sz w:val="20"/>
          <w:szCs w:val="20"/>
          <w:lang w:val="en-US"/>
        </w:rPr>
      </w:pPr>
      <w:r w:rsidRPr="00DD2CAC">
        <w:rPr>
          <w:sz w:val="20"/>
          <w:szCs w:val="20"/>
          <w:lang w:val="en-US"/>
        </w:rPr>
        <w:t xml:space="preserve">Corrain, C. &amp; L. Meneghello, 1988. Resti scheletrici umani di epoca enea della località Olmo di Nogara, </w:t>
      </w:r>
      <w:r w:rsidRPr="00DD2CAC">
        <w:rPr>
          <w:i/>
          <w:iCs/>
          <w:sz w:val="20"/>
          <w:szCs w:val="20"/>
          <w:lang w:val="en-US"/>
        </w:rPr>
        <w:t>Quaderni di Archeologia del Veneto</w:t>
      </w:r>
      <w:r w:rsidRPr="00DD2CAC">
        <w:rPr>
          <w:sz w:val="20"/>
          <w:szCs w:val="20"/>
          <w:lang w:val="en-US"/>
        </w:rPr>
        <w:t xml:space="preserve"> IV, 237–56.</w:t>
      </w:r>
    </w:p>
    <w:p w14:paraId="12FD879F"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lang w:val="en-US"/>
        </w:rPr>
        <w:t xml:space="preserve">Ditch, L.E. &amp; J.C. Rose, 1972. A multivariate dental sexing technique, </w:t>
      </w:r>
      <w:r w:rsidRPr="002079F4">
        <w:rPr>
          <w:i/>
          <w:iCs/>
          <w:sz w:val="20"/>
          <w:szCs w:val="20"/>
          <w:lang w:val="en-US"/>
        </w:rPr>
        <w:t>American Journal of Physical Anthropology</w:t>
      </w:r>
      <w:r w:rsidRPr="002079F4">
        <w:rPr>
          <w:sz w:val="20"/>
          <w:szCs w:val="20"/>
          <w:lang w:val="en-US"/>
        </w:rPr>
        <w:t xml:space="preserve"> 37(1), 61–64.</w:t>
      </w:r>
    </w:p>
    <w:p w14:paraId="23489875"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Ellendt, G., 1993. </w:t>
      </w:r>
      <w:r w:rsidRPr="002079F4">
        <w:rPr>
          <w:i/>
          <w:iCs/>
          <w:sz w:val="20"/>
          <w:szCs w:val="20"/>
        </w:rPr>
        <w:t>Untersuchungen zur Geschlechtsbestimmung der Skelettreste zweier schnurkeramischer Gräberfelder der Jungsteinzeit aus Baden-Württemberg anhand der Zahnmaße</w:t>
      </w:r>
      <w:r w:rsidRPr="002079F4">
        <w:rPr>
          <w:sz w:val="20"/>
          <w:szCs w:val="20"/>
        </w:rPr>
        <w:t>, Tübingen.</w:t>
      </w:r>
    </w:p>
    <w:p w14:paraId="330D9519"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Ferembach, D., I. Schwidetzky &amp; M. Stloukal, 1979. Empfehlungen für die Alters- und Geschlechtsdiagnose am Skelett, </w:t>
      </w:r>
      <w:r w:rsidRPr="002079F4">
        <w:rPr>
          <w:i/>
          <w:iCs/>
          <w:sz w:val="20"/>
          <w:szCs w:val="20"/>
        </w:rPr>
        <w:t>Homo</w:t>
      </w:r>
      <w:r w:rsidRPr="002079F4">
        <w:rPr>
          <w:sz w:val="20"/>
          <w:szCs w:val="20"/>
        </w:rPr>
        <w:t xml:space="preserve"> 30, 1–32.</w:t>
      </w:r>
    </w:p>
    <w:p w14:paraId="2B1DBCB2"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Fritz, G., 1994. </w:t>
      </w:r>
      <w:r w:rsidRPr="002079F4">
        <w:rPr>
          <w:i/>
          <w:iCs/>
          <w:sz w:val="20"/>
          <w:szCs w:val="20"/>
        </w:rPr>
        <w:t>Osteometrische Untersuchungen an Schädeln der Schnurkeramik und Hallstattzeit</w:t>
      </w:r>
      <w:r w:rsidRPr="002079F4">
        <w:rPr>
          <w:sz w:val="20"/>
          <w:szCs w:val="20"/>
        </w:rPr>
        <w:t>, Tübingen.</w:t>
      </w:r>
    </w:p>
    <w:p w14:paraId="2EDCBF9F"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Graw, M., 2001. Morphometrische und morphognostische Geschlechtsdiagnostik an der menschlichen Schädelbasis, in </w:t>
      </w:r>
      <w:r w:rsidRPr="002079F4">
        <w:rPr>
          <w:i/>
          <w:iCs/>
          <w:sz w:val="20"/>
          <w:szCs w:val="20"/>
        </w:rPr>
        <w:t>Osteologische Identifikation und Altersschätzung = Osteologic identification and estimation of age</w:t>
      </w:r>
      <w:r w:rsidRPr="002079F4">
        <w:rPr>
          <w:sz w:val="20"/>
          <w:szCs w:val="20"/>
        </w:rPr>
        <w:t>, ed. M. Oehmichen (Research in Legal Medicine 26). Lübeck: Schmidt-Römhild, 103–21.</w:t>
      </w:r>
    </w:p>
    <w:p w14:paraId="65B01120"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Grimm, H., 1965. Zur anthropologischen Charakteristik der 1961 geborgenen menschlichen Skelettreste aus dem jungsteinzeitlichen Flachgräberfeld von Ostorf, </w:t>
      </w:r>
      <w:r w:rsidRPr="002079F4">
        <w:rPr>
          <w:i/>
          <w:iCs/>
          <w:sz w:val="20"/>
          <w:szCs w:val="20"/>
        </w:rPr>
        <w:t>Anthropologischer Anzeiger</w:t>
      </w:r>
      <w:r w:rsidRPr="002079F4">
        <w:rPr>
          <w:sz w:val="20"/>
          <w:szCs w:val="20"/>
        </w:rPr>
        <w:t xml:space="preserve"> 29, 59–64.</w:t>
      </w:r>
    </w:p>
    <w:p w14:paraId="2E8DD4B7"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lang w:val="en-US"/>
        </w:rPr>
        <w:t xml:space="preserve">Hager, L.D., 1996. Sex differences in the sciatic notch of great apes and modern humans, </w:t>
      </w:r>
      <w:r w:rsidRPr="002079F4">
        <w:rPr>
          <w:i/>
          <w:iCs/>
          <w:sz w:val="20"/>
          <w:szCs w:val="20"/>
          <w:lang w:val="en-US"/>
        </w:rPr>
        <w:t>American Journal of Physical Anthropology</w:t>
      </w:r>
      <w:r w:rsidRPr="002079F4">
        <w:rPr>
          <w:sz w:val="20"/>
          <w:szCs w:val="20"/>
          <w:lang w:val="en-US"/>
        </w:rPr>
        <w:t xml:space="preserve"> 99(2), 287–300.</w:t>
      </w:r>
    </w:p>
    <w:p w14:paraId="12262D07"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Herrmann, B., G. Grupe, S. Hummel, H. Piepenbrink &amp; H. Schutkowski, 1990. </w:t>
      </w:r>
      <w:r w:rsidRPr="002079F4">
        <w:rPr>
          <w:i/>
          <w:iCs/>
          <w:sz w:val="20"/>
          <w:szCs w:val="20"/>
        </w:rPr>
        <w:t>Prähistorische Anthropologie: Leitfaden der Feld- und Labormethoden</w:t>
      </w:r>
      <w:r w:rsidRPr="002079F4">
        <w:rPr>
          <w:sz w:val="20"/>
          <w:szCs w:val="20"/>
        </w:rPr>
        <w:t>. Heidelberg, Berlin: Springer.</w:t>
      </w:r>
    </w:p>
    <w:p w14:paraId="5D9A1007"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rPr>
        <w:t xml:space="preserve">Hofmann, D., J. Pechtl, R.A. Bentley, P. Bickle, L. Fibiger, G. Grupe, J. Hamilton, R. Hedges, M. Schultz &amp; A. Whittle, 2013. </w:t>
      </w:r>
      <w:r w:rsidRPr="002079F4">
        <w:rPr>
          <w:sz w:val="20"/>
          <w:szCs w:val="20"/>
          <w:lang w:val="en-US"/>
        </w:rPr>
        <w:t xml:space="preserve">Southern Bavaria, in </w:t>
      </w:r>
      <w:r w:rsidRPr="002079F4">
        <w:rPr>
          <w:i/>
          <w:iCs/>
          <w:sz w:val="20"/>
          <w:szCs w:val="20"/>
          <w:lang w:val="en-US"/>
        </w:rPr>
        <w:t>The First Farmers of Central Europe: Diversity in LBK Lifeways</w:t>
      </w:r>
      <w:r w:rsidRPr="002079F4">
        <w:rPr>
          <w:sz w:val="20"/>
          <w:szCs w:val="20"/>
          <w:lang w:val="en-US"/>
        </w:rPr>
        <w:t xml:space="preserve">, eds. P. </w:t>
      </w:r>
      <w:proofErr w:type="spellStart"/>
      <w:r w:rsidRPr="002079F4">
        <w:rPr>
          <w:sz w:val="20"/>
          <w:szCs w:val="20"/>
          <w:lang w:val="en-US"/>
        </w:rPr>
        <w:t>Bickle</w:t>
      </w:r>
      <w:proofErr w:type="spellEnd"/>
      <w:r w:rsidRPr="002079F4">
        <w:rPr>
          <w:sz w:val="20"/>
          <w:szCs w:val="20"/>
          <w:lang w:val="en-US"/>
        </w:rPr>
        <w:t xml:space="preserve"> &amp; A. Whittle. Oxford, Oakville, CT: Oxbow Books, David Brown Book Company, 205–48.</w:t>
      </w:r>
    </w:p>
    <w:p w14:paraId="7A65B601" w14:textId="77777777" w:rsidR="003C651A" w:rsidRPr="002079F4" w:rsidRDefault="003C651A" w:rsidP="003C651A">
      <w:pPr>
        <w:widowControl w:val="0"/>
        <w:autoSpaceDE w:val="0"/>
        <w:autoSpaceDN w:val="0"/>
        <w:adjustRightInd w:val="0"/>
        <w:ind w:left="567" w:hanging="567"/>
        <w:rPr>
          <w:sz w:val="20"/>
          <w:szCs w:val="20"/>
          <w:lang w:val="en-US"/>
        </w:rPr>
      </w:pPr>
      <w:r w:rsidRPr="00AC3978">
        <w:rPr>
          <w:sz w:val="20"/>
          <w:szCs w:val="20"/>
        </w:rPr>
        <w:t xml:space="preserve">Holman, D.J. &amp; K.A. Bennett, 1991. </w:t>
      </w:r>
      <w:r w:rsidRPr="002079F4">
        <w:rPr>
          <w:sz w:val="20"/>
          <w:szCs w:val="20"/>
          <w:lang w:val="en-US"/>
        </w:rPr>
        <w:t xml:space="preserve">Determination of sex from arm bone measurements, </w:t>
      </w:r>
      <w:r w:rsidRPr="002079F4">
        <w:rPr>
          <w:i/>
          <w:iCs/>
          <w:sz w:val="20"/>
          <w:szCs w:val="20"/>
          <w:lang w:val="en-US"/>
        </w:rPr>
        <w:t>American Journal of Physical Anthropology</w:t>
      </w:r>
      <w:r w:rsidRPr="002079F4">
        <w:rPr>
          <w:sz w:val="20"/>
          <w:szCs w:val="20"/>
          <w:lang w:val="en-US"/>
        </w:rPr>
        <w:t xml:space="preserve"> 84(4), 421–26.</w:t>
      </w:r>
    </w:p>
    <w:p w14:paraId="2B043FEC"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lang w:val="en-US"/>
        </w:rPr>
        <w:t xml:space="preserve">Houghton, P., 1975. The bony imprint of pregnancy, </w:t>
      </w:r>
      <w:r w:rsidRPr="002079F4">
        <w:rPr>
          <w:i/>
          <w:iCs/>
          <w:sz w:val="20"/>
          <w:szCs w:val="20"/>
          <w:lang w:val="en-US"/>
        </w:rPr>
        <w:t>Bulletin of the New York Academy of Medicine</w:t>
      </w:r>
      <w:r w:rsidRPr="002079F4">
        <w:rPr>
          <w:sz w:val="20"/>
          <w:szCs w:val="20"/>
          <w:lang w:val="en-US"/>
        </w:rPr>
        <w:t xml:space="preserve"> 51(5), 655–61.</w:t>
      </w:r>
    </w:p>
    <w:p w14:paraId="5D150870" w14:textId="77777777" w:rsidR="003C651A" w:rsidRPr="002079F4" w:rsidRDefault="003C651A" w:rsidP="003C651A">
      <w:pPr>
        <w:widowControl w:val="0"/>
        <w:autoSpaceDE w:val="0"/>
        <w:autoSpaceDN w:val="0"/>
        <w:adjustRightInd w:val="0"/>
        <w:ind w:left="567" w:hanging="567"/>
        <w:rPr>
          <w:sz w:val="20"/>
          <w:szCs w:val="20"/>
          <w:lang w:val="en-US"/>
        </w:rPr>
      </w:pPr>
      <w:r w:rsidRPr="00DD2CAC">
        <w:rPr>
          <w:sz w:val="20"/>
          <w:szCs w:val="20"/>
          <w:lang w:val="en-US"/>
        </w:rPr>
        <w:t xml:space="preserve">Introna, F., G. Di Vella &amp; C.P. Campobasso, 1998. </w:t>
      </w:r>
      <w:r w:rsidRPr="002079F4">
        <w:rPr>
          <w:sz w:val="20"/>
          <w:szCs w:val="20"/>
          <w:lang w:val="en-US"/>
        </w:rPr>
        <w:t xml:space="preserve">Sex determination by discriminant analysis of patella measurements, </w:t>
      </w:r>
      <w:r w:rsidRPr="002079F4">
        <w:rPr>
          <w:i/>
          <w:iCs/>
          <w:sz w:val="20"/>
          <w:szCs w:val="20"/>
          <w:lang w:val="en-US"/>
        </w:rPr>
        <w:t>Forensic Science International</w:t>
      </w:r>
      <w:r w:rsidRPr="002079F4">
        <w:rPr>
          <w:sz w:val="20"/>
          <w:szCs w:val="20"/>
          <w:lang w:val="en-US"/>
        </w:rPr>
        <w:t xml:space="preserve"> 95(1), 39–45.</w:t>
      </w:r>
    </w:p>
    <w:p w14:paraId="0AF1AA60" w14:textId="77777777" w:rsidR="003C651A" w:rsidRPr="002079F4" w:rsidRDefault="003C651A" w:rsidP="003C651A">
      <w:pPr>
        <w:widowControl w:val="0"/>
        <w:autoSpaceDE w:val="0"/>
        <w:autoSpaceDN w:val="0"/>
        <w:adjustRightInd w:val="0"/>
        <w:ind w:left="567" w:hanging="567"/>
        <w:rPr>
          <w:sz w:val="20"/>
          <w:szCs w:val="20"/>
          <w:lang w:val="en-US"/>
        </w:rPr>
      </w:pPr>
      <w:r w:rsidRPr="00DD2CAC">
        <w:rPr>
          <w:sz w:val="20"/>
          <w:szCs w:val="20"/>
          <w:lang w:val="en-US"/>
        </w:rPr>
        <w:t xml:space="preserve">Introna, F., G. Di Vella, C.P. Campobasso &amp; M. Dragone, 1997. </w:t>
      </w:r>
      <w:r w:rsidRPr="002079F4">
        <w:rPr>
          <w:sz w:val="20"/>
          <w:szCs w:val="20"/>
          <w:lang w:val="en-US"/>
        </w:rPr>
        <w:t xml:space="preserve">Sex determination by discriminant analysis of calcanei measurements, </w:t>
      </w:r>
      <w:r w:rsidRPr="002079F4">
        <w:rPr>
          <w:i/>
          <w:iCs/>
          <w:sz w:val="20"/>
          <w:szCs w:val="20"/>
          <w:lang w:val="en-US"/>
        </w:rPr>
        <w:t>Journal of Forensic Sciences</w:t>
      </w:r>
      <w:r w:rsidRPr="002079F4">
        <w:rPr>
          <w:sz w:val="20"/>
          <w:szCs w:val="20"/>
          <w:lang w:val="en-US"/>
        </w:rPr>
        <w:t xml:space="preserve"> 42(4), 725–28.</w:t>
      </w:r>
    </w:p>
    <w:p w14:paraId="7421D7C0"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lang w:val="en-US"/>
        </w:rPr>
        <w:t xml:space="preserve">Jacobs, K., 1992. Estimating femur and tibia length from fragmentary bones: An evaluation of Steele’s (1970) method using a prehistoric European sample, </w:t>
      </w:r>
      <w:r w:rsidRPr="002079F4">
        <w:rPr>
          <w:i/>
          <w:iCs/>
          <w:sz w:val="20"/>
          <w:szCs w:val="20"/>
          <w:lang w:val="en-US"/>
        </w:rPr>
        <w:t>American Journal of Physical Anthropology</w:t>
      </w:r>
      <w:r w:rsidRPr="002079F4">
        <w:rPr>
          <w:sz w:val="20"/>
          <w:szCs w:val="20"/>
          <w:lang w:val="en-US"/>
        </w:rPr>
        <w:t xml:space="preserve"> 89(3), 333–45.</w:t>
      </w:r>
    </w:p>
    <w:p w14:paraId="515EC767"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rPr>
        <w:t xml:space="preserve">Knöpke, S., 2009. </w:t>
      </w:r>
      <w:r w:rsidRPr="002079F4">
        <w:rPr>
          <w:i/>
          <w:iCs/>
          <w:sz w:val="20"/>
          <w:szCs w:val="20"/>
        </w:rPr>
        <w:t>Der Urnenfelderzeitliche Männerfriedhof von Neckarsulm</w:t>
      </w:r>
      <w:r w:rsidRPr="002079F4">
        <w:rPr>
          <w:sz w:val="20"/>
          <w:szCs w:val="20"/>
        </w:rPr>
        <w:t xml:space="preserve"> (Forschungen und Berichte zur Vor- und Frühgeschichte in Baden-Württemberg 116). </w:t>
      </w:r>
      <w:r w:rsidRPr="002079F4">
        <w:rPr>
          <w:sz w:val="20"/>
          <w:szCs w:val="20"/>
          <w:lang w:val="en-US"/>
        </w:rPr>
        <w:t xml:space="preserve">Stuttgart: </w:t>
      </w:r>
      <w:proofErr w:type="spellStart"/>
      <w:r w:rsidRPr="002079F4">
        <w:rPr>
          <w:sz w:val="20"/>
          <w:szCs w:val="20"/>
          <w:lang w:val="en-US"/>
        </w:rPr>
        <w:t>Theiss</w:t>
      </w:r>
      <w:proofErr w:type="spellEnd"/>
      <w:r w:rsidRPr="002079F4">
        <w:rPr>
          <w:sz w:val="20"/>
          <w:szCs w:val="20"/>
          <w:lang w:val="en-US"/>
        </w:rPr>
        <w:t>.</w:t>
      </w:r>
    </w:p>
    <w:p w14:paraId="3C148E90" w14:textId="77777777" w:rsidR="003C651A" w:rsidRPr="002079F4" w:rsidRDefault="003C651A" w:rsidP="003C651A">
      <w:pPr>
        <w:widowControl w:val="0"/>
        <w:autoSpaceDE w:val="0"/>
        <w:autoSpaceDN w:val="0"/>
        <w:adjustRightInd w:val="0"/>
        <w:ind w:left="567" w:hanging="567"/>
        <w:rPr>
          <w:sz w:val="20"/>
          <w:szCs w:val="20"/>
          <w:lang w:val="en-US"/>
        </w:rPr>
      </w:pPr>
      <w:proofErr w:type="spellStart"/>
      <w:r w:rsidRPr="002079F4">
        <w:rPr>
          <w:sz w:val="20"/>
          <w:szCs w:val="20"/>
          <w:lang w:val="en-US"/>
        </w:rPr>
        <w:t>Krogman</w:t>
      </w:r>
      <w:proofErr w:type="spellEnd"/>
      <w:r w:rsidRPr="002079F4">
        <w:rPr>
          <w:sz w:val="20"/>
          <w:szCs w:val="20"/>
          <w:lang w:val="en-US"/>
        </w:rPr>
        <w:t xml:space="preserve">, W.M., 1962. </w:t>
      </w:r>
      <w:r w:rsidRPr="002079F4">
        <w:rPr>
          <w:i/>
          <w:iCs/>
          <w:sz w:val="20"/>
          <w:szCs w:val="20"/>
          <w:lang w:val="en-US"/>
        </w:rPr>
        <w:t>The Human Skeleton in Forensic Medicine</w:t>
      </w:r>
      <w:r w:rsidRPr="002079F4">
        <w:rPr>
          <w:sz w:val="20"/>
          <w:szCs w:val="20"/>
          <w:lang w:val="en-US"/>
        </w:rPr>
        <w:t>. Springfield, IL: C.C. Thomas.</w:t>
      </w:r>
    </w:p>
    <w:p w14:paraId="7BAE0379" w14:textId="77777777" w:rsidR="003C651A" w:rsidRPr="002079F4" w:rsidRDefault="003C651A" w:rsidP="003C651A">
      <w:pPr>
        <w:widowControl w:val="0"/>
        <w:autoSpaceDE w:val="0"/>
        <w:autoSpaceDN w:val="0"/>
        <w:adjustRightInd w:val="0"/>
        <w:ind w:left="567" w:hanging="567"/>
        <w:rPr>
          <w:sz w:val="20"/>
          <w:szCs w:val="20"/>
        </w:rPr>
      </w:pPr>
      <w:proofErr w:type="spellStart"/>
      <w:r w:rsidRPr="002079F4">
        <w:rPr>
          <w:sz w:val="20"/>
          <w:szCs w:val="20"/>
          <w:lang w:val="en-US"/>
        </w:rPr>
        <w:t>Krogman</w:t>
      </w:r>
      <w:proofErr w:type="spellEnd"/>
      <w:r w:rsidRPr="002079F4">
        <w:rPr>
          <w:sz w:val="20"/>
          <w:szCs w:val="20"/>
          <w:lang w:val="en-US"/>
        </w:rPr>
        <w:t xml:space="preserve">, W.M. &amp; M.Y. </w:t>
      </w:r>
      <w:proofErr w:type="spellStart"/>
      <w:r w:rsidRPr="002079F4">
        <w:rPr>
          <w:sz w:val="20"/>
          <w:szCs w:val="20"/>
          <w:lang w:val="en-US"/>
        </w:rPr>
        <w:t>İşcan</w:t>
      </w:r>
      <w:proofErr w:type="spellEnd"/>
      <w:r w:rsidRPr="002079F4">
        <w:rPr>
          <w:sz w:val="20"/>
          <w:szCs w:val="20"/>
          <w:lang w:val="en-US"/>
        </w:rPr>
        <w:t xml:space="preserve">, 1986. </w:t>
      </w:r>
      <w:r w:rsidRPr="002079F4">
        <w:rPr>
          <w:i/>
          <w:iCs/>
          <w:sz w:val="20"/>
          <w:szCs w:val="20"/>
          <w:lang w:val="en-US"/>
        </w:rPr>
        <w:t xml:space="preserve">The Human Skeleton in Forensic Medicine </w:t>
      </w:r>
      <w:r w:rsidRPr="002079F4">
        <w:rPr>
          <w:sz w:val="20"/>
          <w:szCs w:val="20"/>
          <w:lang w:val="en-US"/>
        </w:rPr>
        <w:t xml:space="preserve">2nd ed. </w:t>
      </w:r>
      <w:r w:rsidRPr="002079F4">
        <w:rPr>
          <w:sz w:val="20"/>
          <w:szCs w:val="20"/>
        </w:rPr>
        <w:t>Springfield, Ill., U.S.A: C.C. Thomas.</w:t>
      </w:r>
    </w:p>
    <w:p w14:paraId="5DC83F01"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rPr>
        <w:t xml:space="preserve">Lantermann, 1980. </w:t>
      </w:r>
      <w:r w:rsidRPr="002079F4">
        <w:rPr>
          <w:i/>
          <w:iCs/>
          <w:sz w:val="20"/>
          <w:szCs w:val="20"/>
        </w:rPr>
        <w:t xml:space="preserve">Anthropologische Untersuchungen an den Skeletten des bandkeramischen Gräberfeldes von Aiterhofen, Ldkr. </w:t>
      </w:r>
      <w:proofErr w:type="spellStart"/>
      <w:r w:rsidRPr="002079F4">
        <w:rPr>
          <w:i/>
          <w:iCs/>
          <w:sz w:val="20"/>
          <w:szCs w:val="20"/>
          <w:lang w:val="en-US"/>
        </w:rPr>
        <w:t>Straubing-Bogen</w:t>
      </w:r>
      <w:proofErr w:type="spellEnd"/>
      <w:r w:rsidRPr="002079F4">
        <w:rPr>
          <w:sz w:val="20"/>
          <w:szCs w:val="20"/>
          <w:lang w:val="en-US"/>
        </w:rPr>
        <w:t>, Frankfurt.</w:t>
      </w:r>
    </w:p>
    <w:p w14:paraId="6625E18D" w14:textId="77777777" w:rsidR="003C651A" w:rsidRPr="002079F4" w:rsidRDefault="003C651A" w:rsidP="003C651A">
      <w:pPr>
        <w:widowControl w:val="0"/>
        <w:autoSpaceDE w:val="0"/>
        <w:autoSpaceDN w:val="0"/>
        <w:adjustRightInd w:val="0"/>
        <w:ind w:left="567" w:hanging="567"/>
        <w:rPr>
          <w:sz w:val="20"/>
          <w:szCs w:val="20"/>
          <w:lang w:val="en-US"/>
        </w:rPr>
      </w:pPr>
      <w:proofErr w:type="spellStart"/>
      <w:r w:rsidRPr="002079F4">
        <w:rPr>
          <w:sz w:val="20"/>
          <w:szCs w:val="20"/>
          <w:lang w:val="en-US"/>
        </w:rPr>
        <w:t>Lübke</w:t>
      </w:r>
      <w:proofErr w:type="spellEnd"/>
      <w:r w:rsidRPr="002079F4">
        <w:rPr>
          <w:sz w:val="20"/>
          <w:szCs w:val="20"/>
          <w:lang w:val="en-US"/>
        </w:rPr>
        <w:t xml:space="preserve">, H., F. </w:t>
      </w:r>
      <w:proofErr w:type="spellStart"/>
      <w:r w:rsidRPr="002079F4">
        <w:rPr>
          <w:sz w:val="20"/>
          <w:szCs w:val="20"/>
          <w:lang w:val="en-US"/>
        </w:rPr>
        <w:t>Lüth</w:t>
      </w:r>
      <w:proofErr w:type="spellEnd"/>
      <w:r w:rsidRPr="002079F4">
        <w:rPr>
          <w:sz w:val="20"/>
          <w:szCs w:val="20"/>
          <w:lang w:val="en-US"/>
        </w:rPr>
        <w:t xml:space="preserve"> &amp; T. </w:t>
      </w:r>
      <w:proofErr w:type="spellStart"/>
      <w:r w:rsidRPr="002079F4">
        <w:rPr>
          <w:sz w:val="20"/>
          <w:szCs w:val="20"/>
          <w:lang w:val="en-US"/>
        </w:rPr>
        <w:t>Terberger</w:t>
      </w:r>
      <w:proofErr w:type="spellEnd"/>
      <w:r w:rsidRPr="002079F4">
        <w:rPr>
          <w:sz w:val="20"/>
          <w:szCs w:val="20"/>
          <w:lang w:val="en-US"/>
        </w:rPr>
        <w:t xml:space="preserve">, 2007. Fishers or farmers? The archaeology of the </w:t>
      </w:r>
      <w:proofErr w:type="spellStart"/>
      <w:r w:rsidRPr="002079F4">
        <w:rPr>
          <w:sz w:val="20"/>
          <w:szCs w:val="20"/>
          <w:lang w:val="en-US"/>
        </w:rPr>
        <w:t>Ostorf</w:t>
      </w:r>
      <w:proofErr w:type="spellEnd"/>
      <w:r w:rsidRPr="002079F4">
        <w:rPr>
          <w:sz w:val="20"/>
          <w:szCs w:val="20"/>
          <w:lang w:val="en-US"/>
        </w:rPr>
        <w:t xml:space="preserve"> cemetery and related Neolithic finds in the light of new data, </w:t>
      </w:r>
      <w:proofErr w:type="spellStart"/>
      <w:r w:rsidRPr="002079F4">
        <w:rPr>
          <w:i/>
          <w:iCs/>
          <w:sz w:val="20"/>
          <w:szCs w:val="20"/>
          <w:lang w:val="en-US"/>
        </w:rPr>
        <w:t>Bericht</w:t>
      </w:r>
      <w:proofErr w:type="spellEnd"/>
      <w:r w:rsidRPr="002079F4">
        <w:rPr>
          <w:i/>
          <w:iCs/>
          <w:sz w:val="20"/>
          <w:szCs w:val="20"/>
          <w:lang w:val="en-US"/>
        </w:rPr>
        <w:t xml:space="preserve"> der </w:t>
      </w:r>
      <w:proofErr w:type="spellStart"/>
      <w:r w:rsidRPr="002079F4">
        <w:rPr>
          <w:i/>
          <w:iCs/>
          <w:sz w:val="20"/>
          <w:szCs w:val="20"/>
          <w:lang w:val="en-US"/>
        </w:rPr>
        <w:t>Römisch-Germanischen</w:t>
      </w:r>
      <w:proofErr w:type="spellEnd"/>
      <w:r w:rsidRPr="002079F4">
        <w:rPr>
          <w:i/>
          <w:iCs/>
          <w:sz w:val="20"/>
          <w:szCs w:val="20"/>
          <w:lang w:val="en-US"/>
        </w:rPr>
        <w:t xml:space="preserve"> </w:t>
      </w:r>
      <w:proofErr w:type="spellStart"/>
      <w:r w:rsidRPr="002079F4">
        <w:rPr>
          <w:i/>
          <w:iCs/>
          <w:sz w:val="20"/>
          <w:szCs w:val="20"/>
          <w:lang w:val="en-US"/>
        </w:rPr>
        <w:t>Kommission</w:t>
      </w:r>
      <w:proofErr w:type="spellEnd"/>
      <w:r w:rsidRPr="002079F4">
        <w:rPr>
          <w:sz w:val="20"/>
          <w:szCs w:val="20"/>
          <w:lang w:val="en-US"/>
        </w:rPr>
        <w:t xml:space="preserve"> 88, 307–38.</w:t>
      </w:r>
    </w:p>
    <w:p w14:paraId="564AD668"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Martin, R., 1928. </w:t>
      </w:r>
      <w:r w:rsidRPr="002079F4">
        <w:rPr>
          <w:i/>
          <w:iCs/>
          <w:sz w:val="20"/>
          <w:szCs w:val="20"/>
        </w:rPr>
        <w:t xml:space="preserve">Lehrbuch Der Anthropologie </w:t>
      </w:r>
      <w:r w:rsidRPr="002079F4">
        <w:rPr>
          <w:sz w:val="20"/>
          <w:szCs w:val="20"/>
        </w:rPr>
        <w:t>2nd ed. Jena: Fischer.</w:t>
      </w:r>
    </w:p>
    <w:p w14:paraId="10103B1C"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Martin, R. &amp; K. Saller, 1957. </w:t>
      </w:r>
      <w:r w:rsidRPr="002079F4">
        <w:rPr>
          <w:i/>
          <w:iCs/>
          <w:sz w:val="20"/>
          <w:szCs w:val="20"/>
        </w:rPr>
        <w:t xml:space="preserve">Lehrbuch der Anthropologie 1 </w:t>
      </w:r>
      <w:r w:rsidRPr="002079F4">
        <w:rPr>
          <w:sz w:val="20"/>
          <w:szCs w:val="20"/>
        </w:rPr>
        <w:t>3rd ed. Stuttgart: Fischer.</w:t>
      </w:r>
    </w:p>
    <w:p w14:paraId="59B86727"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Menninger, M., 2008. </w:t>
      </w:r>
      <w:r w:rsidRPr="002079F4">
        <w:rPr>
          <w:i/>
          <w:iCs/>
          <w:sz w:val="20"/>
          <w:szCs w:val="20"/>
        </w:rPr>
        <w:t>Die schnurkeramischen Bestattungen von Lauda-Königshofen. Steinzeitliche Hirtennomanden im Taubertal?</w:t>
      </w:r>
      <w:r w:rsidRPr="002079F4">
        <w:rPr>
          <w:sz w:val="20"/>
          <w:szCs w:val="20"/>
        </w:rPr>
        <w:t>, Tübingen.</w:t>
      </w:r>
    </w:p>
    <w:p w14:paraId="125A3609"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rPr>
        <w:t xml:space="preserve">Murail, P., J. Bruzek, F. Houët &amp; E. Cunha, 2005. </w:t>
      </w:r>
      <w:r w:rsidRPr="002079F4">
        <w:rPr>
          <w:sz w:val="20"/>
          <w:szCs w:val="20"/>
          <w:lang w:val="en-US"/>
        </w:rPr>
        <w:t xml:space="preserve">DSP: A tool for probabilistic sex diagnosis using worldwide variability in hip-bone measurements, </w:t>
      </w:r>
      <w:r w:rsidRPr="002079F4">
        <w:rPr>
          <w:i/>
          <w:iCs/>
          <w:sz w:val="20"/>
          <w:szCs w:val="20"/>
          <w:lang w:val="en-US"/>
        </w:rPr>
        <w:t xml:space="preserve">Bulletins et </w:t>
      </w:r>
      <w:proofErr w:type="spellStart"/>
      <w:r w:rsidRPr="002079F4">
        <w:rPr>
          <w:i/>
          <w:iCs/>
          <w:sz w:val="20"/>
          <w:szCs w:val="20"/>
          <w:lang w:val="en-US"/>
        </w:rPr>
        <w:t>Mémoires</w:t>
      </w:r>
      <w:proofErr w:type="spellEnd"/>
      <w:r w:rsidRPr="002079F4">
        <w:rPr>
          <w:i/>
          <w:iCs/>
          <w:sz w:val="20"/>
          <w:szCs w:val="20"/>
          <w:lang w:val="en-US"/>
        </w:rPr>
        <w:t xml:space="preserve"> de la Société </w:t>
      </w:r>
      <w:proofErr w:type="spellStart"/>
      <w:r w:rsidRPr="002079F4">
        <w:rPr>
          <w:i/>
          <w:iCs/>
          <w:sz w:val="20"/>
          <w:szCs w:val="20"/>
          <w:lang w:val="en-US"/>
        </w:rPr>
        <w:t>d’Anthropologie</w:t>
      </w:r>
      <w:proofErr w:type="spellEnd"/>
      <w:r w:rsidRPr="002079F4">
        <w:rPr>
          <w:i/>
          <w:iCs/>
          <w:sz w:val="20"/>
          <w:szCs w:val="20"/>
          <w:lang w:val="en-US"/>
        </w:rPr>
        <w:t xml:space="preserve"> de Paris</w:t>
      </w:r>
      <w:r w:rsidRPr="002079F4">
        <w:rPr>
          <w:sz w:val="20"/>
          <w:szCs w:val="20"/>
          <w:lang w:val="en-US"/>
        </w:rPr>
        <w:t xml:space="preserve"> 17(3–4), 167–76.</w:t>
      </w:r>
    </w:p>
    <w:p w14:paraId="29D7BC35"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Neugebauer, J.-W., 1991. </w:t>
      </w:r>
      <w:r w:rsidRPr="002079F4">
        <w:rPr>
          <w:i/>
          <w:iCs/>
          <w:sz w:val="20"/>
          <w:szCs w:val="20"/>
        </w:rPr>
        <w:t>Die Nekropole F von Gemeinlebarn, Niederösterreich: Untersuchungen zu den Bestattungssitten und zum Grabraub in der ausgehenden Frühbronzezeit in Niederösterreich südlich der Donau zwischen Enns und Wienerwald</w:t>
      </w:r>
      <w:r w:rsidRPr="002079F4">
        <w:rPr>
          <w:sz w:val="20"/>
          <w:szCs w:val="20"/>
        </w:rPr>
        <w:t xml:space="preserve"> (Römisch-Germanische Forschungen 49). Mainz am Rhein: P. von Zabern.</w:t>
      </w:r>
    </w:p>
    <w:p w14:paraId="545BF4ED"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rPr>
        <w:t xml:space="preserve">Nieszery, N., 1995. </w:t>
      </w:r>
      <w:r w:rsidRPr="002079F4">
        <w:rPr>
          <w:i/>
          <w:iCs/>
          <w:sz w:val="20"/>
          <w:szCs w:val="20"/>
        </w:rPr>
        <w:t>Linearbandkeramische Gräberfelder in Bayern</w:t>
      </w:r>
      <w:r w:rsidRPr="002079F4">
        <w:rPr>
          <w:sz w:val="20"/>
          <w:szCs w:val="20"/>
        </w:rPr>
        <w:t xml:space="preserve"> (Internationale Archäologie 16). </w:t>
      </w:r>
      <w:proofErr w:type="spellStart"/>
      <w:r w:rsidRPr="002079F4">
        <w:rPr>
          <w:sz w:val="20"/>
          <w:szCs w:val="20"/>
          <w:lang w:val="en-US"/>
        </w:rPr>
        <w:t>Espelkamp</w:t>
      </w:r>
      <w:proofErr w:type="spellEnd"/>
      <w:r w:rsidRPr="002079F4">
        <w:rPr>
          <w:sz w:val="20"/>
          <w:szCs w:val="20"/>
          <w:lang w:val="en-US"/>
        </w:rPr>
        <w:t xml:space="preserve">: M.L. </w:t>
      </w:r>
      <w:proofErr w:type="spellStart"/>
      <w:r w:rsidRPr="002079F4">
        <w:rPr>
          <w:sz w:val="20"/>
          <w:szCs w:val="20"/>
          <w:lang w:val="en-US"/>
        </w:rPr>
        <w:t>Leidorf</w:t>
      </w:r>
      <w:proofErr w:type="spellEnd"/>
      <w:r w:rsidRPr="002079F4">
        <w:rPr>
          <w:sz w:val="20"/>
          <w:szCs w:val="20"/>
          <w:lang w:val="en-US"/>
        </w:rPr>
        <w:t>.</w:t>
      </w:r>
    </w:p>
    <w:p w14:paraId="66D0005C"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lang w:val="en-US"/>
        </w:rPr>
        <w:t xml:space="preserve">Olivier, G., 1960. </w:t>
      </w:r>
      <w:proofErr w:type="spellStart"/>
      <w:r w:rsidRPr="002079F4">
        <w:rPr>
          <w:i/>
          <w:iCs/>
          <w:sz w:val="20"/>
          <w:szCs w:val="20"/>
          <w:lang w:val="en-US"/>
        </w:rPr>
        <w:t>Pratiques</w:t>
      </w:r>
      <w:proofErr w:type="spellEnd"/>
      <w:r w:rsidRPr="002079F4">
        <w:rPr>
          <w:i/>
          <w:iCs/>
          <w:sz w:val="20"/>
          <w:szCs w:val="20"/>
          <w:lang w:val="en-US"/>
        </w:rPr>
        <w:t xml:space="preserve"> </w:t>
      </w:r>
      <w:proofErr w:type="spellStart"/>
      <w:r w:rsidRPr="002079F4">
        <w:rPr>
          <w:i/>
          <w:iCs/>
          <w:sz w:val="20"/>
          <w:szCs w:val="20"/>
          <w:lang w:val="en-US"/>
        </w:rPr>
        <w:t>Anthropologiques</w:t>
      </w:r>
      <w:proofErr w:type="spellEnd"/>
      <w:r w:rsidRPr="002079F4">
        <w:rPr>
          <w:sz w:val="20"/>
          <w:szCs w:val="20"/>
          <w:lang w:val="en-US"/>
        </w:rPr>
        <w:t xml:space="preserve">. Paris: </w:t>
      </w:r>
      <w:proofErr w:type="spellStart"/>
      <w:r w:rsidRPr="002079F4">
        <w:rPr>
          <w:sz w:val="20"/>
          <w:szCs w:val="20"/>
          <w:lang w:val="en-US"/>
        </w:rPr>
        <w:t>Vigot</w:t>
      </w:r>
      <w:proofErr w:type="spellEnd"/>
      <w:r w:rsidRPr="002079F4">
        <w:rPr>
          <w:sz w:val="20"/>
          <w:szCs w:val="20"/>
          <w:lang w:val="en-US"/>
        </w:rPr>
        <w:t xml:space="preserve"> Frères.</w:t>
      </w:r>
    </w:p>
    <w:p w14:paraId="54AAC893"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lang w:val="en-US"/>
        </w:rPr>
        <w:t xml:space="preserve">Olivier, G., C. Aaron, G. Fully &amp; G. </w:t>
      </w:r>
      <w:proofErr w:type="spellStart"/>
      <w:r w:rsidRPr="002079F4">
        <w:rPr>
          <w:sz w:val="20"/>
          <w:szCs w:val="20"/>
          <w:lang w:val="en-US"/>
        </w:rPr>
        <w:t>Tissier</w:t>
      </w:r>
      <w:proofErr w:type="spellEnd"/>
      <w:r w:rsidRPr="002079F4">
        <w:rPr>
          <w:sz w:val="20"/>
          <w:szCs w:val="20"/>
          <w:lang w:val="en-US"/>
        </w:rPr>
        <w:t xml:space="preserve">, 1978. New estimations of stature and cranial capacity in modern man, </w:t>
      </w:r>
      <w:r w:rsidRPr="002079F4">
        <w:rPr>
          <w:i/>
          <w:iCs/>
          <w:sz w:val="20"/>
          <w:szCs w:val="20"/>
          <w:lang w:val="en-US"/>
        </w:rPr>
        <w:t>Journal of Human Evolution</w:t>
      </w:r>
      <w:r w:rsidRPr="002079F4">
        <w:rPr>
          <w:sz w:val="20"/>
          <w:szCs w:val="20"/>
          <w:lang w:val="en-US"/>
        </w:rPr>
        <w:t xml:space="preserve"> 7(6), 513–18.</w:t>
      </w:r>
    </w:p>
    <w:p w14:paraId="36DD929C"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Ortolf, S.E., 2014. Das schnurkeramische Gräberfeld von Lauda-Königshofen im Taubertal, </w:t>
      </w:r>
      <w:r w:rsidRPr="002079F4">
        <w:rPr>
          <w:i/>
          <w:iCs/>
          <w:sz w:val="20"/>
          <w:szCs w:val="20"/>
        </w:rPr>
        <w:t>Fundberichte aus Baden-Württemberg</w:t>
      </w:r>
      <w:r w:rsidRPr="002079F4">
        <w:rPr>
          <w:sz w:val="20"/>
          <w:szCs w:val="20"/>
        </w:rPr>
        <w:t xml:space="preserve"> 34, 409-528 Seiten.</w:t>
      </w:r>
    </w:p>
    <w:p w14:paraId="6D4E3107" w14:textId="77777777" w:rsidR="003C651A" w:rsidRPr="002079F4" w:rsidRDefault="003C651A" w:rsidP="003C651A">
      <w:pPr>
        <w:widowControl w:val="0"/>
        <w:autoSpaceDE w:val="0"/>
        <w:autoSpaceDN w:val="0"/>
        <w:adjustRightInd w:val="0"/>
        <w:ind w:left="567" w:hanging="567"/>
        <w:rPr>
          <w:sz w:val="20"/>
          <w:szCs w:val="20"/>
          <w:lang w:val="en-US"/>
        </w:rPr>
      </w:pPr>
      <w:proofErr w:type="spellStart"/>
      <w:r w:rsidRPr="002079F4">
        <w:rPr>
          <w:sz w:val="20"/>
          <w:szCs w:val="20"/>
          <w:lang w:val="en-US"/>
        </w:rPr>
        <w:lastRenderedPageBreak/>
        <w:t>Patolla</w:t>
      </w:r>
      <w:proofErr w:type="spellEnd"/>
      <w:r w:rsidRPr="002079F4">
        <w:rPr>
          <w:sz w:val="20"/>
          <w:szCs w:val="20"/>
          <w:lang w:val="en-US"/>
        </w:rPr>
        <w:t xml:space="preserve">, M. &amp; W. Henke, 2007. The skeletal population from </w:t>
      </w:r>
      <w:proofErr w:type="spellStart"/>
      <w:r w:rsidRPr="002079F4">
        <w:rPr>
          <w:sz w:val="20"/>
          <w:szCs w:val="20"/>
          <w:lang w:val="en-US"/>
        </w:rPr>
        <w:t>Ostorf</w:t>
      </w:r>
      <w:proofErr w:type="spellEnd"/>
      <w:r w:rsidRPr="002079F4">
        <w:rPr>
          <w:sz w:val="20"/>
          <w:szCs w:val="20"/>
          <w:lang w:val="en-US"/>
        </w:rPr>
        <w:t xml:space="preserve"> (Mecklenburg) – new evidence for its relationships and life-style, </w:t>
      </w:r>
      <w:proofErr w:type="spellStart"/>
      <w:r w:rsidRPr="002079F4">
        <w:rPr>
          <w:i/>
          <w:iCs/>
          <w:sz w:val="20"/>
          <w:szCs w:val="20"/>
          <w:lang w:val="en-US"/>
        </w:rPr>
        <w:t>Bericht</w:t>
      </w:r>
      <w:proofErr w:type="spellEnd"/>
      <w:r w:rsidRPr="002079F4">
        <w:rPr>
          <w:i/>
          <w:iCs/>
          <w:sz w:val="20"/>
          <w:szCs w:val="20"/>
          <w:lang w:val="en-US"/>
        </w:rPr>
        <w:t xml:space="preserve"> der </w:t>
      </w:r>
      <w:proofErr w:type="spellStart"/>
      <w:r w:rsidRPr="002079F4">
        <w:rPr>
          <w:i/>
          <w:iCs/>
          <w:sz w:val="20"/>
          <w:szCs w:val="20"/>
          <w:lang w:val="en-US"/>
        </w:rPr>
        <w:t>Römisch-Germanischen</w:t>
      </w:r>
      <w:proofErr w:type="spellEnd"/>
      <w:r w:rsidRPr="002079F4">
        <w:rPr>
          <w:i/>
          <w:iCs/>
          <w:sz w:val="20"/>
          <w:szCs w:val="20"/>
          <w:lang w:val="en-US"/>
        </w:rPr>
        <w:t xml:space="preserve"> </w:t>
      </w:r>
      <w:proofErr w:type="spellStart"/>
      <w:r w:rsidRPr="002079F4">
        <w:rPr>
          <w:i/>
          <w:iCs/>
          <w:sz w:val="20"/>
          <w:szCs w:val="20"/>
          <w:lang w:val="en-US"/>
        </w:rPr>
        <w:t>Kommission</w:t>
      </w:r>
      <w:proofErr w:type="spellEnd"/>
      <w:r w:rsidRPr="002079F4">
        <w:rPr>
          <w:sz w:val="20"/>
          <w:szCs w:val="20"/>
          <w:lang w:val="en-US"/>
        </w:rPr>
        <w:t xml:space="preserve"> 88, 353–83.</w:t>
      </w:r>
    </w:p>
    <w:p w14:paraId="6BBBC8E2"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Petzold, U., 2005. Artefakte aus organischem Hartmaterial aus mitteldeutschen schnurkeramischen Gräbern, </w:t>
      </w:r>
      <w:r w:rsidRPr="002079F4">
        <w:rPr>
          <w:i/>
          <w:iCs/>
          <w:sz w:val="20"/>
          <w:szCs w:val="20"/>
        </w:rPr>
        <w:t>Leipziger Online-Beiträge zur Ur- und Frühgeschichtlichen Archäologie</w:t>
      </w:r>
      <w:r w:rsidRPr="002079F4">
        <w:rPr>
          <w:sz w:val="20"/>
          <w:szCs w:val="20"/>
        </w:rPr>
        <w:t xml:space="preserve"> 17, 1–10.</w:t>
      </w:r>
    </w:p>
    <w:p w14:paraId="1E16834F" w14:textId="77777777" w:rsidR="003C651A" w:rsidRPr="002079F4" w:rsidRDefault="003C651A" w:rsidP="003C651A">
      <w:pPr>
        <w:widowControl w:val="0"/>
        <w:autoSpaceDE w:val="0"/>
        <w:autoSpaceDN w:val="0"/>
        <w:adjustRightInd w:val="0"/>
        <w:ind w:left="567" w:hanging="567"/>
        <w:rPr>
          <w:sz w:val="20"/>
          <w:szCs w:val="20"/>
          <w:lang w:val="en-US"/>
        </w:rPr>
      </w:pPr>
      <w:proofErr w:type="spellStart"/>
      <w:r w:rsidRPr="002079F4">
        <w:rPr>
          <w:sz w:val="20"/>
          <w:szCs w:val="20"/>
          <w:lang w:val="en-US"/>
        </w:rPr>
        <w:t>Phenice</w:t>
      </w:r>
      <w:proofErr w:type="spellEnd"/>
      <w:r w:rsidRPr="002079F4">
        <w:rPr>
          <w:sz w:val="20"/>
          <w:szCs w:val="20"/>
          <w:lang w:val="en-US"/>
        </w:rPr>
        <w:t xml:space="preserve">, T.W., 1969. A newly developed visual method of sexing the </w:t>
      </w:r>
      <w:proofErr w:type="spellStart"/>
      <w:r w:rsidRPr="002079F4">
        <w:rPr>
          <w:sz w:val="20"/>
          <w:szCs w:val="20"/>
          <w:lang w:val="en-US"/>
        </w:rPr>
        <w:t>os</w:t>
      </w:r>
      <w:proofErr w:type="spellEnd"/>
      <w:r w:rsidRPr="002079F4">
        <w:rPr>
          <w:sz w:val="20"/>
          <w:szCs w:val="20"/>
          <w:lang w:val="en-US"/>
        </w:rPr>
        <w:t xml:space="preserve"> pubis, </w:t>
      </w:r>
      <w:r w:rsidRPr="002079F4">
        <w:rPr>
          <w:i/>
          <w:iCs/>
          <w:sz w:val="20"/>
          <w:szCs w:val="20"/>
          <w:lang w:val="en-US"/>
        </w:rPr>
        <w:t>American Journal of Physical Anthropology</w:t>
      </w:r>
      <w:r w:rsidRPr="002079F4">
        <w:rPr>
          <w:sz w:val="20"/>
          <w:szCs w:val="20"/>
          <w:lang w:val="en-US"/>
        </w:rPr>
        <w:t xml:space="preserve"> 30(2), 297–301.</w:t>
      </w:r>
    </w:p>
    <w:p w14:paraId="60B83541"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Primas, M., 1977. Untersuchungen zu den Bestattungssitten der ausgehenden Kupfer- und frühen Bronzezeit. Grabbau, Bestattungsformen und Beigabensitten im südlichen Mitteleuropa, </w:t>
      </w:r>
      <w:r w:rsidRPr="002079F4">
        <w:rPr>
          <w:i/>
          <w:iCs/>
          <w:sz w:val="20"/>
          <w:szCs w:val="20"/>
        </w:rPr>
        <w:t>Bericht der Römisch-Germanischen Kommission</w:t>
      </w:r>
      <w:r w:rsidRPr="002079F4">
        <w:rPr>
          <w:sz w:val="20"/>
          <w:szCs w:val="20"/>
        </w:rPr>
        <w:t xml:space="preserve"> 58, 1–124.</w:t>
      </w:r>
    </w:p>
    <w:p w14:paraId="15DFEA5D" w14:textId="77777777" w:rsidR="003C651A" w:rsidRPr="00DD2CAC" w:rsidRDefault="003C651A" w:rsidP="003C651A">
      <w:pPr>
        <w:widowControl w:val="0"/>
        <w:autoSpaceDE w:val="0"/>
        <w:autoSpaceDN w:val="0"/>
        <w:adjustRightInd w:val="0"/>
        <w:ind w:left="567" w:hanging="567"/>
        <w:rPr>
          <w:sz w:val="20"/>
          <w:szCs w:val="20"/>
        </w:rPr>
      </w:pPr>
      <w:r w:rsidRPr="00DD2CAC">
        <w:rPr>
          <w:sz w:val="20"/>
          <w:szCs w:val="20"/>
        </w:rPr>
        <w:t xml:space="preserve">Pulcini, M., Letizia, 2014. </w:t>
      </w:r>
      <w:r w:rsidRPr="00DD2CAC">
        <w:rPr>
          <w:i/>
          <w:iCs/>
          <w:sz w:val="20"/>
          <w:szCs w:val="20"/>
        </w:rPr>
        <w:t>La Necropoli di Olmo di Nogara (Verona). Studio paleobiologico dei resti umani per la ricostruzione dell’organizzazione di una comunita’ dell’Eta’ del bronzo padana</w:t>
      </w:r>
      <w:r w:rsidRPr="00DD2CAC">
        <w:rPr>
          <w:sz w:val="20"/>
          <w:szCs w:val="20"/>
        </w:rPr>
        <w:t>, Padova.</w:t>
      </w:r>
    </w:p>
    <w:p w14:paraId="4A2EACE7" w14:textId="77777777" w:rsidR="003C651A" w:rsidRPr="002079F4" w:rsidRDefault="003C651A" w:rsidP="003C651A">
      <w:pPr>
        <w:widowControl w:val="0"/>
        <w:autoSpaceDE w:val="0"/>
        <w:autoSpaceDN w:val="0"/>
        <w:adjustRightInd w:val="0"/>
        <w:ind w:left="567" w:hanging="567"/>
        <w:rPr>
          <w:sz w:val="20"/>
          <w:szCs w:val="20"/>
          <w:lang w:val="en-US"/>
        </w:rPr>
      </w:pPr>
      <w:proofErr w:type="spellStart"/>
      <w:r w:rsidRPr="002079F4">
        <w:rPr>
          <w:sz w:val="20"/>
          <w:szCs w:val="20"/>
          <w:lang w:val="en-US"/>
        </w:rPr>
        <w:t>Robling</w:t>
      </w:r>
      <w:proofErr w:type="spellEnd"/>
      <w:r w:rsidRPr="002079F4">
        <w:rPr>
          <w:sz w:val="20"/>
          <w:szCs w:val="20"/>
          <w:lang w:val="en-US"/>
        </w:rPr>
        <w:t xml:space="preserve">, A.G. &amp; D.H. </w:t>
      </w:r>
      <w:proofErr w:type="spellStart"/>
      <w:r w:rsidRPr="002079F4">
        <w:rPr>
          <w:sz w:val="20"/>
          <w:szCs w:val="20"/>
          <w:lang w:val="en-US"/>
        </w:rPr>
        <w:t>Ubelaker</w:t>
      </w:r>
      <w:proofErr w:type="spellEnd"/>
      <w:r w:rsidRPr="002079F4">
        <w:rPr>
          <w:sz w:val="20"/>
          <w:szCs w:val="20"/>
          <w:lang w:val="en-US"/>
        </w:rPr>
        <w:t xml:space="preserve">, 1997. Sex estimation from the metatarsals, </w:t>
      </w:r>
      <w:r w:rsidRPr="002079F4">
        <w:rPr>
          <w:i/>
          <w:iCs/>
          <w:sz w:val="20"/>
          <w:szCs w:val="20"/>
          <w:lang w:val="en-US"/>
        </w:rPr>
        <w:t>Journal of Forensic Sciences</w:t>
      </w:r>
      <w:r w:rsidRPr="002079F4">
        <w:rPr>
          <w:sz w:val="20"/>
          <w:szCs w:val="20"/>
          <w:lang w:val="en-US"/>
        </w:rPr>
        <w:t xml:space="preserve"> 42(6), 1062–69.</w:t>
      </w:r>
    </w:p>
    <w:p w14:paraId="7BABFFD1" w14:textId="77777777" w:rsidR="003C651A" w:rsidRPr="00DD2CAC" w:rsidRDefault="003C651A" w:rsidP="003C651A">
      <w:pPr>
        <w:widowControl w:val="0"/>
        <w:autoSpaceDE w:val="0"/>
        <w:autoSpaceDN w:val="0"/>
        <w:adjustRightInd w:val="0"/>
        <w:ind w:left="567" w:hanging="567"/>
        <w:rPr>
          <w:sz w:val="20"/>
          <w:szCs w:val="20"/>
        </w:rPr>
      </w:pPr>
      <w:r w:rsidRPr="002079F4">
        <w:rPr>
          <w:sz w:val="20"/>
          <w:szCs w:val="20"/>
        </w:rPr>
        <w:t xml:space="preserve">Rösing, F.W., 1988. Körperhöhenrekonstruktion aus Skelettmaßen, in </w:t>
      </w:r>
      <w:r w:rsidRPr="002079F4">
        <w:rPr>
          <w:i/>
          <w:iCs/>
          <w:sz w:val="20"/>
          <w:szCs w:val="20"/>
        </w:rPr>
        <w:t>Anthropologie. Handbuch der vergleichenden Biologie des Menschen I/1</w:t>
      </w:r>
      <w:r w:rsidRPr="002079F4">
        <w:rPr>
          <w:sz w:val="20"/>
          <w:szCs w:val="20"/>
        </w:rPr>
        <w:t xml:space="preserve">, ed. R. Knussmann. </w:t>
      </w:r>
      <w:r w:rsidRPr="00DD2CAC">
        <w:rPr>
          <w:sz w:val="20"/>
          <w:szCs w:val="20"/>
        </w:rPr>
        <w:t>Stuttgart, New York: Fischer, 586–600.</w:t>
      </w:r>
    </w:p>
    <w:p w14:paraId="1081F655" w14:textId="77777777" w:rsidR="003C651A" w:rsidRPr="00DD2CAC" w:rsidRDefault="003C651A" w:rsidP="003C651A">
      <w:pPr>
        <w:widowControl w:val="0"/>
        <w:autoSpaceDE w:val="0"/>
        <w:autoSpaceDN w:val="0"/>
        <w:adjustRightInd w:val="0"/>
        <w:ind w:left="567" w:hanging="567"/>
        <w:rPr>
          <w:sz w:val="20"/>
          <w:szCs w:val="20"/>
        </w:rPr>
      </w:pPr>
      <w:r w:rsidRPr="00DD2CAC">
        <w:rPr>
          <w:sz w:val="20"/>
          <w:szCs w:val="20"/>
        </w:rPr>
        <w:t xml:space="preserve">Salzani, L., 1988. Necropoli dell’età del Bronzo in località Olmo di Nogara, </w:t>
      </w:r>
      <w:r w:rsidRPr="00DD2CAC">
        <w:rPr>
          <w:i/>
          <w:iCs/>
          <w:sz w:val="20"/>
          <w:szCs w:val="20"/>
        </w:rPr>
        <w:t>Quaderni di Archeologia del Veneto</w:t>
      </w:r>
      <w:r w:rsidRPr="00DD2CAC">
        <w:rPr>
          <w:sz w:val="20"/>
          <w:szCs w:val="20"/>
        </w:rPr>
        <w:t xml:space="preserve"> IV, 231–37.</w:t>
      </w:r>
    </w:p>
    <w:p w14:paraId="64D3C2AA" w14:textId="77777777" w:rsidR="003C651A" w:rsidRPr="00DD2CAC" w:rsidRDefault="003C651A" w:rsidP="003C651A">
      <w:pPr>
        <w:widowControl w:val="0"/>
        <w:autoSpaceDE w:val="0"/>
        <w:autoSpaceDN w:val="0"/>
        <w:adjustRightInd w:val="0"/>
        <w:ind w:left="567" w:hanging="567"/>
        <w:rPr>
          <w:sz w:val="20"/>
          <w:szCs w:val="20"/>
          <w:lang w:val="en-US"/>
        </w:rPr>
      </w:pPr>
      <w:r w:rsidRPr="00DD2CAC">
        <w:rPr>
          <w:sz w:val="20"/>
          <w:szCs w:val="20"/>
          <w:lang w:val="en-US"/>
        </w:rPr>
        <w:t xml:space="preserve">Salzani, L. (ed.), 2005. </w:t>
      </w:r>
      <w:r w:rsidRPr="00DD2CAC">
        <w:rPr>
          <w:i/>
          <w:iCs/>
          <w:sz w:val="20"/>
          <w:szCs w:val="20"/>
          <w:lang w:val="en-US"/>
        </w:rPr>
        <w:t>La necropoli dell’età del bronzo all’Olmo di Nogara</w:t>
      </w:r>
      <w:r w:rsidRPr="00DD2CAC">
        <w:rPr>
          <w:sz w:val="20"/>
          <w:szCs w:val="20"/>
          <w:lang w:val="en-US"/>
        </w:rPr>
        <w:t xml:space="preserve"> (Memorie del Museo civico di storia naturale di Verona. 2. serie. Sezione scienze dell’uomo 8). Verona: Museo civico di storia naturale.</w:t>
      </w:r>
    </w:p>
    <w:p w14:paraId="2ADFDEE8" w14:textId="77777777" w:rsidR="003C651A" w:rsidRPr="002079F4" w:rsidRDefault="003C651A" w:rsidP="003C651A">
      <w:pPr>
        <w:widowControl w:val="0"/>
        <w:autoSpaceDE w:val="0"/>
        <w:autoSpaceDN w:val="0"/>
        <w:adjustRightInd w:val="0"/>
        <w:ind w:left="567" w:hanging="567"/>
        <w:rPr>
          <w:sz w:val="20"/>
          <w:szCs w:val="20"/>
        </w:rPr>
      </w:pPr>
      <w:r w:rsidRPr="00DD2CAC">
        <w:rPr>
          <w:sz w:val="20"/>
          <w:szCs w:val="20"/>
          <w:lang w:val="en-US"/>
        </w:rPr>
        <w:t xml:space="preserve">Salzani, L., J. Rizzi &amp; U. Tecchiati, 2016. </w:t>
      </w:r>
      <w:r w:rsidRPr="00DD2CAC">
        <w:rPr>
          <w:sz w:val="20"/>
          <w:szCs w:val="20"/>
        </w:rPr>
        <w:t xml:space="preserve">La necropoli di Olmo di Nogara (Verona). </w:t>
      </w:r>
      <w:r w:rsidRPr="002079F4">
        <w:rPr>
          <w:sz w:val="20"/>
          <w:szCs w:val="20"/>
        </w:rPr>
        <w:t xml:space="preserve">Scavo 2009, </w:t>
      </w:r>
      <w:r w:rsidRPr="002079F4">
        <w:rPr>
          <w:i/>
          <w:iCs/>
          <w:sz w:val="20"/>
          <w:szCs w:val="20"/>
        </w:rPr>
        <w:t>Rivista di Scienze Preistoriche</w:t>
      </w:r>
      <w:r w:rsidRPr="002079F4">
        <w:rPr>
          <w:sz w:val="20"/>
          <w:szCs w:val="20"/>
        </w:rPr>
        <w:t xml:space="preserve"> 66, 195–261.</w:t>
      </w:r>
    </w:p>
    <w:p w14:paraId="69773A61"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Schiesberg, S., 2013. Überlegungen zu Normen und Abweichungen im Bestattungsbrauch der Trichterbecherzeit unter besonderer Berücksichtigung des Gräberfeldes von Ostdorf-Tannenwerder, in </w:t>
      </w:r>
      <w:r w:rsidRPr="002079F4">
        <w:rPr>
          <w:i/>
          <w:iCs/>
          <w:sz w:val="20"/>
          <w:szCs w:val="20"/>
        </w:rPr>
        <w:t>‘Irreguläre’ Bestattungen in der Urgeschichte : Norm, Ritual, Strafe ...? : Akten der internationalen Tagung in Frankfurt a. M. vom 3. bis 5. Februar 2012</w:t>
      </w:r>
      <w:r w:rsidRPr="002079F4">
        <w:rPr>
          <w:sz w:val="20"/>
          <w:szCs w:val="20"/>
        </w:rPr>
        <w:t>, ed. N. Müller-Scheeßel (Kolloquien zur Vor- und Frühgeschichte 19). Bonn: Habelt, 197–210.</w:t>
      </w:r>
    </w:p>
    <w:p w14:paraId="1E077BC0"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Schuldt, E., 1961. Abschließende Ausgrabungen aus dem jungsteinzeitlichen Flachgräberfeld von Ostorf 1961, </w:t>
      </w:r>
      <w:r w:rsidRPr="002079F4">
        <w:rPr>
          <w:i/>
          <w:iCs/>
          <w:sz w:val="20"/>
          <w:szCs w:val="20"/>
        </w:rPr>
        <w:t>Jahrbuch für Bodendenkmalpflege Mecklenburg</w:t>
      </w:r>
      <w:r w:rsidRPr="002079F4">
        <w:rPr>
          <w:sz w:val="20"/>
          <w:szCs w:val="20"/>
        </w:rPr>
        <w:t xml:space="preserve"> 1961, 131–78.</w:t>
      </w:r>
    </w:p>
    <w:p w14:paraId="2023266E"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Schutkowski, H., 1989. Beitrag zur Alters- und Geschlechtsdiagnose am Skelett nichterwachsener Individuen, </w:t>
      </w:r>
      <w:r w:rsidRPr="002079F4">
        <w:rPr>
          <w:i/>
          <w:iCs/>
          <w:sz w:val="20"/>
          <w:szCs w:val="20"/>
        </w:rPr>
        <w:t>Anthropologischer Anzeiger</w:t>
      </w:r>
      <w:r w:rsidRPr="002079F4">
        <w:rPr>
          <w:sz w:val="20"/>
          <w:szCs w:val="20"/>
        </w:rPr>
        <w:t xml:space="preserve"> 47,1, 1–9.</w:t>
      </w:r>
    </w:p>
    <w:p w14:paraId="7F860DD8"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Sjovold, R., 1988. Geschlechtsdiagnose am Skelett, in </w:t>
      </w:r>
      <w:r w:rsidRPr="002079F4">
        <w:rPr>
          <w:i/>
          <w:iCs/>
          <w:sz w:val="20"/>
          <w:szCs w:val="20"/>
        </w:rPr>
        <w:t>Anthropologie. Handbuch der vergleichenden Biologie des Menschen I/1</w:t>
      </w:r>
      <w:r w:rsidRPr="002079F4">
        <w:rPr>
          <w:sz w:val="20"/>
          <w:szCs w:val="20"/>
        </w:rPr>
        <w:t>, ed. R. Knussmann. Stuttgart, New York: Fischer, 444–79.</w:t>
      </w:r>
    </w:p>
    <w:p w14:paraId="54CE0709"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Spatz, H., 1999. </w:t>
      </w:r>
      <w:r w:rsidRPr="002079F4">
        <w:rPr>
          <w:i/>
          <w:iCs/>
          <w:sz w:val="20"/>
          <w:szCs w:val="20"/>
        </w:rPr>
        <w:t>Das Mittelneolithische Gräberfeld von Trebur, Kreis Groß-Gerau</w:t>
      </w:r>
      <w:r w:rsidRPr="002079F4">
        <w:rPr>
          <w:sz w:val="20"/>
          <w:szCs w:val="20"/>
        </w:rPr>
        <w:t xml:space="preserve"> (Materialien zur Vor- und Frühgeschichte von Hessen 19). Wiesbaden: Landesamt für Denkmalpflege Hessen.</w:t>
      </w:r>
    </w:p>
    <w:p w14:paraId="7EF0CFF0"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Starp, S., 1990. </w:t>
      </w:r>
      <w:r w:rsidRPr="002079F4">
        <w:rPr>
          <w:i/>
          <w:iCs/>
          <w:sz w:val="20"/>
          <w:szCs w:val="20"/>
        </w:rPr>
        <w:t>Untersuchungen zur Geschlechtsbestimmung der Individuen zweier frühneolithischer Skelettserien aus Baden-Württemberg anhand der Zahnmaße</w:t>
      </w:r>
      <w:r w:rsidRPr="002079F4">
        <w:rPr>
          <w:sz w:val="20"/>
          <w:szCs w:val="20"/>
        </w:rPr>
        <w:t>, Tübingen.</w:t>
      </w:r>
    </w:p>
    <w:p w14:paraId="77662B10"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lang w:val="en-US"/>
        </w:rPr>
        <w:t xml:space="preserve">Steel, F.L.D., 1962. The Sexing of Long Bones, with Reference to the St Bride’s Series of Identified Skeletons, </w:t>
      </w:r>
      <w:r w:rsidRPr="002079F4">
        <w:rPr>
          <w:i/>
          <w:iCs/>
          <w:sz w:val="20"/>
          <w:szCs w:val="20"/>
          <w:lang w:val="en-US"/>
        </w:rPr>
        <w:t>The Journal of the Royal Anthropological Institute of Great Britain and Ireland</w:t>
      </w:r>
      <w:r w:rsidRPr="002079F4">
        <w:rPr>
          <w:sz w:val="20"/>
          <w:szCs w:val="20"/>
          <w:lang w:val="en-US"/>
        </w:rPr>
        <w:t xml:space="preserve"> 92(2), 212–22.</w:t>
      </w:r>
    </w:p>
    <w:p w14:paraId="258EEED7"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lang w:val="en-US"/>
        </w:rPr>
        <w:t xml:space="preserve">Steele, D.G., 1975. The estimation of sex on the basis of the talus and calcaneus, </w:t>
      </w:r>
      <w:r w:rsidRPr="002079F4">
        <w:rPr>
          <w:i/>
          <w:iCs/>
          <w:sz w:val="20"/>
          <w:szCs w:val="20"/>
          <w:lang w:val="en-US"/>
        </w:rPr>
        <w:t>American Journal of Physical Anthropology</w:t>
      </w:r>
      <w:r w:rsidRPr="002079F4">
        <w:rPr>
          <w:sz w:val="20"/>
          <w:szCs w:val="20"/>
          <w:lang w:val="en-US"/>
        </w:rPr>
        <w:t xml:space="preserve"> 45(3), 581–88.</w:t>
      </w:r>
    </w:p>
    <w:p w14:paraId="776D627A"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lang w:val="en-US"/>
        </w:rPr>
        <w:t xml:space="preserve">Stewart, T.D., 1979. </w:t>
      </w:r>
      <w:r w:rsidRPr="002079F4">
        <w:rPr>
          <w:i/>
          <w:iCs/>
          <w:sz w:val="20"/>
          <w:szCs w:val="20"/>
          <w:lang w:val="en-US"/>
        </w:rPr>
        <w:t>Essentials of Forensic Anthropology, Especially as Developed in the United States</w:t>
      </w:r>
      <w:r w:rsidRPr="002079F4">
        <w:rPr>
          <w:sz w:val="20"/>
          <w:szCs w:val="20"/>
          <w:lang w:val="en-US"/>
        </w:rPr>
        <w:t>. Springfield, Ill.: Thomas.</w:t>
      </w:r>
    </w:p>
    <w:p w14:paraId="3A67E140"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lang w:val="en-US"/>
        </w:rPr>
        <w:t xml:space="preserve">Sutherland, L.D. &amp; J.M. </w:t>
      </w:r>
      <w:proofErr w:type="spellStart"/>
      <w:r w:rsidRPr="002079F4">
        <w:rPr>
          <w:sz w:val="20"/>
          <w:szCs w:val="20"/>
          <w:lang w:val="en-US"/>
        </w:rPr>
        <w:t>Suchey</w:t>
      </w:r>
      <w:proofErr w:type="spellEnd"/>
      <w:r w:rsidRPr="002079F4">
        <w:rPr>
          <w:sz w:val="20"/>
          <w:szCs w:val="20"/>
          <w:lang w:val="en-US"/>
        </w:rPr>
        <w:t xml:space="preserve">, 1991. Use of the ventral arc in pubic sex determination, </w:t>
      </w:r>
      <w:r w:rsidRPr="002079F4">
        <w:rPr>
          <w:i/>
          <w:iCs/>
          <w:sz w:val="20"/>
          <w:szCs w:val="20"/>
          <w:lang w:val="en-US"/>
        </w:rPr>
        <w:t>Journal of Forensic Sciences</w:t>
      </w:r>
      <w:r w:rsidRPr="002079F4">
        <w:rPr>
          <w:sz w:val="20"/>
          <w:szCs w:val="20"/>
          <w:lang w:val="en-US"/>
        </w:rPr>
        <w:t xml:space="preserve"> 36(2), 501–11.</w:t>
      </w:r>
    </w:p>
    <w:p w14:paraId="3E3922B3"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Trautmann, M., 2012. Die schnurkeramischen Bestattungen von Lauda-Königshofen. Steinzeitliche Hirtennomaden im Taubertal?, </w:t>
      </w:r>
      <w:r w:rsidRPr="002079F4">
        <w:rPr>
          <w:i/>
          <w:iCs/>
          <w:sz w:val="20"/>
          <w:szCs w:val="20"/>
        </w:rPr>
        <w:t>Fundberichte aus Baden-Württemberg</w:t>
      </w:r>
      <w:r w:rsidRPr="002079F4">
        <w:rPr>
          <w:sz w:val="20"/>
          <w:szCs w:val="20"/>
        </w:rPr>
        <w:t xml:space="preserve"> 32, 265–476.</w:t>
      </w:r>
    </w:p>
    <w:p w14:paraId="30F50DB0"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rPr>
        <w:t xml:space="preserve">Ubelaker, D.H., 1974. </w:t>
      </w:r>
      <w:r w:rsidRPr="002079F4">
        <w:rPr>
          <w:sz w:val="20"/>
          <w:szCs w:val="20"/>
          <w:lang w:val="en-US"/>
        </w:rPr>
        <w:t xml:space="preserve">Reconstruction of Demographic Profiles from Ossuary Skeletal Samples: A Case Study from the Tidewater Potomac, </w:t>
      </w:r>
      <w:r w:rsidRPr="002079F4">
        <w:rPr>
          <w:i/>
          <w:iCs/>
          <w:sz w:val="20"/>
          <w:szCs w:val="20"/>
          <w:lang w:val="en-US"/>
        </w:rPr>
        <w:t>Smithsonian Contributions to Anthropology</w:t>
      </w:r>
      <w:r w:rsidRPr="002079F4">
        <w:rPr>
          <w:sz w:val="20"/>
          <w:szCs w:val="20"/>
          <w:lang w:val="en-US"/>
        </w:rPr>
        <w:t xml:space="preserve"> (18), 1–79.</w:t>
      </w:r>
    </w:p>
    <w:p w14:paraId="441AD88D"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Wahl, J., 1981. Ein Beitrag zur metrischen Geschlechtsdiagnose verbrannter und unverbrannter menschlicher Knochenreste – ausgearbeitet an der Pars petrosa ossis temporalis, </w:t>
      </w:r>
      <w:r w:rsidRPr="002079F4">
        <w:rPr>
          <w:i/>
          <w:iCs/>
          <w:sz w:val="20"/>
          <w:szCs w:val="20"/>
        </w:rPr>
        <w:t>Zeitschrift für Rechtsmedizin</w:t>
      </w:r>
      <w:r w:rsidRPr="002079F4">
        <w:rPr>
          <w:sz w:val="20"/>
          <w:szCs w:val="20"/>
        </w:rPr>
        <w:t xml:space="preserve"> 86(2), 79–101.</w:t>
      </w:r>
    </w:p>
    <w:p w14:paraId="54F27B3A" w14:textId="77777777" w:rsidR="003C651A" w:rsidRPr="002079F4" w:rsidRDefault="003C651A" w:rsidP="003C651A">
      <w:pPr>
        <w:widowControl w:val="0"/>
        <w:autoSpaceDE w:val="0"/>
        <w:autoSpaceDN w:val="0"/>
        <w:adjustRightInd w:val="0"/>
        <w:ind w:left="567" w:hanging="567"/>
        <w:rPr>
          <w:sz w:val="20"/>
          <w:szCs w:val="20"/>
          <w:lang w:val="en-US"/>
        </w:rPr>
      </w:pPr>
      <w:r w:rsidRPr="002079F4">
        <w:rPr>
          <w:sz w:val="20"/>
          <w:szCs w:val="20"/>
          <w:lang w:val="en-US"/>
        </w:rPr>
        <w:t xml:space="preserve">Wahl, J. &amp; M. Graw, 2001. Metric sex differentiation of the pars petrosa </w:t>
      </w:r>
      <w:proofErr w:type="spellStart"/>
      <w:r w:rsidRPr="002079F4">
        <w:rPr>
          <w:sz w:val="20"/>
          <w:szCs w:val="20"/>
          <w:lang w:val="en-US"/>
        </w:rPr>
        <w:t>ossis</w:t>
      </w:r>
      <w:proofErr w:type="spellEnd"/>
      <w:r w:rsidRPr="002079F4">
        <w:rPr>
          <w:sz w:val="20"/>
          <w:szCs w:val="20"/>
          <w:lang w:val="en-US"/>
        </w:rPr>
        <w:t xml:space="preserve"> temporalis, </w:t>
      </w:r>
      <w:r w:rsidRPr="002079F4">
        <w:rPr>
          <w:i/>
          <w:iCs/>
          <w:sz w:val="20"/>
          <w:szCs w:val="20"/>
          <w:lang w:val="en-US"/>
        </w:rPr>
        <w:t>International Journal of Legal Medicine</w:t>
      </w:r>
      <w:r w:rsidRPr="002079F4">
        <w:rPr>
          <w:sz w:val="20"/>
          <w:szCs w:val="20"/>
          <w:lang w:val="en-US"/>
        </w:rPr>
        <w:t xml:space="preserve"> 114(4–5), 215–23.</w:t>
      </w:r>
    </w:p>
    <w:p w14:paraId="756E5063" w14:textId="77777777" w:rsidR="003C651A" w:rsidRPr="002079F4" w:rsidRDefault="003C651A" w:rsidP="003C651A">
      <w:pPr>
        <w:widowControl w:val="0"/>
        <w:autoSpaceDE w:val="0"/>
        <w:autoSpaceDN w:val="0"/>
        <w:adjustRightInd w:val="0"/>
        <w:ind w:left="567" w:hanging="567"/>
        <w:rPr>
          <w:sz w:val="20"/>
          <w:szCs w:val="20"/>
        </w:rPr>
      </w:pPr>
      <w:r w:rsidRPr="002079F4">
        <w:rPr>
          <w:sz w:val="20"/>
          <w:szCs w:val="20"/>
        </w:rPr>
        <w:t xml:space="preserve">Wahl, J. &amp; W. Henke, 1980. Die Pars petrosa als Diagnostikum für die multivariat-biometrische Geschlechtsbestimmung von Leichenbrandmaterial, </w:t>
      </w:r>
      <w:r w:rsidRPr="002079F4">
        <w:rPr>
          <w:i/>
          <w:iCs/>
          <w:sz w:val="20"/>
          <w:szCs w:val="20"/>
        </w:rPr>
        <w:t>Zeitschrift für Morphologie und Anthropologie</w:t>
      </w:r>
      <w:r w:rsidRPr="002079F4">
        <w:rPr>
          <w:sz w:val="20"/>
          <w:szCs w:val="20"/>
        </w:rPr>
        <w:t xml:space="preserve"> 70, 258–68.</w:t>
      </w:r>
    </w:p>
    <w:p w14:paraId="0FEA72EC" w14:textId="77777777" w:rsidR="003C10FD" w:rsidRPr="006B7E9B" w:rsidRDefault="003C10FD" w:rsidP="00813BB1">
      <w:pPr>
        <w:rPr>
          <w:bCs/>
          <w:sz w:val="20"/>
          <w:szCs w:val="20"/>
        </w:rPr>
      </w:pPr>
    </w:p>
    <w:sectPr w:rsidR="003C10FD" w:rsidRPr="006B7E9B" w:rsidSect="00876616">
      <w:footerReference w:type="even" r:id="rId8"/>
      <w:footerReference w:type="default" r:id="rId9"/>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30925" w16cex:dateUtc="2022-06-02T08:02:00Z"/>
  <w16cex:commentExtensible w16cex:durableId="26430AC3" w16cex:dateUtc="2022-06-02T08:09:00Z"/>
  <w16cex:commentExtensible w16cex:durableId="26430D06" w16cex:dateUtc="2022-06-02T08: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4CC17" w14:textId="77777777" w:rsidR="002478F8" w:rsidRDefault="002478F8" w:rsidP="006B1042">
      <w:r>
        <w:separator/>
      </w:r>
    </w:p>
  </w:endnote>
  <w:endnote w:type="continuationSeparator" w:id="0">
    <w:p w14:paraId="1916476E" w14:textId="77777777" w:rsidR="002478F8" w:rsidRDefault="002478F8" w:rsidP="006B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ee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19241461"/>
      <w:docPartObj>
        <w:docPartGallery w:val="Page Numbers (Bottom of Page)"/>
        <w:docPartUnique/>
      </w:docPartObj>
    </w:sdtPr>
    <w:sdtEndPr>
      <w:rPr>
        <w:rStyle w:val="Seitenzahl"/>
      </w:rPr>
    </w:sdtEndPr>
    <w:sdtContent>
      <w:p w14:paraId="60B76E50" w14:textId="12D278F8" w:rsidR="00CA6877" w:rsidRDefault="00CA6877" w:rsidP="003E6490">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838A8FA" w14:textId="77777777" w:rsidR="00CA6877" w:rsidRDefault="00CA68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09989393"/>
      <w:docPartObj>
        <w:docPartGallery w:val="Page Numbers (Bottom of Page)"/>
        <w:docPartUnique/>
      </w:docPartObj>
    </w:sdtPr>
    <w:sdtEndPr>
      <w:rPr>
        <w:rStyle w:val="Seitenzahl"/>
      </w:rPr>
    </w:sdtEndPr>
    <w:sdtContent>
      <w:p w14:paraId="43853442" w14:textId="187FBB5D" w:rsidR="00CA6877" w:rsidRDefault="00CA6877" w:rsidP="003E6490">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1C5041">
          <w:rPr>
            <w:rStyle w:val="Seitenzahl"/>
            <w:noProof/>
          </w:rPr>
          <w:t>11</w:t>
        </w:r>
        <w:r>
          <w:rPr>
            <w:rStyle w:val="Seitenzahl"/>
          </w:rPr>
          <w:fldChar w:fldCharType="end"/>
        </w:r>
      </w:p>
    </w:sdtContent>
  </w:sdt>
  <w:p w14:paraId="30F85FEF" w14:textId="77777777" w:rsidR="00CA6877" w:rsidRDefault="00CA68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3F49F" w14:textId="77777777" w:rsidR="002478F8" w:rsidRDefault="002478F8" w:rsidP="006B1042">
      <w:r>
        <w:separator/>
      </w:r>
    </w:p>
  </w:footnote>
  <w:footnote w:type="continuationSeparator" w:id="0">
    <w:p w14:paraId="4765E19E" w14:textId="77777777" w:rsidR="002478F8" w:rsidRDefault="002478F8" w:rsidP="006B1042">
      <w:r>
        <w:continuationSeparator/>
      </w:r>
    </w:p>
  </w:footnote>
  <w:footnote w:id="1">
    <w:p w14:paraId="196943F5" w14:textId="7868F73E" w:rsidR="00CA6877" w:rsidRPr="0045280F" w:rsidRDefault="00CA6877">
      <w:pPr>
        <w:pStyle w:val="Funotentext"/>
        <w:rPr>
          <w:rFonts w:ascii="Times New Roman" w:hAnsi="Times New Roman" w:cs="Times New Roman"/>
          <w:sz w:val="18"/>
          <w:szCs w:val="18"/>
        </w:rPr>
      </w:pPr>
      <w:r w:rsidRPr="00FE6705">
        <w:rPr>
          <w:rStyle w:val="Funotenzeichen"/>
        </w:rPr>
        <w:footnoteRef/>
      </w:r>
      <w:r w:rsidRPr="0045280F">
        <w:rPr>
          <w:rFonts w:ascii="Times New Roman" w:hAnsi="Times New Roman" w:cs="Times New Roman"/>
          <w:sz w:val="18"/>
          <w:szCs w:val="18"/>
        </w:rPr>
        <w:t xml:space="preserve"> </w:t>
      </w:r>
      <w:r>
        <w:rPr>
          <w:rFonts w:ascii="Times New Roman" w:hAnsi="Times New Roman" w:cs="Times New Roman"/>
          <w:sz w:val="18"/>
          <w:szCs w:val="18"/>
        </w:rPr>
        <w:t xml:space="preserve">Dt.: </w:t>
      </w:r>
      <w:r w:rsidRPr="0045280F">
        <w:rPr>
          <w:rFonts w:ascii="Times New Roman" w:hAnsi="Times New Roman" w:cs="Times New Roman"/>
          <w:sz w:val="18"/>
          <w:szCs w:val="18"/>
        </w:rPr>
        <w:t>„</w:t>
      </w:r>
      <w:r w:rsidRPr="002004DC">
        <w:rPr>
          <w:rFonts w:ascii="Times New Roman" w:hAnsi="Times New Roman" w:cs="Times New Roman"/>
          <w:i/>
          <w:sz w:val="18"/>
          <w:szCs w:val="18"/>
        </w:rPr>
        <w:t>dass bestimmte Gegenstände nur für ein Geschlecht typisch sind und in Gräbern mit Bestattungen des anderen Geschlechts nicht vorkommen</w:t>
      </w:r>
      <w:r w:rsidRPr="0045280F">
        <w:rPr>
          <w:rFonts w:ascii="Times New Roman" w:hAnsi="Times New Roman" w:cs="Times New Roman"/>
          <w:sz w:val="18"/>
          <w:szCs w:val="18"/>
        </w:rPr>
        <w:t xml:space="preserve">.“ </w:t>
      </w:r>
    </w:p>
  </w:footnote>
  <w:footnote w:id="2">
    <w:p w14:paraId="42331747" w14:textId="77777777" w:rsidR="00CA6877" w:rsidRPr="00D83CBF" w:rsidRDefault="00CA6877" w:rsidP="002004DC">
      <w:pPr>
        <w:pStyle w:val="Funotentext"/>
        <w:rPr>
          <w:rFonts w:ascii="Times New Roman" w:hAnsi="Times New Roman" w:cs="Times New Roman"/>
          <w:sz w:val="18"/>
          <w:szCs w:val="18"/>
        </w:rPr>
      </w:pPr>
      <w:r w:rsidRPr="00FE6705">
        <w:rPr>
          <w:rStyle w:val="Funotenzeichen"/>
        </w:rPr>
        <w:footnoteRef/>
      </w:r>
      <w:r w:rsidRPr="00D83CBF">
        <w:rPr>
          <w:rFonts w:ascii="Times New Roman" w:hAnsi="Times New Roman" w:cs="Times New Roman"/>
          <w:sz w:val="18"/>
          <w:szCs w:val="18"/>
        </w:rPr>
        <w:t xml:space="preserve"> Dt. “</w:t>
      </w:r>
      <w:r w:rsidRPr="00D83CBF">
        <w:rPr>
          <w:rFonts w:ascii="Times New Roman" w:hAnsi="Times New Roman" w:cs="Times New Roman"/>
          <w:i/>
          <w:sz w:val="18"/>
          <w:szCs w:val="18"/>
        </w:rPr>
        <w:t>Diese Bestimmung wird durch den Satz von vier Klingen bekräftigt.</w:t>
      </w:r>
      <w:r w:rsidRPr="00D83CBF">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8C5"/>
    <w:multiLevelType w:val="hybridMultilevel"/>
    <w:tmpl w:val="BC905156"/>
    <w:lvl w:ilvl="0" w:tplc="EE66659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855A4"/>
    <w:multiLevelType w:val="hybridMultilevel"/>
    <w:tmpl w:val="51662836"/>
    <w:lvl w:ilvl="0" w:tplc="8D4AE1B4">
      <w:start w:val="19"/>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F227ED"/>
    <w:multiLevelType w:val="multilevel"/>
    <w:tmpl w:val="EC647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72"/>
    <w:rsid w:val="00003A92"/>
    <w:rsid w:val="000055A2"/>
    <w:rsid w:val="00014A5E"/>
    <w:rsid w:val="00014BB2"/>
    <w:rsid w:val="00016743"/>
    <w:rsid w:val="00016AD8"/>
    <w:rsid w:val="00020A98"/>
    <w:rsid w:val="00024BE8"/>
    <w:rsid w:val="00026937"/>
    <w:rsid w:val="00026AE8"/>
    <w:rsid w:val="00026BC6"/>
    <w:rsid w:val="0003247C"/>
    <w:rsid w:val="00033190"/>
    <w:rsid w:val="000331E6"/>
    <w:rsid w:val="000356FC"/>
    <w:rsid w:val="00036B5F"/>
    <w:rsid w:val="00044A20"/>
    <w:rsid w:val="0004657E"/>
    <w:rsid w:val="00050CB6"/>
    <w:rsid w:val="0005191A"/>
    <w:rsid w:val="00060968"/>
    <w:rsid w:val="000735C8"/>
    <w:rsid w:val="00081AA5"/>
    <w:rsid w:val="00082E0A"/>
    <w:rsid w:val="0008762C"/>
    <w:rsid w:val="00096579"/>
    <w:rsid w:val="000975CD"/>
    <w:rsid w:val="0009776F"/>
    <w:rsid w:val="000A430D"/>
    <w:rsid w:val="000A4473"/>
    <w:rsid w:val="000B0FD6"/>
    <w:rsid w:val="000B1007"/>
    <w:rsid w:val="000B3005"/>
    <w:rsid w:val="000B7790"/>
    <w:rsid w:val="000C2CA5"/>
    <w:rsid w:val="000C5633"/>
    <w:rsid w:val="000D18EF"/>
    <w:rsid w:val="000F1D4B"/>
    <w:rsid w:val="000F4C97"/>
    <w:rsid w:val="000F7942"/>
    <w:rsid w:val="00103020"/>
    <w:rsid w:val="00105572"/>
    <w:rsid w:val="00107C5F"/>
    <w:rsid w:val="00113BD1"/>
    <w:rsid w:val="001252CA"/>
    <w:rsid w:val="001319C4"/>
    <w:rsid w:val="0013387F"/>
    <w:rsid w:val="00133A51"/>
    <w:rsid w:val="00133C85"/>
    <w:rsid w:val="00136E24"/>
    <w:rsid w:val="001408CA"/>
    <w:rsid w:val="00142439"/>
    <w:rsid w:val="00147F48"/>
    <w:rsid w:val="001606B1"/>
    <w:rsid w:val="00162B54"/>
    <w:rsid w:val="0016321A"/>
    <w:rsid w:val="00164BA6"/>
    <w:rsid w:val="00164BFA"/>
    <w:rsid w:val="001659E5"/>
    <w:rsid w:val="00167197"/>
    <w:rsid w:val="001720C3"/>
    <w:rsid w:val="0017699A"/>
    <w:rsid w:val="0018074C"/>
    <w:rsid w:val="00187735"/>
    <w:rsid w:val="00195855"/>
    <w:rsid w:val="001A045D"/>
    <w:rsid w:val="001A0C76"/>
    <w:rsid w:val="001A519C"/>
    <w:rsid w:val="001A6E69"/>
    <w:rsid w:val="001B7769"/>
    <w:rsid w:val="001C1896"/>
    <w:rsid w:val="001C5041"/>
    <w:rsid w:val="001C667C"/>
    <w:rsid w:val="001E1E6A"/>
    <w:rsid w:val="001E27E6"/>
    <w:rsid w:val="001E6EF6"/>
    <w:rsid w:val="001E78E5"/>
    <w:rsid w:val="001F13A2"/>
    <w:rsid w:val="001F2E49"/>
    <w:rsid w:val="001F53EF"/>
    <w:rsid w:val="001F5BF2"/>
    <w:rsid w:val="001F5E77"/>
    <w:rsid w:val="002004DC"/>
    <w:rsid w:val="00202674"/>
    <w:rsid w:val="002079F4"/>
    <w:rsid w:val="002138E0"/>
    <w:rsid w:val="00213D14"/>
    <w:rsid w:val="0021457E"/>
    <w:rsid w:val="0022126F"/>
    <w:rsid w:val="00226DED"/>
    <w:rsid w:val="00230A42"/>
    <w:rsid w:val="00236CD4"/>
    <w:rsid w:val="002467C5"/>
    <w:rsid w:val="002478F8"/>
    <w:rsid w:val="0025634A"/>
    <w:rsid w:val="00257646"/>
    <w:rsid w:val="00262B9F"/>
    <w:rsid w:val="00265314"/>
    <w:rsid w:val="002662FB"/>
    <w:rsid w:val="0026786C"/>
    <w:rsid w:val="002738C5"/>
    <w:rsid w:val="00275CAB"/>
    <w:rsid w:val="00281066"/>
    <w:rsid w:val="00281B23"/>
    <w:rsid w:val="00286EDD"/>
    <w:rsid w:val="00287C6E"/>
    <w:rsid w:val="0029211B"/>
    <w:rsid w:val="0029763D"/>
    <w:rsid w:val="002A0BA1"/>
    <w:rsid w:val="002A0E74"/>
    <w:rsid w:val="002A13B7"/>
    <w:rsid w:val="002A1DFC"/>
    <w:rsid w:val="002A207B"/>
    <w:rsid w:val="002A5643"/>
    <w:rsid w:val="002B0A85"/>
    <w:rsid w:val="002B3A50"/>
    <w:rsid w:val="002B4E84"/>
    <w:rsid w:val="002B621A"/>
    <w:rsid w:val="002C1B14"/>
    <w:rsid w:val="002C5778"/>
    <w:rsid w:val="002C6499"/>
    <w:rsid w:val="002D2829"/>
    <w:rsid w:val="002D4876"/>
    <w:rsid w:val="002D6115"/>
    <w:rsid w:val="002D72B5"/>
    <w:rsid w:val="002D77CC"/>
    <w:rsid w:val="002E1677"/>
    <w:rsid w:val="002E29E7"/>
    <w:rsid w:val="002E44D3"/>
    <w:rsid w:val="002E47D3"/>
    <w:rsid w:val="003032F1"/>
    <w:rsid w:val="0030411F"/>
    <w:rsid w:val="003116BB"/>
    <w:rsid w:val="003146A5"/>
    <w:rsid w:val="003219D9"/>
    <w:rsid w:val="00323526"/>
    <w:rsid w:val="003266EE"/>
    <w:rsid w:val="003360A3"/>
    <w:rsid w:val="00337981"/>
    <w:rsid w:val="003417C5"/>
    <w:rsid w:val="00343D8B"/>
    <w:rsid w:val="00346B5B"/>
    <w:rsid w:val="00353CA0"/>
    <w:rsid w:val="003605A6"/>
    <w:rsid w:val="003657CE"/>
    <w:rsid w:val="003730B7"/>
    <w:rsid w:val="00373382"/>
    <w:rsid w:val="003750BB"/>
    <w:rsid w:val="003823BD"/>
    <w:rsid w:val="00382E5E"/>
    <w:rsid w:val="00385443"/>
    <w:rsid w:val="003856FC"/>
    <w:rsid w:val="00386295"/>
    <w:rsid w:val="00390BBC"/>
    <w:rsid w:val="00391AF9"/>
    <w:rsid w:val="00392590"/>
    <w:rsid w:val="00392FA6"/>
    <w:rsid w:val="0039525E"/>
    <w:rsid w:val="00395F1C"/>
    <w:rsid w:val="003A040F"/>
    <w:rsid w:val="003A2673"/>
    <w:rsid w:val="003A52AF"/>
    <w:rsid w:val="003B05DA"/>
    <w:rsid w:val="003B32D0"/>
    <w:rsid w:val="003B457A"/>
    <w:rsid w:val="003C06AD"/>
    <w:rsid w:val="003C10FD"/>
    <w:rsid w:val="003C1E26"/>
    <w:rsid w:val="003C651A"/>
    <w:rsid w:val="003D2268"/>
    <w:rsid w:val="003D3C80"/>
    <w:rsid w:val="003D58C7"/>
    <w:rsid w:val="003E22C2"/>
    <w:rsid w:val="003E42CF"/>
    <w:rsid w:val="003E4E2E"/>
    <w:rsid w:val="003E6312"/>
    <w:rsid w:val="003E6490"/>
    <w:rsid w:val="003F274A"/>
    <w:rsid w:val="003F3368"/>
    <w:rsid w:val="003F454A"/>
    <w:rsid w:val="00407642"/>
    <w:rsid w:val="00411CC2"/>
    <w:rsid w:val="0041264B"/>
    <w:rsid w:val="00420321"/>
    <w:rsid w:val="00424BDE"/>
    <w:rsid w:val="00425160"/>
    <w:rsid w:val="004269D3"/>
    <w:rsid w:val="00432A98"/>
    <w:rsid w:val="00447171"/>
    <w:rsid w:val="004523B2"/>
    <w:rsid w:val="0045280F"/>
    <w:rsid w:val="00457309"/>
    <w:rsid w:val="004579F0"/>
    <w:rsid w:val="004612F6"/>
    <w:rsid w:val="004628B2"/>
    <w:rsid w:val="00471B08"/>
    <w:rsid w:val="00476F19"/>
    <w:rsid w:val="00477460"/>
    <w:rsid w:val="004800B2"/>
    <w:rsid w:val="0048212D"/>
    <w:rsid w:val="004871DE"/>
    <w:rsid w:val="00493DDB"/>
    <w:rsid w:val="00495416"/>
    <w:rsid w:val="00495BD4"/>
    <w:rsid w:val="00495C29"/>
    <w:rsid w:val="004A5D75"/>
    <w:rsid w:val="004B5A80"/>
    <w:rsid w:val="004C323F"/>
    <w:rsid w:val="004D1A4C"/>
    <w:rsid w:val="004D3253"/>
    <w:rsid w:val="004D6BC3"/>
    <w:rsid w:val="004D6E2C"/>
    <w:rsid w:val="004E16D6"/>
    <w:rsid w:val="004E3CD7"/>
    <w:rsid w:val="004E3E04"/>
    <w:rsid w:val="004F4902"/>
    <w:rsid w:val="0050042D"/>
    <w:rsid w:val="00512A0D"/>
    <w:rsid w:val="00514E30"/>
    <w:rsid w:val="0052045B"/>
    <w:rsid w:val="00523EE3"/>
    <w:rsid w:val="00535656"/>
    <w:rsid w:val="00536AD9"/>
    <w:rsid w:val="005418E1"/>
    <w:rsid w:val="005423E9"/>
    <w:rsid w:val="0054427E"/>
    <w:rsid w:val="00550F46"/>
    <w:rsid w:val="005515A1"/>
    <w:rsid w:val="00551D09"/>
    <w:rsid w:val="005611BF"/>
    <w:rsid w:val="005704D8"/>
    <w:rsid w:val="005732E3"/>
    <w:rsid w:val="005750E6"/>
    <w:rsid w:val="005807F8"/>
    <w:rsid w:val="00580D92"/>
    <w:rsid w:val="00580F8A"/>
    <w:rsid w:val="00582D48"/>
    <w:rsid w:val="00582D90"/>
    <w:rsid w:val="005924C3"/>
    <w:rsid w:val="00596864"/>
    <w:rsid w:val="0059756B"/>
    <w:rsid w:val="005A58CE"/>
    <w:rsid w:val="005A5942"/>
    <w:rsid w:val="005A6F75"/>
    <w:rsid w:val="005B207C"/>
    <w:rsid w:val="005B2426"/>
    <w:rsid w:val="005C246E"/>
    <w:rsid w:val="005C2740"/>
    <w:rsid w:val="005C37B9"/>
    <w:rsid w:val="005C38E2"/>
    <w:rsid w:val="005C4DCF"/>
    <w:rsid w:val="005C58D2"/>
    <w:rsid w:val="005D3C49"/>
    <w:rsid w:val="005D7E20"/>
    <w:rsid w:val="005E646C"/>
    <w:rsid w:val="005E7B85"/>
    <w:rsid w:val="005F278E"/>
    <w:rsid w:val="005F3297"/>
    <w:rsid w:val="006028CF"/>
    <w:rsid w:val="00603C04"/>
    <w:rsid w:val="00605888"/>
    <w:rsid w:val="00606BAB"/>
    <w:rsid w:val="00611093"/>
    <w:rsid w:val="00616055"/>
    <w:rsid w:val="006261B0"/>
    <w:rsid w:val="006355BF"/>
    <w:rsid w:val="00636B95"/>
    <w:rsid w:val="00640B89"/>
    <w:rsid w:val="006410D1"/>
    <w:rsid w:val="00641CB8"/>
    <w:rsid w:val="00644189"/>
    <w:rsid w:val="0064572D"/>
    <w:rsid w:val="006508F4"/>
    <w:rsid w:val="0065095E"/>
    <w:rsid w:val="00653128"/>
    <w:rsid w:val="006533AA"/>
    <w:rsid w:val="0065470A"/>
    <w:rsid w:val="00657B4B"/>
    <w:rsid w:val="0066216C"/>
    <w:rsid w:val="006654F3"/>
    <w:rsid w:val="00672C67"/>
    <w:rsid w:val="006736FB"/>
    <w:rsid w:val="00676799"/>
    <w:rsid w:val="006858C5"/>
    <w:rsid w:val="00690EA7"/>
    <w:rsid w:val="006920A6"/>
    <w:rsid w:val="006941E2"/>
    <w:rsid w:val="006958E8"/>
    <w:rsid w:val="006970C4"/>
    <w:rsid w:val="006A2837"/>
    <w:rsid w:val="006A47E5"/>
    <w:rsid w:val="006B1042"/>
    <w:rsid w:val="006B1710"/>
    <w:rsid w:val="006B7E9B"/>
    <w:rsid w:val="006C41BB"/>
    <w:rsid w:val="006D4497"/>
    <w:rsid w:val="006E05E0"/>
    <w:rsid w:val="006E0C1C"/>
    <w:rsid w:val="006E5442"/>
    <w:rsid w:val="006E73E0"/>
    <w:rsid w:val="006E7FA5"/>
    <w:rsid w:val="006F1644"/>
    <w:rsid w:val="006F6669"/>
    <w:rsid w:val="0070097C"/>
    <w:rsid w:val="00703722"/>
    <w:rsid w:val="007064E8"/>
    <w:rsid w:val="007126DF"/>
    <w:rsid w:val="00712CBD"/>
    <w:rsid w:val="00713394"/>
    <w:rsid w:val="00713D78"/>
    <w:rsid w:val="007144C2"/>
    <w:rsid w:val="00715C88"/>
    <w:rsid w:val="007171F5"/>
    <w:rsid w:val="00722C40"/>
    <w:rsid w:val="007248F7"/>
    <w:rsid w:val="0073110C"/>
    <w:rsid w:val="0073241F"/>
    <w:rsid w:val="00733DE4"/>
    <w:rsid w:val="007416EC"/>
    <w:rsid w:val="0074366F"/>
    <w:rsid w:val="00751225"/>
    <w:rsid w:val="00754954"/>
    <w:rsid w:val="00754BEF"/>
    <w:rsid w:val="007554D1"/>
    <w:rsid w:val="00757755"/>
    <w:rsid w:val="00761858"/>
    <w:rsid w:val="00761A96"/>
    <w:rsid w:val="007624DD"/>
    <w:rsid w:val="007629A1"/>
    <w:rsid w:val="00763DDF"/>
    <w:rsid w:val="00765964"/>
    <w:rsid w:val="00766FED"/>
    <w:rsid w:val="00771AA9"/>
    <w:rsid w:val="00773D57"/>
    <w:rsid w:val="00773F2A"/>
    <w:rsid w:val="00780CD8"/>
    <w:rsid w:val="00787EA1"/>
    <w:rsid w:val="00790AD0"/>
    <w:rsid w:val="007958BD"/>
    <w:rsid w:val="0079729E"/>
    <w:rsid w:val="007A60E1"/>
    <w:rsid w:val="007A7E9A"/>
    <w:rsid w:val="007B176D"/>
    <w:rsid w:val="007B4FBD"/>
    <w:rsid w:val="007C006F"/>
    <w:rsid w:val="007C15B2"/>
    <w:rsid w:val="007C2C04"/>
    <w:rsid w:val="007D26BE"/>
    <w:rsid w:val="007D4ED3"/>
    <w:rsid w:val="007E36E0"/>
    <w:rsid w:val="007E5286"/>
    <w:rsid w:val="007F02E2"/>
    <w:rsid w:val="007F3399"/>
    <w:rsid w:val="007F4752"/>
    <w:rsid w:val="00806A8B"/>
    <w:rsid w:val="008110B7"/>
    <w:rsid w:val="00813BB1"/>
    <w:rsid w:val="008146C7"/>
    <w:rsid w:val="008168EE"/>
    <w:rsid w:val="008178FF"/>
    <w:rsid w:val="00822476"/>
    <w:rsid w:val="00825003"/>
    <w:rsid w:val="008347A2"/>
    <w:rsid w:val="00835AFA"/>
    <w:rsid w:val="00844159"/>
    <w:rsid w:val="008500DF"/>
    <w:rsid w:val="0085125E"/>
    <w:rsid w:val="008512D8"/>
    <w:rsid w:val="00851676"/>
    <w:rsid w:val="008546A3"/>
    <w:rsid w:val="008574ED"/>
    <w:rsid w:val="00862D4B"/>
    <w:rsid w:val="008637BB"/>
    <w:rsid w:val="008706F4"/>
    <w:rsid w:val="00871013"/>
    <w:rsid w:val="00871C6C"/>
    <w:rsid w:val="00873BB1"/>
    <w:rsid w:val="00873F51"/>
    <w:rsid w:val="00876616"/>
    <w:rsid w:val="00880FB5"/>
    <w:rsid w:val="00884030"/>
    <w:rsid w:val="008858A2"/>
    <w:rsid w:val="008A78D7"/>
    <w:rsid w:val="008B20B1"/>
    <w:rsid w:val="008B508E"/>
    <w:rsid w:val="008B5270"/>
    <w:rsid w:val="008C4A41"/>
    <w:rsid w:val="008E2734"/>
    <w:rsid w:val="008F0A6B"/>
    <w:rsid w:val="008F4666"/>
    <w:rsid w:val="00900984"/>
    <w:rsid w:val="009201B7"/>
    <w:rsid w:val="00921920"/>
    <w:rsid w:val="00922165"/>
    <w:rsid w:val="0092400B"/>
    <w:rsid w:val="0093073E"/>
    <w:rsid w:val="0094376A"/>
    <w:rsid w:val="00944495"/>
    <w:rsid w:val="00954D87"/>
    <w:rsid w:val="00954E1D"/>
    <w:rsid w:val="00954E1F"/>
    <w:rsid w:val="00955EBC"/>
    <w:rsid w:val="0095671F"/>
    <w:rsid w:val="009569D2"/>
    <w:rsid w:val="00957372"/>
    <w:rsid w:val="00957AA8"/>
    <w:rsid w:val="0096116A"/>
    <w:rsid w:val="0096236C"/>
    <w:rsid w:val="00965A19"/>
    <w:rsid w:val="00970C79"/>
    <w:rsid w:val="00976DFC"/>
    <w:rsid w:val="0098066D"/>
    <w:rsid w:val="00981314"/>
    <w:rsid w:val="009853D3"/>
    <w:rsid w:val="009859A9"/>
    <w:rsid w:val="00985B0E"/>
    <w:rsid w:val="00985F7D"/>
    <w:rsid w:val="00987145"/>
    <w:rsid w:val="0099235F"/>
    <w:rsid w:val="009A0775"/>
    <w:rsid w:val="009A2769"/>
    <w:rsid w:val="009A334D"/>
    <w:rsid w:val="009B2041"/>
    <w:rsid w:val="009B275A"/>
    <w:rsid w:val="009B28BB"/>
    <w:rsid w:val="009B3041"/>
    <w:rsid w:val="009B4859"/>
    <w:rsid w:val="009B58E9"/>
    <w:rsid w:val="009D29CF"/>
    <w:rsid w:val="009D6198"/>
    <w:rsid w:val="009D6254"/>
    <w:rsid w:val="009D7719"/>
    <w:rsid w:val="009E16C5"/>
    <w:rsid w:val="009E2BE0"/>
    <w:rsid w:val="009E30CC"/>
    <w:rsid w:val="009E310C"/>
    <w:rsid w:val="009E31C9"/>
    <w:rsid w:val="009E39DA"/>
    <w:rsid w:val="009E68F2"/>
    <w:rsid w:val="009E7CA9"/>
    <w:rsid w:val="00A00FDC"/>
    <w:rsid w:val="00A01A05"/>
    <w:rsid w:val="00A033D3"/>
    <w:rsid w:val="00A06A60"/>
    <w:rsid w:val="00A10FB9"/>
    <w:rsid w:val="00A165A2"/>
    <w:rsid w:val="00A22D46"/>
    <w:rsid w:val="00A23C0A"/>
    <w:rsid w:val="00A24BA6"/>
    <w:rsid w:val="00A31A72"/>
    <w:rsid w:val="00A31ADB"/>
    <w:rsid w:val="00A34C7A"/>
    <w:rsid w:val="00A3615B"/>
    <w:rsid w:val="00A36932"/>
    <w:rsid w:val="00A37C28"/>
    <w:rsid w:val="00A52E98"/>
    <w:rsid w:val="00A5332E"/>
    <w:rsid w:val="00A5490A"/>
    <w:rsid w:val="00A561E1"/>
    <w:rsid w:val="00A570AE"/>
    <w:rsid w:val="00A61D8B"/>
    <w:rsid w:val="00A63C9F"/>
    <w:rsid w:val="00A66D68"/>
    <w:rsid w:val="00A67D66"/>
    <w:rsid w:val="00A72D33"/>
    <w:rsid w:val="00A87927"/>
    <w:rsid w:val="00A93585"/>
    <w:rsid w:val="00A97335"/>
    <w:rsid w:val="00AA001A"/>
    <w:rsid w:val="00AA189E"/>
    <w:rsid w:val="00AA1D7D"/>
    <w:rsid w:val="00AA7782"/>
    <w:rsid w:val="00AB5CB3"/>
    <w:rsid w:val="00AB65F7"/>
    <w:rsid w:val="00AC3978"/>
    <w:rsid w:val="00AC3E48"/>
    <w:rsid w:val="00AC4F22"/>
    <w:rsid w:val="00AC7460"/>
    <w:rsid w:val="00AD5E6E"/>
    <w:rsid w:val="00AE2974"/>
    <w:rsid w:val="00AE43F3"/>
    <w:rsid w:val="00AE4C44"/>
    <w:rsid w:val="00AE797B"/>
    <w:rsid w:val="00AF1887"/>
    <w:rsid w:val="00AF22CA"/>
    <w:rsid w:val="00AF6B0F"/>
    <w:rsid w:val="00AF7C5D"/>
    <w:rsid w:val="00B013E6"/>
    <w:rsid w:val="00B026B0"/>
    <w:rsid w:val="00B07695"/>
    <w:rsid w:val="00B14FA6"/>
    <w:rsid w:val="00B15A0E"/>
    <w:rsid w:val="00B16FD3"/>
    <w:rsid w:val="00B2086C"/>
    <w:rsid w:val="00B20CE0"/>
    <w:rsid w:val="00B2144A"/>
    <w:rsid w:val="00B26B70"/>
    <w:rsid w:val="00B35145"/>
    <w:rsid w:val="00B354DD"/>
    <w:rsid w:val="00B40E31"/>
    <w:rsid w:val="00B509A0"/>
    <w:rsid w:val="00B521AF"/>
    <w:rsid w:val="00B521BE"/>
    <w:rsid w:val="00B57CC4"/>
    <w:rsid w:val="00B64C8D"/>
    <w:rsid w:val="00B76CCE"/>
    <w:rsid w:val="00B846F6"/>
    <w:rsid w:val="00B91A8E"/>
    <w:rsid w:val="00B94AFE"/>
    <w:rsid w:val="00BA0BCD"/>
    <w:rsid w:val="00BA0D7A"/>
    <w:rsid w:val="00BA1432"/>
    <w:rsid w:val="00BA1C10"/>
    <w:rsid w:val="00BA3809"/>
    <w:rsid w:val="00BB3B33"/>
    <w:rsid w:val="00BC15C4"/>
    <w:rsid w:val="00BC1BB6"/>
    <w:rsid w:val="00BC5096"/>
    <w:rsid w:val="00BC532E"/>
    <w:rsid w:val="00BC59EA"/>
    <w:rsid w:val="00BD152D"/>
    <w:rsid w:val="00BD3793"/>
    <w:rsid w:val="00BD4E00"/>
    <w:rsid w:val="00BD5000"/>
    <w:rsid w:val="00BE138E"/>
    <w:rsid w:val="00BE1FAF"/>
    <w:rsid w:val="00BE51CE"/>
    <w:rsid w:val="00BE7023"/>
    <w:rsid w:val="00BF4423"/>
    <w:rsid w:val="00BF7BBA"/>
    <w:rsid w:val="00C027B9"/>
    <w:rsid w:val="00C04AA1"/>
    <w:rsid w:val="00C22C15"/>
    <w:rsid w:val="00C35741"/>
    <w:rsid w:val="00C37E01"/>
    <w:rsid w:val="00C403C5"/>
    <w:rsid w:val="00C43550"/>
    <w:rsid w:val="00C44734"/>
    <w:rsid w:val="00C45CA8"/>
    <w:rsid w:val="00C512CD"/>
    <w:rsid w:val="00C610A9"/>
    <w:rsid w:val="00C61E86"/>
    <w:rsid w:val="00C66D05"/>
    <w:rsid w:val="00C67086"/>
    <w:rsid w:val="00C7042F"/>
    <w:rsid w:val="00C706FD"/>
    <w:rsid w:val="00C737CC"/>
    <w:rsid w:val="00C7681E"/>
    <w:rsid w:val="00C8092E"/>
    <w:rsid w:val="00C828DD"/>
    <w:rsid w:val="00C837FC"/>
    <w:rsid w:val="00C84C40"/>
    <w:rsid w:val="00C9298C"/>
    <w:rsid w:val="00CA0F31"/>
    <w:rsid w:val="00CA3F4F"/>
    <w:rsid w:val="00CA4BEF"/>
    <w:rsid w:val="00CA6877"/>
    <w:rsid w:val="00CB515F"/>
    <w:rsid w:val="00CB6B3E"/>
    <w:rsid w:val="00CB7CA1"/>
    <w:rsid w:val="00CC41C6"/>
    <w:rsid w:val="00CC4973"/>
    <w:rsid w:val="00CC742F"/>
    <w:rsid w:val="00CD6A88"/>
    <w:rsid w:val="00CE0799"/>
    <w:rsid w:val="00CE30BD"/>
    <w:rsid w:val="00CE4B74"/>
    <w:rsid w:val="00CE6E5A"/>
    <w:rsid w:val="00CE775D"/>
    <w:rsid w:val="00CF2859"/>
    <w:rsid w:val="00CF4D85"/>
    <w:rsid w:val="00CF543E"/>
    <w:rsid w:val="00CF5DFC"/>
    <w:rsid w:val="00D00A71"/>
    <w:rsid w:val="00D03736"/>
    <w:rsid w:val="00D03B1B"/>
    <w:rsid w:val="00D0600C"/>
    <w:rsid w:val="00D07114"/>
    <w:rsid w:val="00D12B91"/>
    <w:rsid w:val="00D21829"/>
    <w:rsid w:val="00D24BB1"/>
    <w:rsid w:val="00D30107"/>
    <w:rsid w:val="00D37C81"/>
    <w:rsid w:val="00D433CD"/>
    <w:rsid w:val="00D50EB4"/>
    <w:rsid w:val="00D50F3C"/>
    <w:rsid w:val="00D53A8C"/>
    <w:rsid w:val="00D5664D"/>
    <w:rsid w:val="00D616D4"/>
    <w:rsid w:val="00D64057"/>
    <w:rsid w:val="00D64430"/>
    <w:rsid w:val="00D649A1"/>
    <w:rsid w:val="00D655D0"/>
    <w:rsid w:val="00D66090"/>
    <w:rsid w:val="00D665C4"/>
    <w:rsid w:val="00D66D6B"/>
    <w:rsid w:val="00D71584"/>
    <w:rsid w:val="00D74EF4"/>
    <w:rsid w:val="00D753C1"/>
    <w:rsid w:val="00D83246"/>
    <w:rsid w:val="00D83CBF"/>
    <w:rsid w:val="00D86993"/>
    <w:rsid w:val="00D87FE1"/>
    <w:rsid w:val="00D94A33"/>
    <w:rsid w:val="00D94C11"/>
    <w:rsid w:val="00D9552D"/>
    <w:rsid w:val="00DA1B16"/>
    <w:rsid w:val="00DA2594"/>
    <w:rsid w:val="00DA60DB"/>
    <w:rsid w:val="00DA7FBF"/>
    <w:rsid w:val="00DB2481"/>
    <w:rsid w:val="00DB310E"/>
    <w:rsid w:val="00DB54AE"/>
    <w:rsid w:val="00DD1A27"/>
    <w:rsid w:val="00DD2CAC"/>
    <w:rsid w:val="00DD5108"/>
    <w:rsid w:val="00DD52F1"/>
    <w:rsid w:val="00DD55AC"/>
    <w:rsid w:val="00DD7A4A"/>
    <w:rsid w:val="00DD7D93"/>
    <w:rsid w:val="00DE0C73"/>
    <w:rsid w:val="00DE2182"/>
    <w:rsid w:val="00DE4A8D"/>
    <w:rsid w:val="00DF0944"/>
    <w:rsid w:val="00DF1498"/>
    <w:rsid w:val="00E01D4D"/>
    <w:rsid w:val="00E0255E"/>
    <w:rsid w:val="00E02C6B"/>
    <w:rsid w:val="00E0500E"/>
    <w:rsid w:val="00E135A3"/>
    <w:rsid w:val="00E160E7"/>
    <w:rsid w:val="00E2075F"/>
    <w:rsid w:val="00E2498F"/>
    <w:rsid w:val="00E26895"/>
    <w:rsid w:val="00E277B8"/>
    <w:rsid w:val="00E41B77"/>
    <w:rsid w:val="00E45DF9"/>
    <w:rsid w:val="00E4679C"/>
    <w:rsid w:val="00E50136"/>
    <w:rsid w:val="00E5053C"/>
    <w:rsid w:val="00E53545"/>
    <w:rsid w:val="00E561FA"/>
    <w:rsid w:val="00E568D0"/>
    <w:rsid w:val="00E6081E"/>
    <w:rsid w:val="00E60B00"/>
    <w:rsid w:val="00E6356E"/>
    <w:rsid w:val="00E64192"/>
    <w:rsid w:val="00E72526"/>
    <w:rsid w:val="00E753CB"/>
    <w:rsid w:val="00E77D61"/>
    <w:rsid w:val="00E827D9"/>
    <w:rsid w:val="00E8334B"/>
    <w:rsid w:val="00E83EE8"/>
    <w:rsid w:val="00E87CB1"/>
    <w:rsid w:val="00E94376"/>
    <w:rsid w:val="00EA6A8E"/>
    <w:rsid w:val="00EB1DC0"/>
    <w:rsid w:val="00EB495F"/>
    <w:rsid w:val="00EC31FE"/>
    <w:rsid w:val="00EC3E2D"/>
    <w:rsid w:val="00ED118B"/>
    <w:rsid w:val="00ED20DA"/>
    <w:rsid w:val="00ED3CDD"/>
    <w:rsid w:val="00ED50FE"/>
    <w:rsid w:val="00EE3181"/>
    <w:rsid w:val="00EE440C"/>
    <w:rsid w:val="00EE7059"/>
    <w:rsid w:val="00EF4F61"/>
    <w:rsid w:val="00F00DBD"/>
    <w:rsid w:val="00F029E1"/>
    <w:rsid w:val="00F057A9"/>
    <w:rsid w:val="00F0788B"/>
    <w:rsid w:val="00F11084"/>
    <w:rsid w:val="00F11280"/>
    <w:rsid w:val="00F166D6"/>
    <w:rsid w:val="00F22C8E"/>
    <w:rsid w:val="00F30FF5"/>
    <w:rsid w:val="00F3373A"/>
    <w:rsid w:val="00F34586"/>
    <w:rsid w:val="00F45507"/>
    <w:rsid w:val="00F46595"/>
    <w:rsid w:val="00F522BA"/>
    <w:rsid w:val="00F5257E"/>
    <w:rsid w:val="00F5722C"/>
    <w:rsid w:val="00F579D0"/>
    <w:rsid w:val="00F6640B"/>
    <w:rsid w:val="00F670EC"/>
    <w:rsid w:val="00F72BE2"/>
    <w:rsid w:val="00F72EE2"/>
    <w:rsid w:val="00F74BE8"/>
    <w:rsid w:val="00F77186"/>
    <w:rsid w:val="00F77D6B"/>
    <w:rsid w:val="00F8528D"/>
    <w:rsid w:val="00F8721B"/>
    <w:rsid w:val="00F958EF"/>
    <w:rsid w:val="00F959D7"/>
    <w:rsid w:val="00FA37F9"/>
    <w:rsid w:val="00FA52BA"/>
    <w:rsid w:val="00FA7637"/>
    <w:rsid w:val="00FB1998"/>
    <w:rsid w:val="00FB63F3"/>
    <w:rsid w:val="00FC2096"/>
    <w:rsid w:val="00FC327B"/>
    <w:rsid w:val="00FC6D51"/>
    <w:rsid w:val="00FE122C"/>
    <w:rsid w:val="00FE6705"/>
    <w:rsid w:val="00FE6817"/>
    <w:rsid w:val="00FE7D5A"/>
    <w:rsid w:val="00FF03A0"/>
    <w:rsid w:val="00FF2637"/>
    <w:rsid w:val="00FF3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ED67"/>
  <w15:chartTrackingRefBased/>
  <w15:docId w15:val="{A080B892-51B9-544D-9128-86AE882F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1D4B"/>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5003"/>
    <w:pPr>
      <w:ind w:left="720"/>
      <w:contextualSpacing/>
    </w:pPr>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5D7E20"/>
    <w:rPr>
      <w:sz w:val="16"/>
      <w:szCs w:val="16"/>
    </w:rPr>
  </w:style>
  <w:style w:type="paragraph" w:styleId="Kommentartext">
    <w:name w:val="annotation text"/>
    <w:basedOn w:val="Standard"/>
    <w:link w:val="KommentartextZchn"/>
    <w:uiPriority w:val="99"/>
    <w:unhideWhenUsed/>
    <w:rsid w:val="005D7E20"/>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5D7E20"/>
    <w:rPr>
      <w:sz w:val="20"/>
      <w:szCs w:val="20"/>
    </w:rPr>
  </w:style>
  <w:style w:type="paragraph" w:styleId="Kommentarthema">
    <w:name w:val="annotation subject"/>
    <w:basedOn w:val="Kommentartext"/>
    <w:next w:val="Kommentartext"/>
    <w:link w:val="KommentarthemaZchn"/>
    <w:uiPriority w:val="99"/>
    <w:semiHidden/>
    <w:unhideWhenUsed/>
    <w:rsid w:val="005D7E20"/>
    <w:rPr>
      <w:b/>
      <w:bCs/>
    </w:rPr>
  </w:style>
  <w:style w:type="character" w:customStyle="1" w:styleId="KommentarthemaZchn">
    <w:name w:val="Kommentarthema Zchn"/>
    <w:basedOn w:val="KommentartextZchn"/>
    <w:link w:val="Kommentarthema"/>
    <w:uiPriority w:val="99"/>
    <w:semiHidden/>
    <w:rsid w:val="005D7E20"/>
    <w:rPr>
      <w:b/>
      <w:bCs/>
      <w:sz w:val="20"/>
      <w:szCs w:val="20"/>
    </w:rPr>
  </w:style>
  <w:style w:type="paragraph" w:styleId="Sprechblasentext">
    <w:name w:val="Balloon Text"/>
    <w:basedOn w:val="Standard"/>
    <w:link w:val="SprechblasentextZchn"/>
    <w:uiPriority w:val="99"/>
    <w:semiHidden/>
    <w:unhideWhenUsed/>
    <w:rsid w:val="005D7E20"/>
    <w:rPr>
      <w:rFonts w:eastAsiaTheme="minorHAnsi"/>
      <w:sz w:val="18"/>
      <w:szCs w:val="18"/>
      <w:lang w:eastAsia="en-US"/>
    </w:rPr>
  </w:style>
  <w:style w:type="character" w:customStyle="1" w:styleId="SprechblasentextZchn">
    <w:name w:val="Sprechblasentext Zchn"/>
    <w:basedOn w:val="Absatz-Standardschriftart"/>
    <w:link w:val="Sprechblasentext"/>
    <w:uiPriority w:val="99"/>
    <w:semiHidden/>
    <w:rsid w:val="005D7E20"/>
    <w:rPr>
      <w:rFonts w:ascii="Times New Roman" w:hAnsi="Times New Roman" w:cs="Times New Roman"/>
      <w:sz w:val="18"/>
      <w:szCs w:val="18"/>
    </w:rPr>
  </w:style>
  <w:style w:type="character" w:styleId="Hyperlink">
    <w:name w:val="Hyperlink"/>
    <w:basedOn w:val="Absatz-Standardschriftart"/>
    <w:uiPriority w:val="99"/>
    <w:unhideWhenUsed/>
    <w:rsid w:val="005F278E"/>
    <w:rPr>
      <w:color w:val="0563C1" w:themeColor="hyperlink"/>
      <w:u w:val="single"/>
    </w:rPr>
  </w:style>
  <w:style w:type="character" w:customStyle="1" w:styleId="NichtaufgelsteErwhnung1">
    <w:name w:val="Nicht aufgelöste Erwähnung1"/>
    <w:basedOn w:val="Absatz-Standardschriftart"/>
    <w:uiPriority w:val="99"/>
    <w:semiHidden/>
    <w:unhideWhenUsed/>
    <w:rsid w:val="005F278E"/>
    <w:rPr>
      <w:color w:val="605E5C"/>
      <w:shd w:val="clear" w:color="auto" w:fill="E1DFDD"/>
    </w:rPr>
  </w:style>
  <w:style w:type="paragraph" w:styleId="Funotentext">
    <w:name w:val="footnote text"/>
    <w:basedOn w:val="Standard"/>
    <w:link w:val="FunotentextZchn"/>
    <w:uiPriority w:val="99"/>
    <w:semiHidden/>
    <w:unhideWhenUsed/>
    <w:rsid w:val="006B1042"/>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6B1042"/>
    <w:rPr>
      <w:sz w:val="20"/>
      <w:szCs w:val="20"/>
    </w:rPr>
  </w:style>
  <w:style w:type="character" w:styleId="Funotenzeichen">
    <w:name w:val="footnote reference"/>
    <w:basedOn w:val="Absatz-Standardschriftart"/>
    <w:uiPriority w:val="99"/>
    <w:semiHidden/>
    <w:unhideWhenUsed/>
    <w:rsid w:val="006B1042"/>
    <w:rPr>
      <w:vertAlign w:val="superscript"/>
    </w:rPr>
  </w:style>
  <w:style w:type="paragraph" w:styleId="StandardWeb">
    <w:name w:val="Normal (Web)"/>
    <w:basedOn w:val="Standard"/>
    <w:uiPriority w:val="99"/>
    <w:unhideWhenUsed/>
    <w:rsid w:val="00D00A71"/>
    <w:pPr>
      <w:spacing w:before="100" w:beforeAutospacing="1" w:after="100" w:afterAutospacing="1"/>
    </w:pPr>
  </w:style>
  <w:style w:type="character" w:styleId="Endnotenzeichen">
    <w:name w:val="endnote reference"/>
    <w:basedOn w:val="Absatz-Standardschriftart"/>
    <w:uiPriority w:val="99"/>
    <w:semiHidden/>
    <w:unhideWhenUsed/>
    <w:rsid w:val="00C9298C"/>
    <w:rPr>
      <w:vertAlign w:val="superscript"/>
    </w:rPr>
  </w:style>
  <w:style w:type="paragraph" w:customStyle="1" w:styleId="Literaturverzeichnis1">
    <w:name w:val="Literaturverzeichnis1"/>
    <w:basedOn w:val="Standard"/>
    <w:link w:val="BibliographyZchn"/>
    <w:rsid w:val="00F166D6"/>
    <w:pPr>
      <w:spacing w:line="480" w:lineRule="auto"/>
      <w:ind w:left="720" w:hanging="720"/>
    </w:pPr>
    <w:rPr>
      <w:rFonts w:eastAsiaTheme="minorHAnsi"/>
      <w:b/>
      <w:sz w:val="20"/>
      <w:szCs w:val="20"/>
      <w:lang w:val="en-US" w:eastAsia="en-US"/>
    </w:rPr>
  </w:style>
  <w:style w:type="character" w:customStyle="1" w:styleId="BibliographyZchn">
    <w:name w:val="Bibliography Zchn"/>
    <w:basedOn w:val="Absatz-Standardschriftart"/>
    <w:link w:val="Literaturverzeichnis1"/>
    <w:rsid w:val="00F166D6"/>
    <w:rPr>
      <w:rFonts w:ascii="Times New Roman" w:hAnsi="Times New Roman" w:cs="Times New Roman"/>
      <w:b/>
      <w:sz w:val="20"/>
      <w:szCs w:val="20"/>
      <w:lang w:val="en-US"/>
    </w:rPr>
  </w:style>
  <w:style w:type="character" w:customStyle="1" w:styleId="apple-converted-space">
    <w:name w:val="apple-converted-space"/>
    <w:basedOn w:val="Absatz-Standardschriftart"/>
    <w:rsid w:val="00050CB6"/>
  </w:style>
  <w:style w:type="character" w:styleId="BesuchterLink">
    <w:name w:val="FollowedHyperlink"/>
    <w:basedOn w:val="Absatz-Standardschriftart"/>
    <w:uiPriority w:val="99"/>
    <w:semiHidden/>
    <w:unhideWhenUsed/>
    <w:rsid w:val="00A34C7A"/>
    <w:rPr>
      <w:color w:val="954F72" w:themeColor="followedHyperlink"/>
      <w:u w:val="single"/>
    </w:rPr>
  </w:style>
  <w:style w:type="paragraph" w:styleId="berarbeitung">
    <w:name w:val="Revision"/>
    <w:hidden/>
    <w:uiPriority w:val="99"/>
    <w:semiHidden/>
    <w:rsid w:val="00FA52BA"/>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3E6490"/>
    <w:pPr>
      <w:tabs>
        <w:tab w:val="center" w:pos="4536"/>
        <w:tab w:val="right" w:pos="9072"/>
      </w:tabs>
    </w:pPr>
  </w:style>
  <w:style w:type="character" w:customStyle="1" w:styleId="FuzeileZchn">
    <w:name w:val="Fußzeile Zchn"/>
    <w:basedOn w:val="Absatz-Standardschriftart"/>
    <w:link w:val="Fuzeile"/>
    <w:uiPriority w:val="99"/>
    <w:rsid w:val="003E6490"/>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3E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225">
      <w:bodyDiv w:val="1"/>
      <w:marLeft w:val="0"/>
      <w:marRight w:val="0"/>
      <w:marTop w:val="0"/>
      <w:marBottom w:val="0"/>
      <w:divBdr>
        <w:top w:val="none" w:sz="0" w:space="0" w:color="auto"/>
        <w:left w:val="none" w:sz="0" w:space="0" w:color="auto"/>
        <w:bottom w:val="none" w:sz="0" w:space="0" w:color="auto"/>
        <w:right w:val="none" w:sz="0" w:space="0" w:color="auto"/>
      </w:divBdr>
      <w:divsChild>
        <w:div w:id="126166252">
          <w:marLeft w:val="0"/>
          <w:marRight w:val="0"/>
          <w:marTop w:val="0"/>
          <w:marBottom w:val="0"/>
          <w:divBdr>
            <w:top w:val="none" w:sz="0" w:space="0" w:color="auto"/>
            <w:left w:val="none" w:sz="0" w:space="0" w:color="auto"/>
            <w:bottom w:val="none" w:sz="0" w:space="0" w:color="auto"/>
            <w:right w:val="none" w:sz="0" w:space="0" w:color="auto"/>
          </w:divBdr>
          <w:divsChild>
            <w:div w:id="195893170">
              <w:marLeft w:val="0"/>
              <w:marRight w:val="0"/>
              <w:marTop w:val="0"/>
              <w:marBottom w:val="0"/>
              <w:divBdr>
                <w:top w:val="none" w:sz="0" w:space="0" w:color="auto"/>
                <w:left w:val="none" w:sz="0" w:space="0" w:color="auto"/>
                <w:bottom w:val="none" w:sz="0" w:space="0" w:color="auto"/>
                <w:right w:val="none" w:sz="0" w:space="0" w:color="auto"/>
              </w:divBdr>
              <w:divsChild>
                <w:div w:id="2024015119">
                  <w:marLeft w:val="0"/>
                  <w:marRight w:val="0"/>
                  <w:marTop w:val="0"/>
                  <w:marBottom w:val="0"/>
                  <w:divBdr>
                    <w:top w:val="none" w:sz="0" w:space="0" w:color="auto"/>
                    <w:left w:val="none" w:sz="0" w:space="0" w:color="auto"/>
                    <w:bottom w:val="none" w:sz="0" w:space="0" w:color="auto"/>
                    <w:right w:val="none" w:sz="0" w:space="0" w:color="auto"/>
                  </w:divBdr>
                  <w:divsChild>
                    <w:div w:id="1432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2845">
      <w:bodyDiv w:val="1"/>
      <w:marLeft w:val="0"/>
      <w:marRight w:val="0"/>
      <w:marTop w:val="0"/>
      <w:marBottom w:val="0"/>
      <w:divBdr>
        <w:top w:val="none" w:sz="0" w:space="0" w:color="auto"/>
        <w:left w:val="none" w:sz="0" w:space="0" w:color="auto"/>
        <w:bottom w:val="none" w:sz="0" w:space="0" w:color="auto"/>
        <w:right w:val="none" w:sz="0" w:space="0" w:color="auto"/>
      </w:divBdr>
      <w:divsChild>
        <w:div w:id="736704436">
          <w:marLeft w:val="0"/>
          <w:marRight w:val="0"/>
          <w:marTop w:val="0"/>
          <w:marBottom w:val="0"/>
          <w:divBdr>
            <w:top w:val="none" w:sz="0" w:space="0" w:color="auto"/>
            <w:left w:val="none" w:sz="0" w:space="0" w:color="auto"/>
            <w:bottom w:val="none" w:sz="0" w:space="0" w:color="auto"/>
            <w:right w:val="none" w:sz="0" w:space="0" w:color="auto"/>
          </w:divBdr>
          <w:divsChild>
            <w:div w:id="973756723">
              <w:marLeft w:val="0"/>
              <w:marRight w:val="0"/>
              <w:marTop w:val="0"/>
              <w:marBottom w:val="0"/>
              <w:divBdr>
                <w:top w:val="none" w:sz="0" w:space="0" w:color="auto"/>
                <w:left w:val="none" w:sz="0" w:space="0" w:color="auto"/>
                <w:bottom w:val="none" w:sz="0" w:space="0" w:color="auto"/>
                <w:right w:val="none" w:sz="0" w:space="0" w:color="auto"/>
              </w:divBdr>
              <w:divsChild>
                <w:div w:id="148835343">
                  <w:marLeft w:val="0"/>
                  <w:marRight w:val="0"/>
                  <w:marTop w:val="0"/>
                  <w:marBottom w:val="0"/>
                  <w:divBdr>
                    <w:top w:val="none" w:sz="0" w:space="0" w:color="auto"/>
                    <w:left w:val="none" w:sz="0" w:space="0" w:color="auto"/>
                    <w:bottom w:val="none" w:sz="0" w:space="0" w:color="auto"/>
                    <w:right w:val="none" w:sz="0" w:space="0" w:color="auto"/>
                  </w:divBdr>
                  <w:divsChild>
                    <w:div w:id="19213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77284">
      <w:bodyDiv w:val="1"/>
      <w:marLeft w:val="0"/>
      <w:marRight w:val="0"/>
      <w:marTop w:val="0"/>
      <w:marBottom w:val="0"/>
      <w:divBdr>
        <w:top w:val="none" w:sz="0" w:space="0" w:color="auto"/>
        <w:left w:val="none" w:sz="0" w:space="0" w:color="auto"/>
        <w:bottom w:val="none" w:sz="0" w:space="0" w:color="auto"/>
        <w:right w:val="none" w:sz="0" w:space="0" w:color="auto"/>
      </w:divBdr>
      <w:divsChild>
        <w:div w:id="372656584">
          <w:marLeft w:val="0"/>
          <w:marRight w:val="0"/>
          <w:marTop w:val="0"/>
          <w:marBottom w:val="0"/>
          <w:divBdr>
            <w:top w:val="none" w:sz="0" w:space="0" w:color="auto"/>
            <w:left w:val="none" w:sz="0" w:space="0" w:color="auto"/>
            <w:bottom w:val="none" w:sz="0" w:space="0" w:color="auto"/>
            <w:right w:val="none" w:sz="0" w:space="0" w:color="auto"/>
          </w:divBdr>
          <w:divsChild>
            <w:div w:id="1600987576">
              <w:marLeft w:val="0"/>
              <w:marRight w:val="0"/>
              <w:marTop w:val="0"/>
              <w:marBottom w:val="0"/>
              <w:divBdr>
                <w:top w:val="none" w:sz="0" w:space="0" w:color="auto"/>
                <w:left w:val="none" w:sz="0" w:space="0" w:color="auto"/>
                <w:bottom w:val="none" w:sz="0" w:space="0" w:color="auto"/>
                <w:right w:val="none" w:sz="0" w:space="0" w:color="auto"/>
              </w:divBdr>
              <w:divsChild>
                <w:div w:id="1732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10546">
      <w:bodyDiv w:val="1"/>
      <w:marLeft w:val="0"/>
      <w:marRight w:val="0"/>
      <w:marTop w:val="0"/>
      <w:marBottom w:val="0"/>
      <w:divBdr>
        <w:top w:val="none" w:sz="0" w:space="0" w:color="auto"/>
        <w:left w:val="none" w:sz="0" w:space="0" w:color="auto"/>
        <w:bottom w:val="none" w:sz="0" w:space="0" w:color="auto"/>
        <w:right w:val="none" w:sz="0" w:space="0" w:color="auto"/>
      </w:divBdr>
      <w:divsChild>
        <w:div w:id="556284342">
          <w:marLeft w:val="0"/>
          <w:marRight w:val="0"/>
          <w:marTop w:val="0"/>
          <w:marBottom w:val="0"/>
          <w:divBdr>
            <w:top w:val="none" w:sz="0" w:space="0" w:color="auto"/>
            <w:left w:val="none" w:sz="0" w:space="0" w:color="auto"/>
            <w:bottom w:val="none" w:sz="0" w:space="0" w:color="auto"/>
            <w:right w:val="none" w:sz="0" w:space="0" w:color="auto"/>
          </w:divBdr>
          <w:divsChild>
            <w:div w:id="473333336">
              <w:marLeft w:val="0"/>
              <w:marRight w:val="0"/>
              <w:marTop w:val="0"/>
              <w:marBottom w:val="0"/>
              <w:divBdr>
                <w:top w:val="none" w:sz="0" w:space="0" w:color="auto"/>
                <w:left w:val="none" w:sz="0" w:space="0" w:color="auto"/>
                <w:bottom w:val="none" w:sz="0" w:space="0" w:color="auto"/>
                <w:right w:val="none" w:sz="0" w:space="0" w:color="auto"/>
              </w:divBdr>
              <w:divsChild>
                <w:div w:id="1848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4262">
      <w:bodyDiv w:val="1"/>
      <w:marLeft w:val="0"/>
      <w:marRight w:val="0"/>
      <w:marTop w:val="0"/>
      <w:marBottom w:val="0"/>
      <w:divBdr>
        <w:top w:val="none" w:sz="0" w:space="0" w:color="auto"/>
        <w:left w:val="none" w:sz="0" w:space="0" w:color="auto"/>
        <w:bottom w:val="none" w:sz="0" w:space="0" w:color="auto"/>
        <w:right w:val="none" w:sz="0" w:space="0" w:color="auto"/>
      </w:divBdr>
      <w:divsChild>
        <w:div w:id="186406458">
          <w:marLeft w:val="0"/>
          <w:marRight w:val="0"/>
          <w:marTop w:val="0"/>
          <w:marBottom w:val="0"/>
          <w:divBdr>
            <w:top w:val="none" w:sz="0" w:space="0" w:color="auto"/>
            <w:left w:val="none" w:sz="0" w:space="0" w:color="auto"/>
            <w:bottom w:val="none" w:sz="0" w:space="0" w:color="auto"/>
            <w:right w:val="none" w:sz="0" w:space="0" w:color="auto"/>
          </w:divBdr>
          <w:divsChild>
            <w:div w:id="797651858">
              <w:marLeft w:val="0"/>
              <w:marRight w:val="0"/>
              <w:marTop w:val="0"/>
              <w:marBottom w:val="0"/>
              <w:divBdr>
                <w:top w:val="none" w:sz="0" w:space="0" w:color="auto"/>
                <w:left w:val="none" w:sz="0" w:space="0" w:color="auto"/>
                <w:bottom w:val="none" w:sz="0" w:space="0" w:color="auto"/>
                <w:right w:val="none" w:sz="0" w:space="0" w:color="auto"/>
              </w:divBdr>
              <w:divsChild>
                <w:div w:id="7494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5637">
      <w:bodyDiv w:val="1"/>
      <w:marLeft w:val="0"/>
      <w:marRight w:val="0"/>
      <w:marTop w:val="0"/>
      <w:marBottom w:val="0"/>
      <w:divBdr>
        <w:top w:val="none" w:sz="0" w:space="0" w:color="auto"/>
        <w:left w:val="none" w:sz="0" w:space="0" w:color="auto"/>
        <w:bottom w:val="none" w:sz="0" w:space="0" w:color="auto"/>
        <w:right w:val="none" w:sz="0" w:space="0" w:color="auto"/>
      </w:divBdr>
      <w:divsChild>
        <w:div w:id="1616405388">
          <w:marLeft w:val="0"/>
          <w:marRight w:val="0"/>
          <w:marTop w:val="0"/>
          <w:marBottom w:val="0"/>
          <w:divBdr>
            <w:top w:val="none" w:sz="0" w:space="0" w:color="auto"/>
            <w:left w:val="none" w:sz="0" w:space="0" w:color="auto"/>
            <w:bottom w:val="none" w:sz="0" w:space="0" w:color="auto"/>
            <w:right w:val="none" w:sz="0" w:space="0" w:color="auto"/>
          </w:divBdr>
          <w:divsChild>
            <w:div w:id="430005317">
              <w:marLeft w:val="0"/>
              <w:marRight w:val="0"/>
              <w:marTop w:val="0"/>
              <w:marBottom w:val="0"/>
              <w:divBdr>
                <w:top w:val="none" w:sz="0" w:space="0" w:color="auto"/>
                <w:left w:val="none" w:sz="0" w:space="0" w:color="auto"/>
                <w:bottom w:val="none" w:sz="0" w:space="0" w:color="auto"/>
                <w:right w:val="none" w:sz="0" w:space="0" w:color="auto"/>
              </w:divBdr>
              <w:divsChild>
                <w:div w:id="594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31303">
      <w:bodyDiv w:val="1"/>
      <w:marLeft w:val="0"/>
      <w:marRight w:val="0"/>
      <w:marTop w:val="0"/>
      <w:marBottom w:val="0"/>
      <w:divBdr>
        <w:top w:val="none" w:sz="0" w:space="0" w:color="auto"/>
        <w:left w:val="none" w:sz="0" w:space="0" w:color="auto"/>
        <w:bottom w:val="none" w:sz="0" w:space="0" w:color="auto"/>
        <w:right w:val="none" w:sz="0" w:space="0" w:color="auto"/>
      </w:divBdr>
      <w:divsChild>
        <w:div w:id="1851096537">
          <w:marLeft w:val="0"/>
          <w:marRight w:val="0"/>
          <w:marTop w:val="0"/>
          <w:marBottom w:val="0"/>
          <w:divBdr>
            <w:top w:val="none" w:sz="0" w:space="0" w:color="auto"/>
            <w:left w:val="none" w:sz="0" w:space="0" w:color="auto"/>
            <w:bottom w:val="none" w:sz="0" w:space="0" w:color="auto"/>
            <w:right w:val="none" w:sz="0" w:space="0" w:color="auto"/>
          </w:divBdr>
          <w:divsChild>
            <w:div w:id="283587083">
              <w:marLeft w:val="0"/>
              <w:marRight w:val="0"/>
              <w:marTop w:val="0"/>
              <w:marBottom w:val="0"/>
              <w:divBdr>
                <w:top w:val="none" w:sz="0" w:space="0" w:color="auto"/>
                <w:left w:val="none" w:sz="0" w:space="0" w:color="auto"/>
                <w:bottom w:val="none" w:sz="0" w:space="0" w:color="auto"/>
                <w:right w:val="none" w:sz="0" w:space="0" w:color="auto"/>
              </w:divBdr>
              <w:divsChild>
                <w:div w:id="181671908">
                  <w:marLeft w:val="0"/>
                  <w:marRight w:val="0"/>
                  <w:marTop w:val="0"/>
                  <w:marBottom w:val="0"/>
                  <w:divBdr>
                    <w:top w:val="none" w:sz="0" w:space="0" w:color="auto"/>
                    <w:left w:val="none" w:sz="0" w:space="0" w:color="auto"/>
                    <w:bottom w:val="none" w:sz="0" w:space="0" w:color="auto"/>
                    <w:right w:val="none" w:sz="0" w:space="0" w:color="auto"/>
                  </w:divBdr>
                  <w:divsChild>
                    <w:div w:id="3242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79550">
      <w:bodyDiv w:val="1"/>
      <w:marLeft w:val="0"/>
      <w:marRight w:val="0"/>
      <w:marTop w:val="0"/>
      <w:marBottom w:val="0"/>
      <w:divBdr>
        <w:top w:val="none" w:sz="0" w:space="0" w:color="auto"/>
        <w:left w:val="none" w:sz="0" w:space="0" w:color="auto"/>
        <w:bottom w:val="none" w:sz="0" w:space="0" w:color="auto"/>
        <w:right w:val="none" w:sz="0" w:space="0" w:color="auto"/>
      </w:divBdr>
      <w:divsChild>
        <w:div w:id="314795123">
          <w:marLeft w:val="0"/>
          <w:marRight w:val="0"/>
          <w:marTop w:val="0"/>
          <w:marBottom w:val="0"/>
          <w:divBdr>
            <w:top w:val="none" w:sz="0" w:space="0" w:color="auto"/>
            <w:left w:val="none" w:sz="0" w:space="0" w:color="auto"/>
            <w:bottom w:val="none" w:sz="0" w:space="0" w:color="auto"/>
            <w:right w:val="none" w:sz="0" w:space="0" w:color="auto"/>
          </w:divBdr>
          <w:divsChild>
            <w:div w:id="140119672">
              <w:marLeft w:val="0"/>
              <w:marRight w:val="0"/>
              <w:marTop w:val="0"/>
              <w:marBottom w:val="0"/>
              <w:divBdr>
                <w:top w:val="none" w:sz="0" w:space="0" w:color="auto"/>
                <w:left w:val="none" w:sz="0" w:space="0" w:color="auto"/>
                <w:bottom w:val="none" w:sz="0" w:space="0" w:color="auto"/>
                <w:right w:val="none" w:sz="0" w:space="0" w:color="auto"/>
              </w:divBdr>
              <w:divsChild>
                <w:div w:id="20955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98743">
      <w:bodyDiv w:val="1"/>
      <w:marLeft w:val="0"/>
      <w:marRight w:val="0"/>
      <w:marTop w:val="0"/>
      <w:marBottom w:val="0"/>
      <w:divBdr>
        <w:top w:val="none" w:sz="0" w:space="0" w:color="auto"/>
        <w:left w:val="none" w:sz="0" w:space="0" w:color="auto"/>
        <w:bottom w:val="none" w:sz="0" w:space="0" w:color="auto"/>
        <w:right w:val="none" w:sz="0" w:space="0" w:color="auto"/>
      </w:divBdr>
      <w:divsChild>
        <w:div w:id="1344867741">
          <w:marLeft w:val="0"/>
          <w:marRight w:val="0"/>
          <w:marTop w:val="0"/>
          <w:marBottom w:val="0"/>
          <w:divBdr>
            <w:top w:val="none" w:sz="0" w:space="0" w:color="auto"/>
            <w:left w:val="none" w:sz="0" w:space="0" w:color="auto"/>
            <w:bottom w:val="none" w:sz="0" w:space="0" w:color="auto"/>
            <w:right w:val="none" w:sz="0" w:space="0" w:color="auto"/>
          </w:divBdr>
          <w:divsChild>
            <w:div w:id="1747990877">
              <w:marLeft w:val="0"/>
              <w:marRight w:val="0"/>
              <w:marTop w:val="0"/>
              <w:marBottom w:val="0"/>
              <w:divBdr>
                <w:top w:val="none" w:sz="0" w:space="0" w:color="auto"/>
                <w:left w:val="none" w:sz="0" w:space="0" w:color="auto"/>
                <w:bottom w:val="none" w:sz="0" w:space="0" w:color="auto"/>
                <w:right w:val="none" w:sz="0" w:space="0" w:color="auto"/>
              </w:divBdr>
              <w:divsChild>
                <w:div w:id="10371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1734">
      <w:bodyDiv w:val="1"/>
      <w:marLeft w:val="0"/>
      <w:marRight w:val="0"/>
      <w:marTop w:val="0"/>
      <w:marBottom w:val="0"/>
      <w:divBdr>
        <w:top w:val="none" w:sz="0" w:space="0" w:color="auto"/>
        <w:left w:val="none" w:sz="0" w:space="0" w:color="auto"/>
        <w:bottom w:val="none" w:sz="0" w:space="0" w:color="auto"/>
        <w:right w:val="none" w:sz="0" w:space="0" w:color="auto"/>
      </w:divBdr>
      <w:divsChild>
        <w:div w:id="772898553">
          <w:marLeft w:val="0"/>
          <w:marRight w:val="0"/>
          <w:marTop w:val="0"/>
          <w:marBottom w:val="0"/>
          <w:divBdr>
            <w:top w:val="none" w:sz="0" w:space="0" w:color="auto"/>
            <w:left w:val="none" w:sz="0" w:space="0" w:color="auto"/>
            <w:bottom w:val="none" w:sz="0" w:space="0" w:color="auto"/>
            <w:right w:val="none" w:sz="0" w:space="0" w:color="auto"/>
          </w:divBdr>
          <w:divsChild>
            <w:div w:id="721907564">
              <w:marLeft w:val="0"/>
              <w:marRight w:val="0"/>
              <w:marTop w:val="0"/>
              <w:marBottom w:val="0"/>
              <w:divBdr>
                <w:top w:val="none" w:sz="0" w:space="0" w:color="auto"/>
                <w:left w:val="none" w:sz="0" w:space="0" w:color="auto"/>
                <w:bottom w:val="none" w:sz="0" w:space="0" w:color="auto"/>
                <w:right w:val="none" w:sz="0" w:space="0" w:color="auto"/>
              </w:divBdr>
              <w:divsChild>
                <w:div w:id="5218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57005">
      <w:bodyDiv w:val="1"/>
      <w:marLeft w:val="0"/>
      <w:marRight w:val="0"/>
      <w:marTop w:val="0"/>
      <w:marBottom w:val="0"/>
      <w:divBdr>
        <w:top w:val="none" w:sz="0" w:space="0" w:color="auto"/>
        <w:left w:val="none" w:sz="0" w:space="0" w:color="auto"/>
        <w:bottom w:val="none" w:sz="0" w:space="0" w:color="auto"/>
        <w:right w:val="none" w:sz="0" w:space="0" w:color="auto"/>
      </w:divBdr>
      <w:divsChild>
        <w:div w:id="1299991813">
          <w:marLeft w:val="0"/>
          <w:marRight w:val="0"/>
          <w:marTop w:val="0"/>
          <w:marBottom w:val="0"/>
          <w:divBdr>
            <w:top w:val="none" w:sz="0" w:space="0" w:color="auto"/>
            <w:left w:val="none" w:sz="0" w:space="0" w:color="auto"/>
            <w:bottom w:val="none" w:sz="0" w:space="0" w:color="auto"/>
            <w:right w:val="none" w:sz="0" w:space="0" w:color="auto"/>
          </w:divBdr>
          <w:divsChild>
            <w:div w:id="1048605796">
              <w:marLeft w:val="0"/>
              <w:marRight w:val="0"/>
              <w:marTop w:val="0"/>
              <w:marBottom w:val="0"/>
              <w:divBdr>
                <w:top w:val="none" w:sz="0" w:space="0" w:color="auto"/>
                <w:left w:val="none" w:sz="0" w:space="0" w:color="auto"/>
                <w:bottom w:val="none" w:sz="0" w:space="0" w:color="auto"/>
                <w:right w:val="none" w:sz="0" w:space="0" w:color="auto"/>
              </w:divBdr>
              <w:divsChild>
                <w:div w:id="17697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18449">
      <w:bodyDiv w:val="1"/>
      <w:marLeft w:val="0"/>
      <w:marRight w:val="0"/>
      <w:marTop w:val="0"/>
      <w:marBottom w:val="0"/>
      <w:divBdr>
        <w:top w:val="none" w:sz="0" w:space="0" w:color="auto"/>
        <w:left w:val="none" w:sz="0" w:space="0" w:color="auto"/>
        <w:bottom w:val="none" w:sz="0" w:space="0" w:color="auto"/>
        <w:right w:val="none" w:sz="0" w:space="0" w:color="auto"/>
      </w:divBdr>
    </w:div>
    <w:div w:id="1185284998">
      <w:bodyDiv w:val="1"/>
      <w:marLeft w:val="0"/>
      <w:marRight w:val="0"/>
      <w:marTop w:val="0"/>
      <w:marBottom w:val="0"/>
      <w:divBdr>
        <w:top w:val="none" w:sz="0" w:space="0" w:color="auto"/>
        <w:left w:val="none" w:sz="0" w:space="0" w:color="auto"/>
        <w:bottom w:val="none" w:sz="0" w:space="0" w:color="auto"/>
        <w:right w:val="none" w:sz="0" w:space="0" w:color="auto"/>
      </w:divBdr>
      <w:divsChild>
        <w:div w:id="1115757989">
          <w:marLeft w:val="0"/>
          <w:marRight w:val="0"/>
          <w:marTop w:val="0"/>
          <w:marBottom w:val="0"/>
          <w:divBdr>
            <w:top w:val="none" w:sz="0" w:space="0" w:color="auto"/>
            <w:left w:val="none" w:sz="0" w:space="0" w:color="auto"/>
            <w:bottom w:val="none" w:sz="0" w:space="0" w:color="auto"/>
            <w:right w:val="none" w:sz="0" w:space="0" w:color="auto"/>
          </w:divBdr>
          <w:divsChild>
            <w:div w:id="1468087078">
              <w:marLeft w:val="0"/>
              <w:marRight w:val="0"/>
              <w:marTop w:val="0"/>
              <w:marBottom w:val="0"/>
              <w:divBdr>
                <w:top w:val="none" w:sz="0" w:space="0" w:color="auto"/>
                <w:left w:val="none" w:sz="0" w:space="0" w:color="auto"/>
                <w:bottom w:val="none" w:sz="0" w:space="0" w:color="auto"/>
                <w:right w:val="none" w:sz="0" w:space="0" w:color="auto"/>
              </w:divBdr>
              <w:divsChild>
                <w:div w:id="19612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4710">
      <w:bodyDiv w:val="1"/>
      <w:marLeft w:val="0"/>
      <w:marRight w:val="0"/>
      <w:marTop w:val="0"/>
      <w:marBottom w:val="0"/>
      <w:divBdr>
        <w:top w:val="none" w:sz="0" w:space="0" w:color="auto"/>
        <w:left w:val="none" w:sz="0" w:space="0" w:color="auto"/>
        <w:bottom w:val="none" w:sz="0" w:space="0" w:color="auto"/>
        <w:right w:val="none" w:sz="0" w:space="0" w:color="auto"/>
      </w:divBdr>
      <w:divsChild>
        <w:div w:id="186523829">
          <w:marLeft w:val="0"/>
          <w:marRight w:val="0"/>
          <w:marTop w:val="0"/>
          <w:marBottom w:val="0"/>
          <w:divBdr>
            <w:top w:val="none" w:sz="0" w:space="0" w:color="auto"/>
            <w:left w:val="none" w:sz="0" w:space="0" w:color="auto"/>
            <w:bottom w:val="none" w:sz="0" w:space="0" w:color="auto"/>
            <w:right w:val="none" w:sz="0" w:space="0" w:color="auto"/>
          </w:divBdr>
          <w:divsChild>
            <w:div w:id="1567573998">
              <w:marLeft w:val="0"/>
              <w:marRight w:val="0"/>
              <w:marTop w:val="0"/>
              <w:marBottom w:val="0"/>
              <w:divBdr>
                <w:top w:val="none" w:sz="0" w:space="0" w:color="auto"/>
                <w:left w:val="none" w:sz="0" w:space="0" w:color="auto"/>
                <w:bottom w:val="none" w:sz="0" w:space="0" w:color="auto"/>
                <w:right w:val="none" w:sz="0" w:space="0" w:color="auto"/>
              </w:divBdr>
              <w:divsChild>
                <w:div w:id="16381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9329">
      <w:bodyDiv w:val="1"/>
      <w:marLeft w:val="0"/>
      <w:marRight w:val="0"/>
      <w:marTop w:val="0"/>
      <w:marBottom w:val="0"/>
      <w:divBdr>
        <w:top w:val="none" w:sz="0" w:space="0" w:color="auto"/>
        <w:left w:val="none" w:sz="0" w:space="0" w:color="auto"/>
        <w:bottom w:val="none" w:sz="0" w:space="0" w:color="auto"/>
        <w:right w:val="none" w:sz="0" w:space="0" w:color="auto"/>
      </w:divBdr>
      <w:divsChild>
        <w:div w:id="56247056">
          <w:marLeft w:val="0"/>
          <w:marRight w:val="0"/>
          <w:marTop w:val="0"/>
          <w:marBottom w:val="0"/>
          <w:divBdr>
            <w:top w:val="none" w:sz="0" w:space="0" w:color="auto"/>
            <w:left w:val="none" w:sz="0" w:space="0" w:color="auto"/>
            <w:bottom w:val="none" w:sz="0" w:space="0" w:color="auto"/>
            <w:right w:val="none" w:sz="0" w:space="0" w:color="auto"/>
          </w:divBdr>
          <w:divsChild>
            <w:div w:id="169879742">
              <w:marLeft w:val="0"/>
              <w:marRight w:val="0"/>
              <w:marTop w:val="0"/>
              <w:marBottom w:val="0"/>
              <w:divBdr>
                <w:top w:val="none" w:sz="0" w:space="0" w:color="auto"/>
                <w:left w:val="none" w:sz="0" w:space="0" w:color="auto"/>
                <w:bottom w:val="none" w:sz="0" w:space="0" w:color="auto"/>
                <w:right w:val="none" w:sz="0" w:space="0" w:color="auto"/>
              </w:divBdr>
              <w:divsChild>
                <w:div w:id="13558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848">
      <w:bodyDiv w:val="1"/>
      <w:marLeft w:val="0"/>
      <w:marRight w:val="0"/>
      <w:marTop w:val="0"/>
      <w:marBottom w:val="0"/>
      <w:divBdr>
        <w:top w:val="none" w:sz="0" w:space="0" w:color="auto"/>
        <w:left w:val="none" w:sz="0" w:space="0" w:color="auto"/>
        <w:bottom w:val="none" w:sz="0" w:space="0" w:color="auto"/>
        <w:right w:val="none" w:sz="0" w:space="0" w:color="auto"/>
      </w:divBdr>
      <w:divsChild>
        <w:div w:id="401947517">
          <w:marLeft w:val="0"/>
          <w:marRight w:val="0"/>
          <w:marTop w:val="0"/>
          <w:marBottom w:val="0"/>
          <w:divBdr>
            <w:top w:val="none" w:sz="0" w:space="0" w:color="auto"/>
            <w:left w:val="none" w:sz="0" w:space="0" w:color="auto"/>
            <w:bottom w:val="none" w:sz="0" w:space="0" w:color="auto"/>
            <w:right w:val="none" w:sz="0" w:space="0" w:color="auto"/>
          </w:divBdr>
          <w:divsChild>
            <w:div w:id="1174568002">
              <w:marLeft w:val="0"/>
              <w:marRight w:val="0"/>
              <w:marTop w:val="0"/>
              <w:marBottom w:val="0"/>
              <w:divBdr>
                <w:top w:val="none" w:sz="0" w:space="0" w:color="auto"/>
                <w:left w:val="none" w:sz="0" w:space="0" w:color="auto"/>
                <w:bottom w:val="none" w:sz="0" w:space="0" w:color="auto"/>
                <w:right w:val="none" w:sz="0" w:space="0" w:color="auto"/>
              </w:divBdr>
              <w:divsChild>
                <w:div w:id="13199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0837">
      <w:bodyDiv w:val="1"/>
      <w:marLeft w:val="0"/>
      <w:marRight w:val="0"/>
      <w:marTop w:val="0"/>
      <w:marBottom w:val="0"/>
      <w:divBdr>
        <w:top w:val="none" w:sz="0" w:space="0" w:color="auto"/>
        <w:left w:val="none" w:sz="0" w:space="0" w:color="auto"/>
        <w:bottom w:val="none" w:sz="0" w:space="0" w:color="auto"/>
        <w:right w:val="none" w:sz="0" w:space="0" w:color="auto"/>
      </w:divBdr>
      <w:divsChild>
        <w:div w:id="595945261">
          <w:marLeft w:val="0"/>
          <w:marRight w:val="0"/>
          <w:marTop w:val="0"/>
          <w:marBottom w:val="0"/>
          <w:divBdr>
            <w:top w:val="none" w:sz="0" w:space="0" w:color="auto"/>
            <w:left w:val="none" w:sz="0" w:space="0" w:color="auto"/>
            <w:bottom w:val="none" w:sz="0" w:space="0" w:color="auto"/>
            <w:right w:val="none" w:sz="0" w:space="0" w:color="auto"/>
          </w:divBdr>
          <w:divsChild>
            <w:div w:id="1243221617">
              <w:marLeft w:val="0"/>
              <w:marRight w:val="0"/>
              <w:marTop w:val="0"/>
              <w:marBottom w:val="0"/>
              <w:divBdr>
                <w:top w:val="none" w:sz="0" w:space="0" w:color="auto"/>
                <w:left w:val="none" w:sz="0" w:space="0" w:color="auto"/>
                <w:bottom w:val="none" w:sz="0" w:space="0" w:color="auto"/>
                <w:right w:val="none" w:sz="0" w:space="0" w:color="auto"/>
              </w:divBdr>
              <w:divsChild>
                <w:div w:id="13142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31902">
      <w:bodyDiv w:val="1"/>
      <w:marLeft w:val="0"/>
      <w:marRight w:val="0"/>
      <w:marTop w:val="0"/>
      <w:marBottom w:val="0"/>
      <w:divBdr>
        <w:top w:val="none" w:sz="0" w:space="0" w:color="auto"/>
        <w:left w:val="none" w:sz="0" w:space="0" w:color="auto"/>
        <w:bottom w:val="none" w:sz="0" w:space="0" w:color="auto"/>
        <w:right w:val="none" w:sz="0" w:space="0" w:color="auto"/>
      </w:divBdr>
      <w:divsChild>
        <w:div w:id="910697256">
          <w:marLeft w:val="0"/>
          <w:marRight w:val="0"/>
          <w:marTop w:val="0"/>
          <w:marBottom w:val="0"/>
          <w:divBdr>
            <w:top w:val="none" w:sz="0" w:space="0" w:color="auto"/>
            <w:left w:val="none" w:sz="0" w:space="0" w:color="auto"/>
            <w:bottom w:val="none" w:sz="0" w:space="0" w:color="auto"/>
            <w:right w:val="none" w:sz="0" w:space="0" w:color="auto"/>
          </w:divBdr>
          <w:divsChild>
            <w:div w:id="1224756561">
              <w:marLeft w:val="0"/>
              <w:marRight w:val="0"/>
              <w:marTop w:val="0"/>
              <w:marBottom w:val="0"/>
              <w:divBdr>
                <w:top w:val="none" w:sz="0" w:space="0" w:color="auto"/>
                <w:left w:val="none" w:sz="0" w:space="0" w:color="auto"/>
                <w:bottom w:val="none" w:sz="0" w:space="0" w:color="auto"/>
                <w:right w:val="none" w:sz="0" w:space="0" w:color="auto"/>
              </w:divBdr>
              <w:divsChild>
                <w:div w:id="131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49676">
      <w:bodyDiv w:val="1"/>
      <w:marLeft w:val="0"/>
      <w:marRight w:val="0"/>
      <w:marTop w:val="0"/>
      <w:marBottom w:val="0"/>
      <w:divBdr>
        <w:top w:val="none" w:sz="0" w:space="0" w:color="auto"/>
        <w:left w:val="none" w:sz="0" w:space="0" w:color="auto"/>
        <w:bottom w:val="none" w:sz="0" w:space="0" w:color="auto"/>
        <w:right w:val="none" w:sz="0" w:space="0" w:color="auto"/>
      </w:divBdr>
      <w:divsChild>
        <w:div w:id="1224412957">
          <w:marLeft w:val="0"/>
          <w:marRight w:val="0"/>
          <w:marTop w:val="0"/>
          <w:marBottom w:val="0"/>
          <w:divBdr>
            <w:top w:val="none" w:sz="0" w:space="0" w:color="auto"/>
            <w:left w:val="none" w:sz="0" w:space="0" w:color="auto"/>
            <w:bottom w:val="none" w:sz="0" w:space="0" w:color="auto"/>
            <w:right w:val="none" w:sz="0" w:space="0" w:color="auto"/>
          </w:divBdr>
          <w:divsChild>
            <w:div w:id="62684050">
              <w:marLeft w:val="0"/>
              <w:marRight w:val="0"/>
              <w:marTop w:val="0"/>
              <w:marBottom w:val="0"/>
              <w:divBdr>
                <w:top w:val="none" w:sz="0" w:space="0" w:color="auto"/>
                <w:left w:val="none" w:sz="0" w:space="0" w:color="auto"/>
                <w:bottom w:val="none" w:sz="0" w:space="0" w:color="auto"/>
                <w:right w:val="none" w:sz="0" w:space="0" w:color="auto"/>
              </w:divBdr>
              <w:divsChild>
                <w:div w:id="18804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0401">
      <w:bodyDiv w:val="1"/>
      <w:marLeft w:val="0"/>
      <w:marRight w:val="0"/>
      <w:marTop w:val="0"/>
      <w:marBottom w:val="0"/>
      <w:divBdr>
        <w:top w:val="none" w:sz="0" w:space="0" w:color="auto"/>
        <w:left w:val="none" w:sz="0" w:space="0" w:color="auto"/>
        <w:bottom w:val="none" w:sz="0" w:space="0" w:color="auto"/>
        <w:right w:val="none" w:sz="0" w:space="0" w:color="auto"/>
      </w:divBdr>
      <w:divsChild>
        <w:div w:id="1073047190">
          <w:marLeft w:val="0"/>
          <w:marRight w:val="0"/>
          <w:marTop w:val="0"/>
          <w:marBottom w:val="0"/>
          <w:divBdr>
            <w:top w:val="none" w:sz="0" w:space="0" w:color="auto"/>
            <w:left w:val="none" w:sz="0" w:space="0" w:color="auto"/>
            <w:bottom w:val="none" w:sz="0" w:space="0" w:color="auto"/>
            <w:right w:val="none" w:sz="0" w:space="0" w:color="auto"/>
          </w:divBdr>
          <w:divsChild>
            <w:div w:id="989215042">
              <w:marLeft w:val="0"/>
              <w:marRight w:val="0"/>
              <w:marTop w:val="0"/>
              <w:marBottom w:val="0"/>
              <w:divBdr>
                <w:top w:val="none" w:sz="0" w:space="0" w:color="auto"/>
                <w:left w:val="none" w:sz="0" w:space="0" w:color="auto"/>
                <w:bottom w:val="none" w:sz="0" w:space="0" w:color="auto"/>
                <w:right w:val="none" w:sz="0" w:space="0" w:color="auto"/>
              </w:divBdr>
              <w:divsChild>
                <w:div w:id="426123561">
                  <w:marLeft w:val="0"/>
                  <w:marRight w:val="0"/>
                  <w:marTop w:val="0"/>
                  <w:marBottom w:val="0"/>
                  <w:divBdr>
                    <w:top w:val="none" w:sz="0" w:space="0" w:color="auto"/>
                    <w:left w:val="none" w:sz="0" w:space="0" w:color="auto"/>
                    <w:bottom w:val="none" w:sz="0" w:space="0" w:color="auto"/>
                    <w:right w:val="none" w:sz="0" w:space="0" w:color="auto"/>
                  </w:divBdr>
                </w:div>
              </w:divsChild>
            </w:div>
            <w:div w:id="1707221672">
              <w:marLeft w:val="0"/>
              <w:marRight w:val="0"/>
              <w:marTop w:val="0"/>
              <w:marBottom w:val="0"/>
              <w:divBdr>
                <w:top w:val="none" w:sz="0" w:space="0" w:color="auto"/>
                <w:left w:val="none" w:sz="0" w:space="0" w:color="auto"/>
                <w:bottom w:val="none" w:sz="0" w:space="0" w:color="auto"/>
                <w:right w:val="none" w:sz="0" w:space="0" w:color="auto"/>
              </w:divBdr>
              <w:divsChild>
                <w:div w:id="8131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2382">
          <w:marLeft w:val="0"/>
          <w:marRight w:val="0"/>
          <w:marTop w:val="0"/>
          <w:marBottom w:val="0"/>
          <w:divBdr>
            <w:top w:val="none" w:sz="0" w:space="0" w:color="auto"/>
            <w:left w:val="none" w:sz="0" w:space="0" w:color="auto"/>
            <w:bottom w:val="none" w:sz="0" w:space="0" w:color="auto"/>
            <w:right w:val="none" w:sz="0" w:space="0" w:color="auto"/>
          </w:divBdr>
          <w:divsChild>
            <w:div w:id="156580658">
              <w:marLeft w:val="0"/>
              <w:marRight w:val="0"/>
              <w:marTop w:val="0"/>
              <w:marBottom w:val="0"/>
              <w:divBdr>
                <w:top w:val="none" w:sz="0" w:space="0" w:color="auto"/>
                <w:left w:val="none" w:sz="0" w:space="0" w:color="auto"/>
                <w:bottom w:val="none" w:sz="0" w:space="0" w:color="auto"/>
                <w:right w:val="none" w:sz="0" w:space="0" w:color="auto"/>
              </w:divBdr>
              <w:divsChild>
                <w:div w:id="878128652">
                  <w:marLeft w:val="0"/>
                  <w:marRight w:val="0"/>
                  <w:marTop w:val="0"/>
                  <w:marBottom w:val="0"/>
                  <w:divBdr>
                    <w:top w:val="none" w:sz="0" w:space="0" w:color="auto"/>
                    <w:left w:val="none" w:sz="0" w:space="0" w:color="auto"/>
                    <w:bottom w:val="none" w:sz="0" w:space="0" w:color="auto"/>
                    <w:right w:val="none" w:sz="0" w:space="0" w:color="auto"/>
                  </w:divBdr>
                </w:div>
              </w:divsChild>
            </w:div>
            <w:div w:id="927496255">
              <w:marLeft w:val="0"/>
              <w:marRight w:val="0"/>
              <w:marTop w:val="0"/>
              <w:marBottom w:val="0"/>
              <w:divBdr>
                <w:top w:val="none" w:sz="0" w:space="0" w:color="auto"/>
                <w:left w:val="none" w:sz="0" w:space="0" w:color="auto"/>
                <w:bottom w:val="none" w:sz="0" w:space="0" w:color="auto"/>
                <w:right w:val="none" w:sz="0" w:space="0" w:color="auto"/>
              </w:divBdr>
              <w:divsChild>
                <w:div w:id="560748808">
                  <w:marLeft w:val="0"/>
                  <w:marRight w:val="0"/>
                  <w:marTop w:val="0"/>
                  <w:marBottom w:val="0"/>
                  <w:divBdr>
                    <w:top w:val="none" w:sz="0" w:space="0" w:color="auto"/>
                    <w:left w:val="none" w:sz="0" w:space="0" w:color="auto"/>
                    <w:bottom w:val="none" w:sz="0" w:space="0" w:color="auto"/>
                    <w:right w:val="none" w:sz="0" w:space="0" w:color="auto"/>
                  </w:divBdr>
                </w:div>
              </w:divsChild>
            </w:div>
            <w:div w:id="1150831467">
              <w:marLeft w:val="0"/>
              <w:marRight w:val="0"/>
              <w:marTop w:val="0"/>
              <w:marBottom w:val="0"/>
              <w:divBdr>
                <w:top w:val="none" w:sz="0" w:space="0" w:color="auto"/>
                <w:left w:val="none" w:sz="0" w:space="0" w:color="auto"/>
                <w:bottom w:val="none" w:sz="0" w:space="0" w:color="auto"/>
                <w:right w:val="none" w:sz="0" w:space="0" w:color="auto"/>
              </w:divBdr>
              <w:divsChild>
                <w:div w:id="1327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8945">
          <w:marLeft w:val="0"/>
          <w:marRight w:val="0"/>
          <w:marTop w:val="0"/>
          <w:marBottom w:val="0"/>
          <w:divBdr>
            <w:top w:val="none" w:sz="0" w:space="0" w:color="auto"/>
            <w:left w:val="none" w:sz="0" w:space="0" w:color="auto"/>
            <w:bottom w:val="none" w:sz="0" w:space="0" w:color="auto"/>
            <w:right w:val="none" w:sz="0" w:space="0" w:color="auto"/>
          </w:divBdr>
          <w:divsChild>
            <w:div w:id="604270588">
              <w:marLeft w:val="0"/>
              <w:marRight w:val="0"/>
              <w:marTop w:val="0"/>
              <w:marBottom w:val="0"/>
              <w:divBdr>
                <w:top w:val="none" w:sz="0" w:space="0" w:color="auto"/>
                <w:left w:val="none" w:sz="0" w:space="0" w:color="auto"/>
                <w:bottom w:val="none" w:sz="0" w:space="0" w:color="auto"/>
                <w:right w:val="none" w:sz="0" w:space="0" w:color="auto"/>
              </w:divBdr>
              <w:divsChild>
                <w:div w:id="358287144">
                  <w:marLeft w:val="0"/>
                  <w:marRight w:val="0"/>
                  <w:marTop w:val="0"/>
                  <w:marBottom w:val="0"/>
                  <w:divBdr>
                    <w:top w:val="none" w:sz="0" w:space="0" w:color="auto"/>
                    <w:left w:val="none" w:sz="0" w:space="0" w:color="auto"/>
                    <w:bottom w:val="none" w:sz="0" w:space="0" w:color="auto"/>
                    <w:right w:val="none" w:sz="0" w:space="0" w:color="auto"/>
                  </w:divBdr>
                </w:div>
              </w:divsChild>
            </w:div>
            <w:div w:id="1990205168">
              <w:marLeft w:val="0"/>
              <w:marRight w:val="0"/>
              <w:marTop w:val="0"/>
              <w:marBottom w:val="0"/>
              <w:divBdr>
                <w:top w:val="none" w:sz="0" w:space="0" w:color="auto"/>
                <w:left w:val="none" w:sz="0" w:space="0" w:color="auto"/>
                <w:bottom w:val="none" w:sz="0" w:space="0" w:color="auto"/>
                <w:right w:val="none" w:sz="0" w:space="0" w:color="auto"/>
              </w:divBdr>
              <w:divsChild>
                <w:div w:id="10209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5664">
      <w:bodyDiv w:val="1"/>
      <w:marLeft w:val="0"/>
      <w:marRight w:val="0"/>
      <w:marTop w:val="0"/>
      <w:marBottom w:val="0"/>
      <w:divBdr>
        <w:top w:val="none" w:sz="0" w:space="0" w:color="auto"/>
        <w:left w:val="none" w:sz="0" w:space="0" w:color="auto"/>
        <w:bottom w:val="none" w:sz="0" w:space="0" w:color="auto"/>
        <w:right w:val="none" w:sz="0" w:space="0" w:color="auto"/>
      </w:divBdr>
      <w:divsChild>
        <w:div w:id="1724255622">
          <w:marLeft w:val="0"/>
          <w:marRight w:val="0"/>
          <w:marTop w:val="0"/>
          <w:marBottom w:val="0"/>
          <w:divBdr>
            <w:top w:val="none" w:sz="0" w:space="0" w:color="auto"/>
            <w:left w:val="none" w:sz="0" w:space="0" w:color="auto"/>
            <w:bottom w:val="none" w:sz="0" w:space="0" w:color="auto"/>
            <w:right w:val="none" w:sz="0" w:space="0" w:color="auto"/>
          </w:divBdr>
          <w:divsChild>
            <w:div w:id="1120412911">
              <w:marLeft w:val="0"/>
              <w:marRight w:val="0"/>
              <w:marTop w:val="0"/>
              <w:marBottom w:val="0"/>
              <w:divBdr>
                <w:top w:val="none" w:sz="0" w:space="0" w:color="auto"/>
                <w:left w:val="none" w:sz="0" w:space="0" w:color="auto"/>
                <w:bottom w:val="none" w:sz="0" w:space="0" w:color="auto"/>
                <w:right w:val="none" w:sz="0" w:space="0" w:color="auto"/>
              </w:divBdr>
              <w:divsChild>
                <w:div w:id="9197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7146">
      <w:bodyDiv w:val="1"/>
      <w:marLeft w:val="0"/>
      <w:marRight w:val="0"/>
      <w:marTop w:val="0"/>
      <w:marBottom w:val="0"/>
      <w:divBdr>
        <w:top w:val="none" w:sz="0" w:space="0" w:color="auto"/>
        <w:left w:val="none" w:sz="0" w:space="0" w:color="auto"/>
        <w:bottom w:val="none" w:sz="0" w:space="0" w:color="auto"/>
        <w:right w:val="none" w:sz="0" w:space="0" w:color="auto"/>
      </w:divBdr>
      <w:divsChild>
        <w:div w:id="1366715141">
          <w:marLeft w:val="0"/>
          <w:marRight w:val="0"/>
          <w:marTop w:val="0"/>
          <w:marBottom w:val="0"/>
          <w:divBdr>
            <w:top w:val="none" w:sz="0" w:space="0" w:color="auto"/>
            <w:left w:val="none" w:sz="0" w:space="0" w:color="auto"/>
            <w:bottom w:val="none" w:sz="0" w:space="0" w:color="auto"/>
            <w:right w:val="none" w:sz="0" w:space="0" w:color="auto"/>
          </w:divBdr>
          <w:divsChild>
            <w:div w:id="1973945943">
              <w:marLeft w:val="0"/>
              <w:marRight w:val="0"/>
              <w:marTop w:val="0"/>
              <w:marBottom w:val="0"/>
              <w:divBdr>
                <w:top w:val="none" w:sz="0" w:space="0" w:color="auto"/>
                <w:left w:val="none" w:sz="0" w:space="0" w:color="auto"/>
                <w:bottom w:val="none" w:sz="0" w:space="0" w:color="auto"/>
                <w:right w:val="none" w:sz="0" w:space="0" w:color="auto"/>
              </w:divBdr>
              <w:divsChild>
                <w:div w:id="14234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3616">
      <w:bodyDiv w:val="1"/>
      <w:marLeft w:val="0"/>
      <w:marRight w:val="0"/>
      <w:marTop w:val="0"/>
      <w:marBottom w:val="0"/>
      <w:divBdr>
        <w:top w:val="none" w:sz="0" w:space="0" w:color="auto"/>
        <w:left w:val="none" w:sz="0" w:space="0" w:color="auto"/>
        <w:bottom w:val="none" w:sz="0" w:space="0" w:color="auto"/>
        <w:right w:val="none" w:sz="0" w:space="0" w:color="auto"/>
      </w:divBdr>
      <w:divsChild>
        <w:div w:id="1007633315">
          <w:marLeft w:val="0"/>
          <w:marRight w:val="0"/>
          <w:marTop w:val="0"/>
          <w:marBottom w:val="0"/>
          <w:divBdr>
            <w:top w:val="none" w:sz="0" w:space="0" w:color="auto"/>
            <w:left w:val="none" w:sz="0" w:space="0" w:color="auto"/>
            <w:bottom w:val="none" w:sz="0" w:space="0" w:color="auto"/>
            <w:right w:val="none" w:sz="0" w:space="0" w:color="auto"/>
          </w:divBdr>
          <w:divsChild>
            <w:div w:id="945889000">
              <w:marLeft w:val="0"/>
              <w:marRight w:val="0"/>
              <w:marTop w:val="0"/>
              <w:marBottom w:val="0"/>
              <w:divBdr>
                <w:top w:val="none" w:sz="0" w:space="0" w:color="auto"/>
                <w:left w:val="none" w:sz="0" w:space="0" w:color="auto"/>
                <w:bottom w:val="none" w:sz="0" w:space="0" w:color="auto"/>
                <w:right w:val="none" w:sz="0" w:space="0" w:color="auto"/>
              </w:divBdr>
              <w:divsChild>
                <w:div w:id="341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2231">
      <w:bodyDiv w:val="1"/>
      <w:marLeft w:val="0"/>
      <w:marRight w:val="0"/>
      <w:marTop w:val="0"/>
      <w:marBottom w:val="0"/>
      <w:divBdr>
        <w:top w:val="none" w:sz="0" w:space="0" w:color="auto"/>
        <w:left w:val="none" w:sz="0" w:space="0" w:color="auto"/>
        <w:bottom w:val="none" w:sz="0" w:space="0" w:color="auto"/>
        <w:right w:val="none" w:sz="0" w:space="0" w:color="auto"/>
      </w:divBdr>
      <w:divsChild>
        <w:div w:id="794324449">
          <w:marLeft w:val="0"/>
          <w:marRight w:val="0"/>
          <w:marTop w:val="0"/>
          <w:marBottom w:val="0"/>
          <w:divBdr>
            <w:top w:val="none" w:sz="0" w:space="0" w:color="auto"/>
            <w:left w:val="none" w:sz="0" w:space="0" w:color="auto"/>
            <w:bottom w:val="none" w:sz="0" w:space="0" w:color="auto"/>
            <w:right w:val="none" w:sz="0" w:space="0" w:color="auto"/>
          </w:divBdr>
          <w:divsChild>
            <w:div w:id="1424378990">
              <w:marLeft w:val="0"/>
              <w:marRight w:val="0"/>
              <w:marTop w:val="0"/>
              <w:marBottom w:val="0"/>
              <w:divBdr>
                <w:top w:val="none" w:sz="0" w:space="0" w:color="auto"/>
                <w:left w:val="none" w:sz="0" w:space="0" w:color="auto"/>
                <w:bottom w:val="none" w:sz="0" w:space="0" w:color="auto"/>
                <w:right w:val="none" w:sz="0" w:space="0" w:color="auto"/>
              </w:divBdr>
              <w:divsChild>
                <w:div w:id="21129752">
                  <w:marLeft w:val="0"/>
                  <w:marRight w:val="0"/>
                  <w:marTop w:val="0"/>
                  <w:marBottom w:val="0"/>
                  <w:divBdr>
                    <w:top w:val="none" w:sz="0" w:space="0" w:color="auto"/>
                    <w:left w:val="none" w:sz="0" w:space="0" w:color="auto"/>
                    <w:bottom w:val="none" w:sz="0" w:space="0" w:color="auto"/>
                    <w:right w:val="none" w:sz="0" w:space="0" w:color="auto"/>
                  </w:divBdr>
                  <w:divsChild>
                    <w:div w:id="18919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6372">
      <w:bodyDiv w:val="1"/>
      <w:marLeft w:val="0"/>
      <w:marRight w:val="0"/>
      <w:marTop w:val="0"/>
      <w:marBottom w:val="0"/>
      <w:divBdr>
        <w:top w:val="none" w:sz="0" w:space="0" w:color="auto"/>
        <w:left w:val="none" w:sz="0" w:space="0" w:color="auto"/>
        <w:bottom w:val="none" w:sz="0" w:space="0" w:color="auto"/>
        <w:right w:val="none" w:sz="0" w:space="0" w:color="auto"/>
      </w:divBdr>
    </w:div>
    <w:div w:id="1890727568">
      <w:bodyDiv w:val="1"/>
      <w:marLeft w:val="0"/>
      <w:marRight w:val="0"/>
      <w:marTop w:val="0"/>
      <w:marBottom w:val="0"/>
      <w:divBdr>
        <w:top w:val="none" w:sz="0" w:space="0" w:color="auto"/>
        <w:left w:val="none" w:sz="0" w:space="0" w:color="auto"/>
        <w:bottom w:val="none" w:sz="0" w:space="0" w:color="auto"/>
        <w:right w:val="none" w:sz="0" w:space="0" w:color="auto"/>
      </w:divBdr>
    </w:div>
    <w:div w:id="2133744939">
      <w:bodyDiv w:val="1"/>
      <w:marLeft w:val="0"/>
      <w:marRight w:val="0"/>
      <w:marTop w:val="0"/>
      <w:marBottom w:val="0"/>
      <w:divBdr>
        <w:top w:val="none" w:sz="0" w:space="0" w:color="auto"/>
        <w:left w:val="none" w:sz="0" w:space="0" w:color="auto"/>
        <w:bottom w:val="none" w:sz="0" w:space="0" w:color="auto"/>
        <w:right w:val="none" w:sz="0" w:space="0" w:color="auto"/>
      </w:divBdr>
      <w:divsChild>
        <w:div w:id="752900862">
          <w:marLeft w:val="0"/>
          <w:marRight w:val="0"/>
          <w:marTop w:val="0"/>
          <w:marBottom w:val="0"/>
          <w:divBdr>
            <w:top w:val="none" w:sz="0" w:space="0" w:color="auto"/>
            <w:left w:val="none" w:sz="0" w:space="0" w:color="auto"/>
            <w:bottom w:val="none" w:sz="0" w:space="0" w:color="auto"/>
            <w:right w:val="none" w:sz="0" w:space="0" w:color="auto"/>
          </w:divBdr>
          <w:divsChild>
            <w:div w:id="1492402632">
              <w:marLeft w:val="0"/>
              <w:marRight w:val="0"/>
              <w:marTop w:val="0"/>
              <w:marBottom w:val="0"/>
              <w:divBdr>
                <w:top w:val="none" w:sz="0" w:space="0" w:color="auto"/>
                <w:left w:val="none" w:sz="0" w:space="0" w:color="auto"/>
                <w:bottom w:val="none" w:sz="0" w:space="0" w:color="auto"/>
                <w:right w:val="none" w:sz="0" w:space="0" w:color="auto"/>
              </w:divBdr>
              <w:divsChild>
                <w:div w:id="7326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219">
          <w:marLeft w:val="0"/>
          <w:marRight w:val="0"/>
          <w:marTop w:val="0"/>
          <w:marBottom w:val="0"/>
          <w:divBdr>
            <w:top w:val="none" w:sz="0" w:space="0" w:color="auto"/>
            <w:left w:val="none" w:sz="0" w:space="0" w:color="auto"/>
            <w:bottom w:val="none" w:sz="0" w:space="0" w:color="auto"/>
            <w:right w:val="none" w:sz="0" w:space="0" w:color="auto"/>
          </w:divBdr>
          <w:divsChild>
            <w:div w:id="1240290206">
              <w:marLeft w:val="0"/>
              <w:marRight w:val="0"/>
              <w:marTop w:val="0"/>
              <w:marBottom w:val="0"/>
              <w:divBdr>
                <w:top w:val="none" w:sz="0" w:space="0" w:color="auto"/>
                <w:left w:val="none" w:sz="0" w:space="0" w:color="auto"/>
                <w:bottom w:val="none" w:sz="0" w:space="0" w:color="auto"/>
                <w:right w:val="none" w:sz="0" w:space="0" w:color="auto"/>
              </w:divBdr>
              <w:divsChild>
                <w:div w:id="1912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5704">
      <w:bodyDiv w:val="1"/>
      <w:marLeft w:val="0"/>
      <w:marRight w:val="0"/>
      <w:marTop w:val="0"/>
      <w:marBottom w:val="0"/>
      <w:divBdr>
        <w:top w:val="none" w:sz="0" w:space="0" w:color="auto"/>
        <w:left w:val="none" w:sz="0" w:space="0" w:color="auto"/>
        <w:bottom w:val="none" w:sz="0" w:space="0" w:color="auto"/>
        <w:right w:val="none" w:sz="0" w:space="0" w:color="auto"/>
      </w:divBdr>
      <w:divsChild>
        <w:div w:id="209608827">
          <w:marLeft w:val="0"/>
          <w:marRight w:val="0"/>
          <w:marTop w:val="0"/>
          <w:marBottom w:val="0"/>
          <w:divBdr>
            <w:top w:val="none" w:sz="0" w:space="0" w:color="auto"/>
            <w:left w:val="none" w:sz="0" w:space="0" w:color="auto"/>
            <w:bottom w:val="none" w:sz="0" w:space="0" w:color="auto"/>
            <w:right w:val="none" w:sz="0" w:space="0" w:color="auto"/>
          </w:divBdr>
          <w:divsChild>
            <w:div w:id="2083601739">
              <w:marLeft w:val="0"/>
              <w:marRight w:val="0"/>
              <w:marTop w:val="0"/>
              <w:marBottom w:val="0"/>
              <w:divBdr>
                <w:top w:val="none" w:sz="0" w:space="0" w:color="auto"/>
                <w:left w:val="none" w:sz="0" w:space="0" w:color="auto"/>
                <w:bottom w:val="none" w:sz="0" w:space="0" w:color="auto"/>
                <w:right w:val="none" w:sz="0" w:space="0" w:color="auto"/>
              </w:divBdr>
              <w:divsChild>
                <w:div w:id="771166839">
                  <w:marLeft w:val="0"/>
                  <w:marRight w:val="0"/>
                  <w:marTop w:val="0"/>
                  <w:marBottom w:val="0"/>
                  <w:divBdr>
                    <w:top w:val="none" w:sz="0" w:space="0" w:color="auto"/>
                    <w:left w:val="none" w:sz="0" w:space="0" w:color="auto"/>
                    <w:bottom w:val="none" w:sz="0" w:space="0" w:color="auto"/>
                    <w:right w:val="none" w:sz="0" w:space="0" w:color="auto"/>
                  </w:divBdr>
                  <w:divsChild>
                    <w:div w:id="19672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93FF7-8DDC-0149-85E9-36118981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8307</Words>
  <Characters>52341</Characters>
  <Application>Microsoft Office Word</Application>
  <DocSecurity>0</DocSecurity>
  <Lines>436</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Pape</dc:creator>
  <cp:keywords/>
  <dc:description/>
  <cp:lastModifiedBy>Eleonore Pape</cp:lastModifiedBy>
  <cp:revision>2</cp:revision>
  <cp:lastPrinted>2022-02-08T10:15:00Z</cp:lastPrinted>
  <dcterms:created xsi:type="dcterms:W3CDTF">2022-11-20T14:01:00Z</dcterms:created>
  <dcterms:modified xsi:type="dcterms:W3CDTF">2022-11-20T14:01:00Z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zotero-version="6.0.6"&gt;&lt;session id="53I3Qz84"/&gt;&lt;style id="http://www.zotero.org/styles/journal-of-archaeological-method-and-theory" hasBibliography="1" bibliographyStyleHasBeenSet="1"/&gt;&lt;prefs&gt;&lt;pref name="fieldType" value="Field"/&gt;&lt;p</vt:lpwstr>
  </property>
  <property fmtid="{D5CDD505-2E9C-101B-9397-08002B2CF9AE}" pid="3" name="ZOTERO_PREF_2">
    <vt:lpwstr>ref name="dontAskDelayCitationUpdates" value="true"/&gt;&lt;/prefs&gt;&lt;/data&gt;</vt:lpwstr>
  </property>
</Properties>
</file>