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3EA2" w14:textId="64BDB414" w:rsidR="007E4739" w:rsidRPr="00A33326" w:rsidRDefault="00D10290" w:rsidP="009E0361">
      <w:pPr>
        <w:spacing w:line="480" w:lineRule="auto"/>
        <w:contextualSpacing/>
        <w:outlineLvl w:val="0"/>
        <w:rPr>
          <w:b/>
          <w:bCs/>
          <w:i/>
          <w:iCs/>
          <w:sz w:val="28"/>
          <w:szCs w:val="28"/>
        </w:rPr>
      </w:pPr>
      <w:r>
        <w:rPr>
          <w:b/>
          <w:bCs/>
          <w:sz w:val="28"/>
          <w:szCs w:val="28"/>
        </w:rPr>
        <w:t>Supplementary Material</w:t>
      </w:r>
    </w:p>
    <w:p w14:paraId="2A0846AA" w14:textId="09946818" w:rsidR="00995306" w:rsidRDefault="007E4739" w:rsidP="009E0361">
      <w:pPr>
        <w:pStyle w:val="Caption"/>
        <w:spacing w:line="480" w:lineRule="auto"/>
        <w:contextualSpacing/>
        <w:rPr>
          <w:rFonts w:ascii="Times New Roman" w:hAnsi="Times New Roman" w:cs="Times New Roman"/>
          <w:b/>
          <w:bCs/>
          <w:i w:val="0"/>
          <w:iCs w:val="0"/>
          <w:color w:val="auto"/>
          <w:sz w:val="24"/>
          <w:szCs w:val="24"/>
        </w:rPr>
      </w:pPr>
      <w:r w:rsidRPr="00DB3A9F">
        <w:rPr>
          <w:rFonts w:ascii="Times New Roman" w:hAnsi="Times New Roman" w:cs="Times New Roman"/>
          <w:b/>
          <w:bCs/>
          <w:i w:val="0"/>
          <w:iCs w:val="0"/>
          <w:color w:val="auto"/>
          <w:sz w:val="24"/>
          <w:szCs w:val="24"/>
        </w:rPr>
        <w:t xml:space="preserve">Appendix </w:t>
      </w:r>
      <w:r w:rsidR="00D10290">
        <w:rPr>
          <w:rFonts w:ascii="Times New Roman" w:hAnsi="Times New Roman" w:cs="Times New Roman"/>
          <w:b/>
          <w:bCs/>
          <w:i w:val="0"/>
          <w:iCs w:val="0"/>
          <w:color w:val="auto"/>
          <w:sz w:val="24"/>
          <w:szCs w:val="24"/>
        </w:rPr>
        <w:t>S</w:t>
      </w:r>
      <w:r w:rsidRPr="00DB3A9F">
        <w:rPr>
          <w:rFonts w:ascii="Times New Roman" w:hAnsi="Times New Roman" w:cs="Times New Roman"/>
          <w:b/>
          <w:bCs/>
          <w:i w:val="0"/>
          <w:iCs w:val="0"/>
          <w:color w:val="auto"/>
          <w:sz w:val="24"/>
          <w:szCs w:val="24"/>
        </w:rPr>
        <w:t xml:space="preserve">1. </w:t>
      </w:r>
      <w:r w:rsidR="00FA1291">
        <w:rPr>
          <w:rFonts w:ascii="Times New Roman" w:hAnsi="Times New Roman" w:cs="Times New Roman"/>
          <w:b/>
          <w:bCs/>
          <w:i w:val="0"/>
          <w:iCs w:val="0"/>
          <w:color w:val="auto"/>
          <w:sz w:val="24"/>
          <w:szCs w:val="24"/>
        </w:rPr>
        <w:t xml:space="preserve">Study site </w:t>
      </w:r>
      <w:r w:rsidR="009E0361">
        <w:rPr>
          <w:rFonts w:ascii="Times New Roman" w:hAnsi="Times New Roman" w:cs="Times New Roman"/>
          <w:b/>
          <w:bCs/>
          <w:i w:val="0"/>
          <w:iCs w:val="0"/>
          <w:color w:val="auto"/>
          <w:sz w:val="24"/>
          <w:szCs w:val="24"/>
        </w:rPr>
        <w:t xml:space="preserve">details for </w:t>
      </w:r>
      <w:r w:rsidR="00FA1291">
        <w:rPr>
          <w:rFonts w:ascii="Times New Roman" w:hAnsi="Times New Roman" w:cs="Times New Roman"/>
          <w:b/>
          <w:bCs/>
          <w:i w:val="0"/>
          <w:iCs w:val="0"/>
          <w:color w:val="auto"/>
          <w:sz w:val="24"/>
          <w:szCs w:val="24"/>
        </w:rPr>
        <w:t xml:space="preserve">long-term </w:t>
      </w:r>
      <w:r w:rsidR="009E0361">
        <w:rPr>
          <w:rFonts w:ascii="Times New Roman" w:hAnsi="Times New Roman" w:cs="Times New Roman"/>
          <w:b/>
          <w:bCs/>
          <w:i w:val="0"/>
          <w:iCs w:val="0"/>
          <w:color w:val="auto"/>
          <w:sz w:val="24"/>
          <w:szCs w:val="24"/>
        </w:rPr>
        <w:t xml:space="preserve">monitoring sites in the Arctic. </w:t>
      </w:r>
    </w:p>
    <w:p w14:paraId="45489B9A" w14:textId="1C8F79D5" w:rsidR="007E4739" w:rsidRPr="00846684" w:rsidRDefault="004E7687" w:rsidP="009E0361">
      <w:pPr>
        <w:pStyle w:val="Caption"/>
        <w:spacing w:line="480" w:lineRule="auto"/>
        <w:contextualSpacing/>
        <w:rPr>
          <w:rFonts w:ascii="Times New Roman" w:hAnsi="Times New Roman" w:cs="Times New Roman"/>
          <w:i w:val="0"/>
          <w:iCs w:val="0"/>
          <w:color w:val="auto"/>
          <w:sz w:val="24"/>
          <w:szCs w:val="24"/>
        </w:rPr>
      </w:pPr>
      <w:r w:rsidRPr="00846684">
        <w:rPr>
          <w:rFonts w:ascii="Times New Roman" w:hAnsi="Times New Roman" w:cs="Times New Roman"/>
          <w:i w:val="0"/>
          <w:iCs w:val="0"/>
          <w:color w:val="auto"/>
          <w:sz w:val="24"/>
          <w:szCs w:val="24"/>
        </w:rPr>
        <w:t xml:space="preserve">Table </w:t>
      </w:r>
      <w:r w:rsidR="00D10290">
        <w:rPr>
          <w:rFonts w:ascii="Times New Roman" w:hAnsi="Times New Roman" w:cs="Times New Roman"/>
          <w:i w:val="0"/>
          <w:iCs w:val="0"/>
          <w:color w:val="auto"/>
          <w:sz w:val="24"/>
          <w:szCs w:val="24"/>
        </w:rPr>
        <w:t>S</w:t>
      </w:r>
      <w:r w:rsidRPr="00846684">
        <w:rPr>
          <w:rFonts w:ascii="Times New Roman" w:hAnsi="Times New Roman" w:cs="Times New Roman"/>
          <w:i w:val="0"/>
          <w:iCs w:val="0"/>
          <w:color w:val="auto"/>
          <w:sz w:val="24"/>
          <w:szCs w:val="24"/>
        </w:rPr>
        <w:t xml:space="preserve">1. </w:t>
      </w:r>
      <w:r w:rsidR="007E4739" w:rsidRPr="00846684">
        <w:rPr>
          <w:rFonts w:ascii="Times New Roman" w:hAnsi="Times New Roman" w:cs="Times New Roman"/>
          <w:i w:val="0"/>
          <w:iCs w:val="0"/>
          <w:color w:val="auto"/>
          <w:sz w:val="24"/>
          <w:szCs w:val="24"/>
        </w:rPr>
        <w:t xml:space="preserve">Major monitoring sites in the Arctic studying snowy owls during the breeding period. </w:t>
      </w:r>
    </w:p>
    <w:tbl>
      <w:tblPr>
        <w:tblW w:w="13080" w:type="dxa"/>
        <w:tblInd w:w="-30" w:type="dxa"/>
        <w:tblLayout w:type="fixed"/>
        <w:tblLook w:val="0000" w:firstRow="0" w:lastRow="0" w:firstColumn="0" w:lastColumn="0" w:noHBand="0" w:noVBand="0"/>
      </w:tblPr>
      <w:tblGrid>
        <w:gridCol w:w="1981"/>
        <w:gridCol w:w="782"/>
        <w:gridCol w:w="1557"/>
        <w:gridCol w:w="1290"/>
        <w:gridCol w:w="1440"/>
        <w:gridCol w:w="1376"/>
        <w:gridCol w:w="1527"/>
        <w:gridCol w:w="1779"/>
        <w:gridCol w:w="1348"/>
      </w:tblGrid>
      <w:tr w:rsidR="006755E1" w:rsidRPr="00B46B86" w14:paraId="01D99ABF" w14:textId="77777777" w:rsidTr="008E141E">
        <w:trPr>
          <w:trHeight w:val="297"/>
        </w:trPr>
        <w:tc>
          <w:tcPr>
            <w:tcW w:w="1981" w:type="dxa"/>
            <w:tcBorders>
              <w:top w:val="single" w:sz="4" w:space="0" w:color="auto"/>
              <w:left w:val="nil"/>
              <w:bottom w:val="single" w:sz="4" w:space="0" w:color="auto"/>
              <w:right w:val="nil"/>
            </w:tcBorders>
          </w:tcPr>
          <w:p w14:paraId="0D86391E"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Monitoring site</w:t>
            </w:r>
          </w:p>
        </w:tc>
        <w:tc>
          <w:tcPr>
            <w:tcW w:w="782" w:type="dxa"/>
            <w:tcBorders>
              <w:top w:val="single" w:sz="4" w:space="0" w:color="auto"/>
              <w:left w:val="nil"/>
              <w:bottom w:val="single" w:sz="4" w:space="0" w:color="auto"/>
              <w:right w:val="nil"/>
            </w:tcBorders>
          </w:tcPr>
          <w:p w14:paraId="19DDF722" w14:textId="7AC23744" w:rsidR="005C2F7C" w:rsidRPr="00B46B86" w:rsidRDefault="005C2F7C" w:rsidP="009E0361">
            <w:pPr>
              <w:autoSpaceDE w:val="0"/>
              <w:autoSpaceDN w:val="0"/>
              <w:adjustRightInd w:val="0"/>
              <w:spacing w:line="480" w:lineRule="auto"/>
              <w:ind w:right="-104"/>
              <w:rPr>
                <w:rFonts w:eastAsiaTheme="minorHAnsi"/>
                <w:color w:val="000000"/>
              </w:rPr>
            </w:pPr>
            <w:r>
              <w:rPr>
                <w:rFonts w:eastAsiaTheme="minorHAnsi"/>
                <w:color w:val="000000"/>
              </w:rPr>
              <w:t>Arctic zone</w:t>
            </w:r>
          </w:p>
        </w:tc>
        <w:tc>
          <w:tcPr>
            <w:tcW w:w="1557" w:type="dxa"/>
            <w:tcBorders>
              <w:top w:val="single" w:sz="4" w:space="0" w:color="auto"/>
              <w:left w:val="nil"/>
              <w:bottom w:val="single" w:sz="4" w:space="0" w:color="auto"/>
              <w:right w:val="nil"/>
            </w:tcBorders>
          </w:tcPr>
          <w:p w14:paraId="7149E307" w14:textId="719FC88F" w:rsidR="005C2F7C" w:rsidRPr="00B46B86" w:rsidRDefault="005C2F7C" w:rsidP="009E0361">
            <w:pPr>
              <w:autoSpaceDE w:val="0"/>
              <w:autoSpaceDN w:val="0"/>
              <w:adjustRightInd w:val="0"/>
              <w:spacing w:line="480" w:lineRule="auto"/>
              <w:ind w:right="-104"/>
              <w:rPr>
                <w:rFonts w:eastAsiaTheme="minorHAnsi"/>
                <w:color w:val="000000"/>
              </w:rPr>
            </w:pPr>
            <w:r w:rsidRPr="00B46B86">
              <w:rPr>
                <w:rFonts w:eastAsiaTheme="minorHAnsi"/>
                <w:color w:val="000000"/>
              </w:rPr>
              <w:t>Location</w:t>
            </w:r>
          </w:p>
        </w:tc>
        <w:tc>
          <w:tcPr>
            <w:tcW w:w="1290" w:type="dxa"/>
            <w:tcBorders>
              <w:top w:val="single" w:sz="4" w:space="0" w:color="auto"/>
              <w:left w:val="nil"/>
              <w:bottom w:val="single" w:sz="4" w:space="0" w:color="auto"/>
              <w:right w:val="nil"/>
            </w:tcBorders>
          </w:tcPr>
          <w:p w14:paraId="3A97670C"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Country</w:t>
            </w:r>
          </w:p>
        </w:tc>
        <w:tc>
          <w:tcPr>
            <w:tcW w:w="1440" w:type="dxa"/>
            <w:tcBorders>
              <w:top w:val="single" w:sz="4" w:space="0" w:color="auto"/>
              <w:left w:val="nil"/>
              <w:bottom w:val="single" w:sz="4" w:space="0" w:color="auto"/>
              <w:right w:val="nil"/>
            </w:tcBorders>
          </w:tcPr>
          <w:p w14:paraId="5D591997"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Coordinates</w:t>
            </w:r>
          </w:p>
        </w:tc>
        <w:tc>
          <w:tcPr>
            <w:tcW w:w="1376" w:type="dxa"/>
            <w:tcBorders>
              <w:top w:val="single" w:sz="4" w:space="0" w:color="auto"/>
              <w:left w:val="nil"/>
              <w:bottom w:val="single" w:sz="4" w:space="0" w:color="auto"/>
              <w:right w:val="nil"/>
            </w:tcBorders>
          </w:tcPr>
          <w:p w14:paraId="3E3794B7"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Study area (km</w:t>
            </w:r>
            <w:r w:rsidRPr="005221A4">
              <w:rPr>
                <w:rFonts w:eastAsiaTheme="minorHAnsi"/>
                <w:color w:val="000000"/>
                <w:vertAlign w:val="superscript"/>
              </w:rPr>
              <w:t>2</w:t>
            </w:r>
            <w:r w:rsidRPr="00B46B86">
              <w:rPr>
                <w:rFonts w:eastAsiaTheme="minorHAnsi"/>
                <w:color w:val="000000"/>
              </w:rPr>
              <w:t>)</w:t>
            </w:r>
          </w:p>
        </w:tc>
        <w:tc>
          <w:tcPr>
            <w:tcW w:w="1527" w:type="dxa"/>
            <w:tcBorders>
              <w:top w:val="single" w:sz="4" w:space="0" w:color="auto"/>
              <w:left w:val="nil"/>
              <w:bottom w:val="single" w:sz="4" w:space="0" w:color="auto"/>
              <w:right w:val="nil"/>
            </w:tcBorders>
          </w:tcPr>
          <w:p w14:paraId="755108AB"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Monitoring period</w:t>
            </w:r>
          </w:p>
        </w:tc>
        <w:tc>
          <w:tcPr>
            <w:tcW w:w="1779" w:type="dxa"/>
            <w:tcBorders>
              <w:top w:val="single" w:sz="4" w:space="0" w:color="auto"/>
              <w:left w:val="nil"/>
              <w:bottom w:val="single" w:sz="4" w:space="0" w:color="auto"/>
              <w:right w:val="nil"/>
            </w:tcBorders>
          </w:tcPr>
          <w:p w14:paraId="40C6804E"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Field work season</w:t>
            </w:r>
          </w:p>
        </w:tc>
        <w:tc>
          <w:tcPr>
            <w:tcW w:w="1348" w:type="dxa"/>
            <w:tcBorders>
              <w:top w:val="single" w:sz="4" w:space="0" w:color="auto"/>
              <w:left w:val="nil"/>
              <w:bottom w:val="single" w:sz="4" w:space="0" w:color="auto"/>
              <w:right w:val="nil"/>
            </w:tcBorders>
          </w:tcPr>
          <w:p w14:paraId="1A3517AA"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 xml:space="preserve">Fluctuating prey </w:t>
            </w:r>
            <w:proofErr w:type="spellStart"/>
            <w:r w:rsidRPr="00B46B86">
              <w:rPr>
                <w:rFonts w:eastAsiaTheme="minorHAnsi"/>
                <w:color w:val="000000"/>
              </w:rPr>
              <w:t>population</w:t>
            </w:r>
            <w:r w:rsidRPr="00B46B86">
              <w:rPr>
                <w:rFonts w:eastAsiaTheme="minorHAnsi"/>
                <w:color w:val="000000"/>
                <w:vertAlign w:val="superscript"/>
              </w:rPr>
              <w:t>a</w:t>
            </w:r>
            <w:proofErr w:type="spellEnd"/>
            <w:r w:rsidRPr="00B46B86">
              <w:rPr>
                <w:rFonts w:eastAsiaTheme="minorHAnsi"/>
                <w:color w:val="000000"/>
              </w:rPr>
              <w:t xml:space="preserve"> </w:t>
            </w:r>
          </w:p>
        </w:tc>
      </w:tr>
      <w:tr w:rsidR="006755E1" w:rsidRPr="00B46B86" w14:paraId="54C232D1" w14:textId="77777777" w:rsidTr="008E141E">
        <w:trPr>
          <w:trHeight w:val="297"/>
        </w:trPr>
        <w:tc>
          <w:tcPr>
            <w:tcW w:w="1981" w:type="dxa"/>
            <w:tcBorders>
              <w:top w:val="single" w:sz="4" w:space="0" w:color="auto"/>
              <w:left w:val="nil"/>
              <w:bottom w:val="nil"/>
              <w:right w:val="nil"/>
            </w:tcBorders>
          </w:tcPr>
          <w:p w14:paraId="14123787" w14:textId="77777777" w:rsidR="005C2F7C" w:rsidRPr="00B46B86" w:rsidRDefault="005C2F7C" w:rsidP="009E0361">
            <w:pPr>
              <w:autoSpaceDE w:val="0"/>
              <w:autoSpaceDN w:val="0"/>
              <w:adjustRightInd w:val="0"/>
              <w:spacing w:line="480" w:lineRule="auto"/>
              <w:rPr>
                <w:rFonts w:eastAsiaTheme="minorHAnsi"/>
                <w:color w:val="000000"/>
              </w:rPr>
            </w:pPr>
            <w:proofErr w:type="spellStart"/>
            <w:r w:rsidRPr="00B46B86">
              <w:rPr>
                <w:rFonts w:eastAsiaTheme="minorHAnsi"/>
                <w:color w:val="000000"/>
              </w:rPr>
              <w:t>Karupelv</w:t>
            </w:r>
            <w:proofErr w:type="spellEnd"/>
            <w:r w:rsidRPr="00B46B86">
              <w:rPr>
                <w:rFonts w:eastAsiaTheme="minorHAnsi"/>
                <w:color w:val="000000"/>
              </w:rPr>
              <w:t xml:space="preserve"> Valley</w:t>
            </w:r>
          </w:p>
        </w:tc>
        <w:tc>
          <w:tcPr>
            <w:tcW w:w="782" w:type="dxa"/>
            <w:tcBorders>
              <w:top w:val="single" w:sz="4" w:space="0" w:color="auto"/>
              <w:left w:val="nil"/>
              <w:bottom w:val="nil"/>
              <w:right w:val="nil"/>
            </w:tcBorders>
          </w:tcPr>
          <w:p w14:paraId="0FCB5DA2" w14:textId="5B91BF30" w:rsidR="005C2F7C" w:rsidRPr="00987254" w:rsidRDefault="005C2F7C" w:rsidP="009E0361">
            <w:pPr>
              <w:autoSpaceDE w:val="0"/>
              <w:autoSpaceDN w:val="0"/>
              <w:adjustRightInd w:val="0"/>
              <w:spacing w:line="480" w:lineRule="auto"/>
              <w:ind w:right="-104"/>
              <w:rPr>
                <w:rFonts w:eastAsiaTheme="minorHAnsi"/>
              </w:rPr>
            </w:pPr>
            <w:r w:rsidRPr="00987254">
              <w:rPr>
                <w:rFonts w:eastAsiaTheme="minorHAnsi"/>
              </w:rPr>
              <w:t>High</w:t>
            </w:r>
          </w:p>
        </w:tc>
        <w:tc>
          <w:tcPr>
            <w:tcW w:w="1557" w:type="dxa"/>
            <w:tcBorders>
              <w:top w:val="single" w:sz="4" w:space="0" w:color="auto"/>
              <w:left w:val="nil"/>
              <w:bottom w:val="nil"/>
              <w:right w:val="nil"/>
            </w:tcBorders>
          </w:tcPr>
          <w:p w14:paraId="19E8FAFB" w14:textId="0A37E0A9" w:rsidR="005C2F7C" w:rsidRPr="00B46B86" w:rsidRDefault="00987254" w:rsidP="009E0361">
            <w:pPr>
              <w:autoSpaceDE w:val="0"/>
              <w:autoSpaceDN w:val="0"/>
              <w:adjustRightInd w:val="0"/>
              <w:spacing w:line="480" w:lineRule="auto"/>
              <w:ind w:right="-104"/>
              <w:rPr>
                <w:rFonts w:eastAsiaTheme="minorHAnsi"/>
                <w:color w:val="FF0000"/>
              </w:rPr>
            </w:pPr>
            <w:r w:rsidRPr="00987254">
              <w:rPr>
                <w:rFonts w:eastAsiaTheme="minorHAnsi"/>
              </w:rPr>
              <w:t>North-East</w:t>
            </w:r>
          </w:p>
        </w:tc>
        <w:tc>
          <w:tcPr>
            <w:tcW w:w="1290" w:type="dxa"/>
            <w:tcBorders>
              <w:top w:val="single" w:sz="4" w:space="0" w:color="auto"/>
              <w:left w:val="nil"/>
              <w:bottom w:val="nil"/>
              <w:right w:val="nil"/>
            </w:tcBorders>
          </w:tcPr>
          <w:p w14:paraId="19F13DDC"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Greenland</w:t>
            </w:r>
          </w:p>
        </w:tc>
        <w:tc>
          <w:tcPr>
            <w:tcW w:w="1440" w:type="dxa"/>
            <w:tcBorders>
              <w:top w:val="single" w:sz="4" w:space="0" w:color="auto"/>
              <w:left w:val="nil"/>
              <w:bottom w:val="nil"/>
              <w:right w:val="nil"/>
            </w:tcBorders>
          </w:tcPr>
          <w:p w14:paraId="56DEF01F"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72°N, 24°W</w:t>
            </w:r>
          </w:p>
        </w:tc>
        <w:tc>
          <w:tcPr>
            <w:tcW w:w="1376" w:type="dxa"/>
            <w:tcBorders>
              <w:top w:val="single" w:sz="4" w:space="0" w:color="auto"/>
              <w:left w:val="nil"/>
              <w:bottom w:val="nil"/>
              <w:right w:val="nil"/>
            </w:tcBorders>
          </w:tcPr>
          <w:p w14:paraId="41AEAEE0"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75</w:t>
            </w:r>
          </w:p>
        </w:tc>
        <w:tc>
          <w:tcPr>
            <w:tcW w:w="1527" w:type="dxa"/>
            <w:tcBorders>
              <w:top w:val="single" w:sz="4" w:space="0" w:color="auto"/>
              <w:left w:val="nil"/>
              <w:bottom w:val="nil"/>
              <w:right w:val="nil"/>
            </w:tcBorders>
          </w:tcPr>
          <w:p w14:paraId="6577AA81"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1988-ongoing</w:t>
            </w:r>
          </w:p>
        </w:tc>
        <w:tc>
          <w:tcPr>
            <w:tcW w:w="1779" w:type="dxa"/>
            <w:tcBorders>
              <w:top w:val="single" w:sz="4" w:space="0" w:color="auto"/>
              <w:left w:val="nil"/>
              <w:bottom w:val="nil"/>
              <w:right w:val="nil"/>
            </w:tcBorders>
          </w:tcPr>
          <w:p w14:paraId="3AD4FC9E"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25 Jun-5 Aug</w:t>
            </w:r>
          </w:p>
        </w:tc>
        <w:tc>
          <w:tcPr>
            <w:tcW w:w="1348" w:type="dxa"/>
            <w:tcBorders>
              <w:top w:val="single" w:sz="4" w:space="0" w:color="auto"/>
              <w:left w:val="nil"/>
              <w:bottom w:val="nil"/>
              <w:right w:val="nil"/>
            </w:tcBorders>
          </w:tcPr>
          <w:p w14:paraId="17EC0681"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strong</w:t>
            </w:r>
          </w:p>
        </w:tc>
      </w:tr>
      <w:tr w:rsidR="006755E1" w:rsidRPr="00B46B86" w14:paraId="41D8FAD0" w14:textId="77777777" w:rsidTr="008E141E">
        <w:trPr>
          <w:trHeight w:val="297"/>
        </w:trPr>
        <w:tc>
          <w:tcPr>
            <w:tcW w:w="1981" w:type="dxa"/>
            <w:tcBorders>
              <w:top w:val="nil"/>
              <w:left w:val="nil"/>
              <w:bottom w:val="nil"/>
              <w:right w:val="nil"/>
            </w:tcBorders>
          </w:tcPr>
          <w:p w14:paraId="39245F5B" w14:textId="77777777" w:rsidR="005C2F7C" w:rsidRPr="00B46B86" w:rsidRDefault="005C2F7C" w:rsidP="009E0361">
            <w:pPr>
              <w:autoSpaceDE w:val="0"/>
              <w:autoSpaceDN w:val="0"/>
              <w:adjustRightInd w:val="0"/>
              <w:spacing w:line="480" w:lineRule="auto"/>
              <w:rPr>
                <w:rFonts w:eastAsiaTheme="minorHAnsi"/>
                <w:color w:val="000000"/>
              </w:rPr>
            </w:pPr>
            <w:proofErr w:type="spellStart"/>
            <w:r w:rsidRPr="00B46B86">
              <w:rPr>
                <w:rFonts w:eastAsiaTheme="minorHAnsi"/>
                <w:color w:val="000000"/>
              </w:rPr>
              <w:t>Hochstetter</w:t>
            </w:r>
            <w:proofErr w:type="spellEnd"/>
            <w:r w:rsidRPr="00B46B86">
              <w:rPr>
                <w:rFonts w:eastAsiaTheme="minorHAnsi"/>
                <w:color w:val="000000"/>
              </w:rPr>
              <w:t xml:space="preserve"> Forland</w:t>
            </w:r>
          </w:p>
        </w:tc>
        <w:tc>
          <w:tcPr>
            <w:tcW w:w="782" w:type="dxa"/>
            <w:tcBorders>
              <w:top w:val="nil"/>
              <w:left w:val="nil"/>
              <w:bottom w:val="nil"/>
              <w:right w:val="nil"/>
            </w:tcBorders>
          </w:tcPr>
          <w:p w14:paraId="651E1AF9" w14:textId="403FC3C3" w:rsidR="005C2F7C" w:rsidRPr="00987254" w:rsidRDefault="005C2F7C" w:rsidP="009E0361">
            <w:pPr>
              <w:autoSpaceDE w:val="0"/>
              <w:autoSpaceDN w:val="0"/>
              <w:adjustRightInd w:val="0"/>
              <w:spacing w:line="480" w:lineRule="auto"/>
              <w:ind w:right="-104"/>
              <w:rPr>
                <w:rFonts w:eastAsiaTheme="minorHAnsi"/>
              </w:rPr>
            </w:pPr>
            <w:r w:rsidRPr="00987254">
              <w:rPr>
                <w:rFonts w:eastAsiaTheme="minorHAnsi"/>
              </w:rPr>
              <w:t>High</w:t>
            </w:r>
          </w:p>
        </w:tc>
        <w:tc>
          <w:tcPr>
            <w:tcW w:w="1557" w:type="dxa"/>
            <w:tcBorders>
              <w:top w:val="nil"/>
              <w:left w:val="nil"/>
              <w:bottom w:val="nil"/>
              <w:right w:val="nil"/>
            </w:tcBorders>
          </w:tcPr>
          <w:p w14:paraId="436B0152" w14:textId="09BDDC67" w:rsidR="005C2F7C" w:rsidRPr="00B46B86" w:rsidRDefault="00987254" w:rsidP="009E0361">
            <w:pPr>
              <w:autoSpaceDE w:val="0"/>
              <w:autoSpaceDN w:val="0"/>
              <w:adjustRightInd w:val="0"/>
              <w:spacing w:line="480" w:lineRule="auto"/>
              <w:ind w:right="-104"/>
              <w:rPr>
                <w:rFonts w:eastAsiaTheme="minorHAnsi"/>
                <w:color w:val="000000"/>
              </w:rPr>
            </w:pPr>
            <w:r>
              <w:rPr>
                <w:rFonts w:eastAsiaTheme="minorHAnsi"/>
                <w:color w:val="000000"/>
              </w:rPr>
              <w:t>North-East</w:t>
            </w:r>
          </w:p>
        </w:tc>
        <w:tc>
          <w:tcPr>
            <w:tcW w:w="1290" w:type="dxa"/>
            <w:tcBorders>
              <w:top w:val="nil"/>
              <w:left w:val="nil"/>
              <w:bottom w:val="nil"/>
              <w:right w:val="nil"/>
            </w:tcBorders>
          </w:tcPr>
          <w:p w14:paraId="7B1E89C4"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Greenland</w:t>
            </w:r>
          </w:p>
        </w:tc>
        <w:tc>
          <w:tcPr>
            <w:tcW w:w="1440" w:type="dxa"/>
            <w:tcBorders>
              <w:top w:val="nil"/>
              <w:left w:val="nil"/>
              <w:bottom w:val="nil"/>
              <w:right w:val="nil"/>
            </w:tcBorders>
          </w:tcPr>
          <w:p w14:paraId="5D982262" w14:textId="256B0812" w:rsidR="005C2F7C" w:rsidRPr="00B46B86" w:rsidRDefault="00987254" w:rsidP="009E0361">
            <w:pPr>
              <w:autoSpaceDE w:val="0"/>
              <w:autoSpaceDN w:val="0"/>
              <w:adjustRightInd w:val="0"/>
              <w:spacing w:line="480" w:lineRule="auto"/>
              <w:rPr>
                <w:rFonts w:eastAsiaTheme="minorHAnsi"/>
                <w:color w:val="FF0000"/>
              </w:rPr>
            </w:pPr>
            <w:r w:rsidRPr="00B46B86">
              <w:rPr>
                <w:rFonts w:eastAsiaTheme="minorHAnsi"/>
                <w:color w:val="000000"/>
              </w:rPr>
              <w:t>7</w:t>
            </w:r>
            <w:r>
              <w:rPr>
                <w:rFonts w:eastAsiaTheme="minorHAnsi"/>
                <w:color w:val="000000"/>
              </w:rPr>
              <w:t>5</w:t>
            </w:r>
            <w:r w:rsidRPr="00B46B86">
              <w:rPr>
                <w:rFonts w:eastAsiaTheme="minorHAnsi"/>
                <w:color w:val="000000"/>
              </w:rPr>
              <w:t xml:space="preserve">°N, </w:t>
            </w:r>
            <w:r>
              <w:rPr>
                <w:rFonts w:eastAsiaTheme="minorHAnsi"/>
                <w:color w:val="000000"/>
              </w:rPr>
              <w:t>19</w:t>
            </w:r>
            <w:r w:rsidRPr="00B46B86">
              <w:rPr>
                <w:rFonts w:eastAsiaTheme="minorHAnsi"/>
                <w:color w:val="000000"/>
              </w:rPr>
              <w:t>°W</w:t>
            </w:r>
          </w:p>
        </w:tc>
        <w:tc>
          <w:tcPr>
            <w:tcW w:w="1376" w:type="dxa"/>
            <w:tcBorders>
              <w:top w:val="nil"/>
              <w:left w:val="nil"/>
              <w:bottom w:val="nil"/>
              <w:right w:val="nil"/>
            </w:tcBorders>
          </w:tcPr>
          <w:p w14:paraId="306BDEF2"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100</w:t>
            </w:r>
          </w:p>
        </w:tc>
        <w:tc>
          <w:tcPr>
            <w:tcW w:w="1527" w:type="dxa"/>
            <w:tcBorders>
              <w:top w:val="nil"/>
              <w:left w:val="nil"/>
              <w:bottom w:val="nil"/>
              <w:right w:val="nil"/>
            </w:tcBorders>
          </w:tcPr>
          <w:p w14:paraId="3554BF7C"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2010-ongoing</w:t>
            </w:r>
          </w:p>
        </w:tc>
        <w:tc>
          <w:tcPr>
            <w:tcW w:w="1779" w:type="dxa"/>
            <w:tcBorders>
              <w:top w:val="nil"/>
              <w:left w:val="nil"/>
              <w:bottom w:val="nil"/>
              <w:right w:val="nil"/>
            </w:tcBorders>
          </w:tcPr>
          <w:p w14:paraId="0F42BC29" w14:textId="13FEF702" w:rsidR="005C2F7C" w:rsidRPr="00B46B86" w:rsidRDefault="00987254" w:rsidP="009E0361">
            <w:pPr>
              <w:autoSpaceDE w:val="0"/>
              <w:autoSpaceDN w:val="0"/>
              <w:adjustRightInd w:val="0"/>
              <w:spacing w:line="480" w:lineRule="auto"/>
              <w:rPr>
                <w:rFonts w:eastAsiaTheme="minorHAnsi"/>
                <w:color w:val="FF0000"/>
              </w:rPr>
            </w:pPr>
            <w:r>
              <w:rPr>
                <w:rFonts w:eastAsiaTheme="minorHAnsi"/>
                <w:color w:val="000000"/>
              </w:rPr>
              <w:t>30</w:t>
            </w:r>
            <w:r w:rsidRPr="00B46B86">
              <w:rPr>
                <w:rFonts w:eastAsiaTheme="minorHAnsi"/>
                <w:color w:val="000000"/>
              </w:rPr>
              <w:t xml:space="preserve"> Jun-</w:t>
            </w:r>
            <w:r>
              <w:rPr>
                <w:rFonts w:eastAsiaTheme="minorHAnsi"/>
                <w:color w:val="000000"/>
              </w:rPr>
              <w:t>10</w:t>
            </w:r>
            <w:r w:rsidRPr="00B46B86">
              <w:rPr>
                <w:rFonts w:eastAsiaTheme="minorHAnsi"/>
                <w:color w:val="000000"/>
              </w:rPr>
              <w:t xml:space="preserve"> Aug</w:t>
            </w:r>
          </w:p>
        </w:tc>
        <w:tc>
          <w:tcPr>
            <w:tcW w:w="1348" w:type="dxa"/>
            <w:tcBorders>
              <w:top w:val="nil"/>
              <w:left w:val="nil"/>
              <w:bottom w:val="nil"/>
              <w:right w:val="nil"/>
            </w:tcBorders>
          </w:tcPr>
          <w:p w14:paraId="0E3928A5" w14:textId="48006197" w:rsidR="005C2F7C" w:rsidRPr="00B46B86" w:rsidRDefault="00987254" w:rsidP="009E0361">
            <w:pPr>
              <w:autoSpaceDE w:val="0"/>
              <w:autoSpaceDN w:val="0"/>
              <w:adjustRightInd w:val="0"/>
              <w:spacing w:line="480" w:lineRule="auto"/>
              <w:rPr>
                <w:rFonts w:eastAsiaTheme="minorHAnsi"/>
                <w:color w:val="FF0000"/>
              </w:rPr>
            </w:pPr>
            <w:r w:rsidRPr="00B46B86">
              <w:rPr>
                <w:rFonts w:eastAsiaTheme="minorHAnsi"/>
                <w:color w:val="000000"/>
              </w:rPr>
              <w:t>strong</w:t>
            </w:r>
          </w:p>
        </w:tc>
      </w:tr>
      <w:tr w:rsidR="006755E1" w:rsidRPr="00B46B86" w14:paraId="204F3E73" w14:textId="77777777" w:rsidTr="008E141E">
        <w:trPr>
          <w:trHeight w:val="297"/>
        </w:trPr>
        <w:tc>
          <w:tcPr>
            <w:tcW w:w="1981" w:type="dxa"/>
            <w:tcBorders>
              <w:top w:val="nil"/>
              <w:left w:val="nil"/>
              <w:bottom w:val="nil"/>
              <w:right w:val="nil"/>
            </w:tcBorders>
          </w:tcPr>
          <w:p w14:paraId="3C1AD23B"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Bylot Island</w:t>
            </w:r>
          </w:p>
        </w:tc>
        <w:tc>
          <w:tcPr>
            <w:tcW w:w="782" w:type="dxa"/>
            <w:tcBorders>
              <w:top w:val="nil"/>
              <w:left w:val="nil"/>
              <w:bottom w:val="nil"/>
              <w:right w:val="nil"/>
            </w:tcBorders>
          </w:tcPr>
          <w:p w14:paraId="779D6503" w14:textId="1D79B765" w:rsidR="005C2F7C" w:rsidRPr="00987254" w:rsidRDefault="005C2F7C" w:rsidP="009E0361">
            <w:pPr>
              <w:autoSpaceDE w:val="0"/>
              <w:autoSpaceDN w:val="0"/>
              <w:adjustRightInd w:val="0"/>
              <w:spacing w:line="480" w:lineRule="auto"/>
              <w:ind w:right="-104"/>
              <w:rPr>
                <w:rFonts w:eastAsiaTheme="minorHAnsi"/>
              </w:rPr>
            </w:pPr>
            <w:r w:rsidRPr="00987254">
              <w:rPr>
                <w:rFonts w:eastAsiaTheme="minorHAnsi"/>
              </w:rPr>
              <w:t>High</w:t>
            </w:r>
          </w:p>
        </w:tc>
        <w:tc>
          <w:tcPr>
            <w:tcW w:w="1557" w:type="dxa"/>
            <w:tcBorders>
              <w:top w:val="nil"/>
              <w:left w:val="nil"/>
              <w:bottom w:val="nil"/>
              <w:right w:val="nil"/>
            </w:tcBorders>
          </w:tcPr>
          <w:p w14:paraId="6C000503" w14:textId="4EFDBF36" w:rsidR="005C2F7C" w:rsidRPr="00B46B86" w:rsidRDefault="005C2F7C" w:rsidP="009E0361">
            <w:pPr>
              <w:autoSpaceDE w:val="0"/>
              <w:autoSpaceDN w:val="0"/>
              <w:adjustRightInd w:val="0"/>
              <w:spacing w:line="480" w:lineRule="auto"/>
              <w:ind w:right="-104"/>
              <w:rPr>
                <w:rFonts w:eastAsiaTheme="minorHAnsi"/>
                <w:color w:val="000000"/>
              </w:rPr>
            </w:pPr>
            <w:r w:rsidRPr="00B46B86">
              <w:rPr>
                <w:rFonts w:eastAsiaTheme="minorHAnsi"/>
                <w:color w:val="000000"/>
              </w:rPr>
              <w:t>Nunavut</w:t>
            </w:r>
          </w:p>
        </w:tc>
        <w:tc>
          <w:tcPr>
            <w:tcW w:w="1290" w:type="dxa"/>
            <w:tcBorders>
              <w:top w:val="nil"/>
              <w:left w:val="nil"/>
              <w:bottom w:val="nil"/>
              <w:right w:val="nil"/>
            </w:tcBorders>
          </w:tcPr>
          <w:p w14:paraId="57CD2D4A"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Canada</w:t>
            </w:r>
          </w:p>
        </w:tc>
        <w:tc>
          <w:tcPr>
            <w:tcW w:w="1440" w:type="dxa"/>
            <w:tcBorders>
              <w:top w:val="nil"/>
              <w:left w:val="nil"/>
              <w:bottom w:val="nil"/>
              <w:right w:val="nil"/>
            </w:tcBorders>
          </w:tcPr>
          <w:p w14:paraId="754F4A9E"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73°N, 80°W</w:t>
            </w:r>
          </w:p>
        </w:tc>
        <w:tc>
          <w:tcPr>
            <w:tcW w:w="1376" w:type="dxa"/>
            <w:tcBorders>
              <w:top w:val="nil"/>
              <w:left w:val="nil"/>
              <w:bottom w:val="nil"/>
              <w:right w:val="nil"/>
            </w:tcBorders>
          </w:tcPr>
          <w:p w14:paraId="7DEE8E53" w14:textId="10C111B6" w:rsidR="005C2F7C" w:rsidRPr="00D52952" w:rsidRDefault="005C2F7C" w:rsidP="009E0361">
            <w:pPr>
              <w:autoSpaceDE w:val="0"/>
              <w:autoSpaceDN w:val="0"/>
              <w:adjustRightInd w:val="0"/>
              <w:spacing w:line="480" w:lineRule="auto"/>
              <w:rPr>
                <w:rFonts w:eastAsiaTheme="minorHAnsi"/>
                <w:color w:val="000000"/>
                <w:vertAlign w:val="superscript"/>
              </w:rPr>
            </w:pPr>
            <w:r>
              <w:rPr>
                <w:rFonts w:eastAsiaTheme="minorHAnsi"/>
                <w:color w:val="000000"/>
              </w:rPr>
              <w:t>1</w:t>
            </w:r>
            <w:r w:rsidRPr="00B46B86">
              <w:rPr>
                <w:rFonts w:eastAsiaTheme="minorHAnsi"/>
                <w:color w:val="000000"/>
              </w:rPr>
              <w:t>0</w:t>
            </w:r>
            <w:r w:rsidR="00AB615E">
              <w:rPr>
                <w:rFonts w:eastAsiaTheme="minorHAnsi"/>
                <w:color w:val="000000"/>
              </w:rPr>
              <w:t>5</w:t>
            </w:r>
            <w:r w:rsidR="00D52952">
              <w:rPr>
                <w:rFonts w:eastAsiaTheme="minorHAnsi"/>
                <w:color w:val="000000"/>
              </w:rPr>
              <w:t xml:space="preserve"> [</w:t>
            </w:r>
            <w:proofErr w:type="gramStart"/>
            <w:r w:rsidR="00D52952">
              <w:rPr>
                <w:rFonts w:eastAsiaTheme="minorHAnsi"/>
                <w:color w:val="000000"/>
              </w:rPr>
              <w:t>4</w:t>
            </w:r>
            <w:r w:rsidR="00AB615E">
              <w:rPr>
                <w:rFonts w:eastAsiaTheme="minorHAnsi"/>
                <w:color w:val="000000"/>
              </w:rPr>
              <w:t>8</w:t>
            </w:r>
            <w:r w:rsidR="00D52952">
              <w:rPr>
                <w:rFonts w:eastAsiaTheme="minorHAnsi"/>
                <w:color w:val="000000"/>
              </w:rPr>
              <w:t>0]</w:t>
            </w:r>
            <w:r w:rsidR="00D23E39">
              <w:rPr>
                <w:rFonts w:eastAsiaTheme="minorHAnsi"/>
                <w:color w:val="000000"/>
                <w:vertAlign w:val="superscript"/>
              </w:rPr>
              <w:t>b</w:t>
            </w:r>
            <w:proofErr w:type="gramEnd"/>
          </w:p>
        </w:tc>
        <w:tc>
          <w:tcPr>
            <w:tcW w:w="1527" w:type="dxa"/>
            <w:tcBorders>
              <w:top w:val="nil"/>
              <w:left w:val="nil"/>
              <w:bottom w:val="nil"/>
              <w:right w:val="nil"/>
            </w:tcBorders>
          </w:tcPr>
          <w:p w14:paraId="43D6FAF7"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1993-ongoing</w:t>
            </w:r>
          </w:p>
        </w:tc>
        <w:tc>
          <w:tcPr>
            <w:tcW w:w="1779" w:type="dxa"/>
            <w:tcBorders>
              <w:top w:val="nil"/>
              <w:left w:val="nil"/>
              <w:bottom w:val="nil"/>
              <w:right w:val="nil"/>
            </w:tcBorders>
          </w:tcPr>
          <w:p w14:paraId="2966B677"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1 Jun-20 Aug</w:t>
            </w:r>
          </w:p>
        </w:tc>
        <w:tc>
          <w:tcPr>
            <w:tcW w:w="1348" w:type="dxa"/>
            <w:tcBorders>
              <w:top w:val="nil"/>
              <w:left w:val="nil"/>
              <w:bottom w:val="nil"/>
              <w:right w:val="nil"/>
            </w:tcBorders>
          </w:tcPr>
          <w:p w14:paraId="6472B9D0"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strong</w:t>
            </w:r>
          </w:p>
        </w:tc>
      </w:tr>
      <w:tr w:rsidR="006755E1" w:rsidRPr="00B46B86" w14:paraId="4E8522B7" w14:textId="77777777" w:rsidTr="008E141E">
        <w:trPr>
          <w:trHeight w:val="657"/>
        </w:trPr>
        <w:tc>
          <w:tcPr>
            <w:tcW w:w="1981" w:type="dxa"/>
            <w:tcBorders>
              <w:top w:val="nil"/>
              <w:left w:val="nil"/>
              <w:bottom w:val="nil"/>
              <w:right w:val="nil"/>
            </w:tcBorders>
          </w:tcPr>
          <w:p w14:paraId="1B1B8C1C" w14:textId="77777777" w:rsidR="005C2F7C" w:rsidRPr="00B46B86" w:rsidRDefault="005C2F7C" w:rsidP="009E0361">
            <w:pPr>
              <w:autoSpaceDE w:val="0"/>
              <w:autoSpaceDN w:val="0"/>
              <w:adjustRightInd w:val="0"/>
              <w:spacing w:line="480" w:lineRule="auto"/>
              <w:rPr>
                <w:rFonts w:eastAsiaTheme="minorHAnsi"/>
                <w:color w:val="000000"/>
              </w:rPr>
            </w:pPr>
            <w:proofErr w:type="spellStart"/>
            <w:r w:rsidRPr="00B46B86">
              <w:rPr>
                <w:rFonts w:eastAsiaTheme="minorHAnsi"/>
                <w:color w:val="000000"/>
              </w:rPr>
              <w:t>Utqiagvik</w:t>
            </w:r>
            <w:proofErr w:type="spellEnd"/>
          </w:p>
        </w:tc>
        <w:tc>
          <w:tcPr>
            <w:tcW w:w="782" w:type="dxa"/>
            <w:tcBorders>
              <w:top w:val="nil"/>
              <w:left w:val="nil"/>
              <w:bottom w:val="nil"/>
              <w:right w:val="nil"/>
            </w:tcBorders>
          </w:tcPr>
          <w:p w14:paraId="66CAA7A6" w14:textId="395454FE" w:rsidR="005C2F7C" w:rsidRPr="00987254" w:rsidRDefault="005C2F7C" w:rsidP="009E0361">
            <w:pPr>
              <w:autoSpaceDE w:val="0"/>
              <w:autoSpaceDN w:val="0"/>
              <w:adjustRightInd w:val="0"/>
              <w:spacing w:line="480" w:lineRule="auto"/>
              <w:ind w:right="-104"/>
              <w:rPr>
                <w:rFonts w:eastAsiaTheme="minorHAnsi"/>
              </w:rPr>
            </w:pPr>
            <w:r w:rsidRPr="00987254">
              <w:rPr>
                <w:rFonts w:eastAsiaTheme="minorHAnsi"/>
              </w:rPr>
              <w:t>Low</w:t>
            </w:r>
          </w:p>
        </w:tc>
        <w:tc>
          <w:tcPr>
            <w:tcW w:w="1557" w:type="dxa"/>
            <w:tcBorders>
              <w:top w:val="nil"/>
              <w:left w:val="nil"/>
              <w:bottom w:val="nil"/>
              <w:right w:val="nil"/>
            </w:tcBorders>
          </w:tcPr>
          <w:p w14:paraId="0ADAC8D8" w14:textId="6C392198" w:rsidR="005C2F7C" w:rsidRPr="00B46B86" w:rsidRDefault="005C2F7C" w:rsidP="009E0361">
            <w:pPr>
              <w:autoSpaceDE w:val="0"/>
              <w:autoSpaceDN w:val="0"/>
              <w:adjustRightInd w:val="0"/>
              <w:spacing w:line="480" w:lineRule="auto"/>
              <w:ind w:right="-104"/>
              <w:rPr>
                <w:rFonts w:eastAsiaTheme="minorHAnsi"/>
                <w:color w:val="000000"/>
              </w:rPr>
            </w:pPr>
            <w:r w:rsidRPr="00B46B86">
              <w:rPr>
                <w:rFonts w:eastAsiaTheme="minorHAnsi"/>
                <w:color w:val="000000"/>
              </w:rPr>
              <w:t>Alaska</w:t>
            </w:r>
          </w:p>
        </w:tc>
        <w:tc>
          <w:tcPr>
            <w:tcW w:w="1290" w:type="dxa"/>
            <w:tcBorders>
              <w:top w:val="nil"/>
              <w:left w:val="nil"/>
              <w:bottom w:val="nil"/>
              <w:right w:val="nil"/>
            </w:tcBorders>
          </w:tcPr>
          <w:p w14:paraId="0657C291"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USA</w:t>
            </w:r>
          </w:p>
        </w:tc>
        <w:tc>
          <w:tcPr>
            <w:tcW w:w="1440" w:type="dxa"/>
            <w:tcBorders>
              <w:top w:val="nil"/>
              <w:left w:val="nil"/>
              <w:bottom w:val="nil"/>
              <w:right w:val="nil"/>
            </w:tcBorders>
          </w:tcPr>
          <w:p w14:paraId="6FCFDBB6" w14:textId="397CE6F4" w:rsidR="005C2F7C" w:rsidRPr="00B46B86" w:rsidRDefault="002A50D9" w:rsidP="009E0361">
            <w:pPr>
              <w:autoSpaceDE w:val="0"/>
              <w:autoSpaceDN w:val="0"/>
              <w:adjustRightInd w:val="0"/>
              <w:spacing w:line="480" w:lineRule="auto"/>
              <w:rPr>
                <w:rFonts w:eastAsiaTheme="minorHAnsi"/>
                <w:color w:val="000000"/>
              </w:rPr>
            </w:pPr>
            <w:r w:rsidRPr="00B46B86">
              <w:rPr>
                <w:rFonts w:eastAsiaTheme="minorHAnsi"/>
                <w:color w:val="000000"/>
              </w:rPr>
              <w:t>7</w:t>
            </w:r>
            <w:r w:rsidR="00C36A2B">
              <w:rPr>
                <w:rFonts w:eastAsiaTheme="minorHAnsi"/>
                <w:color w:val="000000"/>
              </w:rPr>
              <w:t>1</w:t>
            </w:r>
            <w:r w:rsidRPr="00B46B86">
              <w:rPr>
                <w:rFonts w:eastAsiaTheme="minorHAnsi"/>
                <w:color w:val="000000"/>
              </w:rPr>
              <w:t xml:space="preserve">°N, </w:t>
            </w:r>
            <w:r w:rsidR="00C36A2B">
              <w:rPr>
                <w:rFonts w:eastAsiaTheme="minorHAnsi"/>
                <w:color w:val="000000"/>
              </w:rPr>
              <w:t>157</w:t>
            </w:r>
            <w:r w:rsidRPr="00B46B86">
              <w:rPr>
                <w:rFonts w:eastAsiaTheme="minorHAnsi"/>
                <w:color w:val="000000"/>
              </w:rPr>
              <w:t>°W</w:t>
            </w:r>
          </w:p>
        </w:tc>
        <w:tc>
          <w:tcPr>
            <w:tcW w:w="1376" w:type="dxa"/>
            <w:tcBorders>
              <w:top w:val="nil"/>
              <w:left w:val="nil"/>
              <w:bottom w:val="nil"/>
              <w:right w:val="nil"/>
            </w:tcBorders>
          </w:tcPr>
          <w:p w14:paraId="142CC750" w14:textId="28036B90" w:rsidR="005C2F7C" w:rsidRPr="00B46B86" w:rsidRDefault="00544B7C" w:rsidP="009E0361">
            <w:pPr>
              <w:autoSpaceDE w:val="0"/>
              <w:autoSpaceDN w:val="0"/>
              <w:adjustRightInd w:val="0"/>
              <w:spacing w:line="480" w:lineRule="auto"/>
              <w:rPr>
                <w:rFonts w:eastAsiaTheme="minorHAnsi"/>
                <w:color w:val="FF0000"/>
              </w:rPr>
            </w:pPr>
            <w:r w:rsidRPr="00544B7C">
              <w:rPr>
                <w:rFonts w:eastAsiaTheme="minorHAnsi"/>
              </w:rPr>
              <w:t>214</w:t>
            </w:r>
          </w:p>
        </w:tc>
        <w:tc>
          <w:tcPr>
            <w:tcW w:w="1527" w:type="dxa"/>
            <w:tcBorders>
              <w:top w:val="nil"/>
              <w:left w:val="nil"/>
              <w:bottom w:val="nil"/>
              <w:right w:val="nil"/>
            </w:tcBorders>
          </w:tcPr>
          <w:p w14:paraId="14E6F4A6"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1992-ongoing</w:t>
            </w:r>
          </w:p>
        </w:tc>
        <w:tc>
          <w:tcPr>
            <w:tcW w:w="1779" w:type="dxa"/>
            <w:tcBorders>
              <w:top w:val="nil"/>
              <w:left w:val="nil"/>
              <w:bottom w:val="nil"/>
              <w:right w:val="nil"/>
            </w:tcBorders>
          </w:tcPr>
          <w:p w14:paraId="7B443AB3" w14:textId="035F09DF" w:rsidR="005C2F7C" w:rsidRPr="001E45F8" w:rsidRDefault="001E45F8" w:rsidP="009E0361">
            <w:pPr>
              <w:autoSpaceDE w:val="0"/>
              <w:autoSpaceDN w:val="0"/>
              <w:adjustRightInd w:val="0"/>
              <w:spacing w:line="480" w:lineRule="auto"/>
              <w:rPr>
                <w:rFonts w:eastAsiaTheme="minorHAnsi"/>
              </w:rPr>
            </w:pPr>
            <w:r w:rsidRPr="001E45F8">
              <w:rPr>
                <w:rFonts w:eastAsiaTheme="minorHAnsi"/>
              </w:rPr>
              <w:t>June-Aug</w:t>
            </w:r>
          </w:p>
        </w:tc>
        <w:tc>
          <w:tcPr>
            <w:tcW w:w="1348" w:type="dxa"/>
            <w:tcBorders>
              <w:top w:val="nil"/>
              <w:left w:val="nil"/>
              <w:bottom w:val="nil"/>
              <w:right w:val="nil"/>
            </w:tcBorders>
          </w:tcPr>
          <w:p w14:paraId="038CE04A"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strong</w:t>
            </w:r>
          </w:p>
        </w:tc>
      </w:tr>
      <w:tr w:rsidR="006755E1" w:rsidRPr="00B46B86" w14:paraId="5FAB2B1B" w14:textId="77777777" w:rsidTr="008E141E">
        <w:trPr>
          <w:trHeight w:val="297"/>
        </w:trPr>
        <w:tc>
          <w:tcPr>
            <w:tcW w:w="1981" w:type="dxa"/>
            <w:tcBorders>
              <w:top w:val="nil"/>
              <w:left w:val="nil"/>
              <w:bottom w:val="nil"/>
              <w:right w:val="nil"/>
            </w:tcBorders>
          </w:tcPr>
          <w:p w14:paraId="6491AA48"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Wrangel Island</w:t>
            </w:r>
          </w:p>
        </w:tc>
        <w:tc>
          <w:tcPr>
            <w:tcW w:w="782" w:type="dxa"/>
            <w:tcBorders>
              <w:top w:val="nil"/>
              <w:left w:val="nil"/>
              <w:bottom w:val="nil"/>
              <w:right w:val="nil"/>
            </w:tcBorders>
          </w:tcPr>
          <w:p w14:paraId="7D048B86" w14:textId="59B3C368" w:rsidR="005C2F7C" w:rsidRPr="00987254" w:rsidRDefault="005C2F7C" w:rsidP="009E0361">
            <w:pPr>
              <w:autoSpaceDE w:val="0"/>
              <w:autoSpaceDN w:val="0"/>
              <w:adjustRightInd w:val="0"/>
              <w:spacing w:line="480" w:lineRule="auto"/>
              <w:ind w:right="-104"/>
              <w:rPr>
                <w:rFonts w:eastAsiaTheme="minorHAnsi"/>
              </w:rPr>
            </w:pPr>
            <w:r w:rsidRPr="00987254">
              <w:rPr>
                <w:rFonts w:eastAsiaTheme="minorHAnsi"/>
              </w:rPr>
              <w:t>High</w:t>
            </w:r>
          </w:p>
        </w:tc>
        <w:tc>
          <w:tcPr>
            <w:tcW w:w="1557" w:type="dxa"/>
            <w:tcBorders>
              <w:top w:val="nil"/>
              <w:left w:val="nil"/>
              <w:bottom w:val="nil"/>
              <w:right w:val="nil"/>
            </w:tcBorders>
          </w:tcPr>
          <w:p w14:paraId="433E8A43" w14:textId="078E66A5" w:rsidR="005C2F7C" w:rsidRPr="00B46B86" w:rsidRDefault="005C2F7C" w:rsidP="009E0361">
            <w:pPr>
              <w:autoSpaceDE w:val="0"/>
              <w:autoSpaceDN w:val="0"/>
              <w:adjustRightInd w:val="0"/>
              <w:spacing w:line="480" w:lineRule="auto"/>
              <w:ind w:right="-104"/>
              <w:rPr>
                <w:rFonts w:eastAsiaTheme="minorHAnsi"/>
                <w:color w:val="000000"/>
              </w:rPr>
            </w:pPr>
            <w:r w:rsidRPr="00B46B86">
              <w:rPr>
                <w:rFonts w:eastAsiaTheme="minorHAnsi"/>
                <w:color w:val="000000"/>
              </w:rPr>
              <w:t>Chukotka</w:t>
            </w:r>
          </w:p>
        </w:tc>
        <w:tc>
          <w:tcPr>
            <w:tcW w:w="1290" w:type="dxa"/>
            <w:tcBorders>
              <w:top w:val="nil"/>
              <w:left w:val="nil"/>
              <w:bottom w:val="nil"/>
              <w:right w:val="nil"/>
            </w:tcBorders>
          </w:tcPr>
          <w:p w14:paraId="514AFAB7"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Russia</w:t>
            </w:r>
          </w:p>
        </w:tc>
        <w:tc>
          <w:tcPr>
            <w:tcW w:w="1440" w:type="dxa"/>
            <w:tcBorders>
              <w:top w:val="nil"/>
              <w:left w:val="nil"/>
              <w:bottom w:val="nil"/>
              <w:right w:val="nil"/>
            </w:tcBorders>
          </w:tcPr>
          <w:p w14:paraId="4481182B"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71°N, 179°E</w:t>
            </w:r>
          </w:p>
        </w:tc>
        <w:tc>
          <w:tcPr>
            <w:tcW w:w="1376" w:type="dxa"/>
            <w:tcBorders>
              <w:top w:val="nil"/>
              <w:left w:val="nil"/>
              <w:bottom w:val="nil"/>
              <w:right w:val="nil"/>
            </w:tcBorders>
          </w:tcPr>
          <w:p w14:paraId="278913B9" w14:textId="5289E3A6" w:rsidR="005C2F7C" w:rsidRPr="00B46B86" w:rsidRDefault="00D15C3C" w:rsidP="009E0361">
            <w:pPr>
              <w:autoSpaceDE w:val="0"/>
              <w:autoSpaceDN w:val="0"/>
              <w:adjustRightInd w:val="0"/>
              <w:spacing w:line="480" w:lineRule="auto"/>
              <w:rPr>
                <w:rFonts w:eastAsiaTheme="minorHAnsi"/>
                <w:color w:val="FF0000"/>
              </w:rPr>
            </w:pPr>
            <w:r w:rsidRPr="00D15C3C">
              <w:rPr>
                <w:rFonts w:eastAsiaTheme="minorHAnsi"/>
              </w:rPr>
              <w:t>45</w:t>
            </w:r>
          </w:p>
        </w:tc>
        <w:tc>
          <w:tcPr>
            <w:tcW w:w="1527" w:type="dxa"/>
            <w:tcBorders>
              <w:top w:val="nil"/>
              <w:left w:val="nil"/>
              <w:bottom w:val="nil"/>
              <w:right w:val="nil"/>
            </w:tcBorders>
          </w:tcPr>
          <w:p w14:paraId="50C65B7A" w14:textId="76EECECD" w:rsidR="005C2F7C" w:rsidRPr="00BF02D5" w:rsidRDefault="00EC64F0" w:rsidP="009E0361">
            <w:pPr>
              <w:autoSpaceDE w:val="0"/>
              <w:autoSpaceDN w:val="0"/>
              <w:adjustRightInd w:val="0"/>
              <w:spacing w:line="480" w:lineRule="auto"/>
              <w:rPr>
                <w:rFonts w:eastAsiaTheme="minorHAnsi"/>
              </w:rPr>
            </w:pPr>
            <w:r w:rsidRPr="00BF02D5">
              <w:rPr>
                <w:rFonts w:eastAsiaTheme="minorHAnsi"/>
              </w:rPr>
              <w:t>1990-</w:t>
            </w:r>
            <w:r w:rsidR="00DA2A08">
              <w:rPr>
                <w:rFonts w:eastAsiaTheme="minorHAnsi"/>
              </w:rPr>
              <w:t>2010</w:t>
            </w:r>
          </w:p>
        </w:tc>
        <w:tc>
          <w:tcPr>
            <w:tcW w:w="1779" w:type="dxa"/>
            <w:tcBorders>
              <w:top w:val="nil"/>
              <w:left w:val="nil"/>
              <w:bottom w:val="nil"/>
              <w:right w:val="nil"/>
            </w:tcBorders>
          </w:tcPr>
          <w:p w14:paraId="64B024CB" w14:textId="769A9011" w:rsidR="005C2F7C" w:rsidRPr="00B46B86" w:rsidRDefault="00D15C3C" w:rsidP="009E0361">
            <w:pPr>
              <w:autoSpaceDE w:val="0"/>
              <w:autoSpaceDN w:val="0"/>
              <w:adjustRightInd w:val="0"/>
              <w:spacing w:line="480" w:lineRule="auto"/>
              <w:rPr>
                <w:rFonts w:eastAsiaTheme="minorHAnsi"/>
                <w:color w:val="FF0000"/>
              </w:rPr>
            </w:pPr>
            <w:r w:rsidRPr="00D15C3C">
              <w:rPr>
                <w:rFonts w:eastAsiaTheme="minorHAnsi"/>
              </w:rPr>
              <w:t>May-Sep</w:t>
            </w:r>
          </w:p>
        </w:tc>
        <w:tc>
          <w:tcPr>
            <w:tcW w:w="1348" w:type="dxa"/>
            <w:tcBorders>
              <w:top w:val="nil"/>
              <w:left w:val="nil"/>
              <w:bottom w:val="nil"/>
              <w:right w:val="nil"/>
            </w:tcBorders>
          </w:tcPr>
          <w:p w14:paraId="548078E7" w14:textId="6C45FC6D" w:rsidR="005C2F7C" w:rsidRPr="00B46B86" w:rsidRDefault="005C6F60" w:rsidP="009E0361">
            <w:pPr>
              <w:autoSpaceDE w:val="0"/>
              <w:autoSpaceDN w:val="0"/>
              <w:adjustRightInd w:val="0"/>
              <w:spacing w:line="480" w:lineRule="auto"/>
              <w:rPr>
                <w:rFonts w:eastAsiaTheme="minorHAnsi"/>
                <w:color w:val="FF0000"/>
              </w:rPr>
            </w:pPr>
            <w:r w:rsidRPr="005C6F60">
              <w:rPr>
                <w:rFonts w:eastAsiaTheme="minorHAnsi"/>
              </w:rPr>
              <w:t>strong</w:t>
            </w:r>
          </w:p>
        </w:tc>
      </w:tr>
      <w:tr w:rsidR="006755E1" w:rsidRPr="00B46B86" w14:paraId="4738BFED" w14:textId="77777777" w:rsidTr="008E141E">
        <w:trPr>
          <w:trHeight w:val="297"/>
        </w:trPr>
        <w:tc>
          <w:tcPr>
            <w:tcW w:w="1981" w:type="dxa"/>
            <w:tcBorders>
              <w:top w:val="nil"/>
              <w:left w:val="nil"/>
              <w:bottom w:val="nil"/>
              <w:right w:val="nil"/>
            </w:tcBorders>
          </w:tcPr>
          <w:p w14:paraId="44A187F2" w14:textId="2EC0C744" w:rsidR="005C2F7C" w:rsidRPr="00B46B86" w:rsidRDefault="003E2187" w:rsidP="009E0361">
            <w:pPr>
              <w:autoSpaceDE w:val="0"/>
              <w:autoSpaceDN w:val="0"/>
              <w:adjustRightInd w:val="0"/>
              <w:spacing w:line="480" w:lineRule="auto"/>
              <w:rPr>
                <w:rFonts w:eastAsiaTheme="minorHAnsi"/>
                <w:color w:val="000000"/>
              </w:rPr>
            </w:pPr>
            <w:r>
              <w:rPr>
                <w:rFonts w:eastAsiaTheme="minorHAnsi"/>
                <w:color w:val="000000"/>
              </w:rPr>
              <w:lastRenderedPageBreak/>
              <w:t>Fennoscandia</w:t>
            </w:r>
          </w:p>
        </w:tc>
        <w:tc>
          <w:tcPr>
            <w:tcW w:w="782" w:type="dxa"/>
            <w:tcBorders>
              <w:top w:val="nil"/>
              <w:left w:val="nil"/>
              <w:bottom w:val="nil"/>
              <w:right w:val="nil"/>
            </w:tcBorders>
          </w:tcPr>
          <w:p w14:paraId="166F6175" w14:textId="51D85790" w:rsidR="005C2F7C" w:rsidRPr="00987254" w:rsidRDefault="005C2F7C" w:rsidP="009E0361">
            <w:pPr>
              <w:autoSpaceDE w:val="0"/>
              <w:autoSpaceDN w:val="0"/>
              <w:adjustRightInd w:val="0"/>
              <w:spacing w:line="480" w:lineRule="auto"/>
              <w:ind w:right="-104"/>
              <w:rPr>
                <w:rFonts w:eastAsiaTheme="minorHAnsi"/>
              </w:rPr>
            </w:pPr>
            <w:r w:rsidRPr="00987254">
              <w:rPr>
                <w:rFonts w:eastAsiaTheme="minorHAnsi"/>
              </w:rPr>
              <w:t>Sub</w:t>
            </w:r>
          </w:p>
        </w:tc>
        <w:tc>
          <w:tcPr>
            <w:tcW w:w="1557" w:type="dxa"/>
            <w:tcBorders>
              <w:top w:val="nil"/>
              <w:left w:val="nil"/>
              <w:bottom w:val="nil"/>
              <w:right w:val="nil"/>
            </w:tcBorders>
          </w:tcPr>
          <w:p w14:paraId="03E9204A" w14:textId="474DAA91" w:rsidR="005C2F7C" w:rsidRPr="00B46B86" w:rsidRDefault="00331109" w:rsidP="009E0361">
            <w:pPr>
              <w:autoSpaceDE w:val="0"/>
              <w:autoSpaceDN w:val="0"/>
              <w:adjustRightInd w:val="0"/>
              <w:spacing w:line="480" w:lineRule="auto"/>
              <w:ind w:right="-104"/>
              <w:rPr>
                <w:rFonts w:eastAsiaTheme="minorHAnsi"/>
                <w:color w:val="FF0000"/>
              </w:rPr>
            </w:pPr>
            <w:r w:rsidRPr="00331109">
              <w:rPr>
                <w:rFonts w:eastAsiaTheme="minorHAnsi"/>
              </w:rPr>
              <w:t>Norway, Sweden, Finland</w:t>
            </w:r>
          </w:p>
        </w:tc>
        <w:tc>
          <w:tcPr>
            <w:tcW w:w="1290" w:type="dxa"/>
            <w:tcBorders>
              <w:top w:val="nil"/>
              <w:left w:val="nil"/>
              <w:bottom w:val="nil"/>
              <w:right w:val="nil"/>
            </w:tcBorders>
          </w:tcPr>
          <w:p w14:paraId="21887467" w14:textId="77777777" w:rsidR="005C2F7C" w:rsidRPr="00B46B86" w:rsidRDefault="005C2F7C" w:rsidP="009E0361">
            <w:pPr>
              <w:autoSpaceDE w:val="0"/>
              <w:autoSpaceDN w:val="0"/>
              <w:adjustRightInd w:val="0"/>
              <w:spacing w:line="480" w:lineRule="auto"/>
              <w:rPr>
                <w:rFonts w:eastAsiaTheme="minorHAnsi"/>
                <w:color w:val="000000"/>
              </w:rPr>
            </w:pPr>
            <w:r w:rsidRPr="00B46B86">
              <w:rPr>
                <w:rFonts w:eastAsiaTheme="minorHAnsi"/>
                <w:color w:val="000000"/>
              </w:rPr>
              <w:t>Norway</w:t>
            </w:r>
          </w:p>
        </w:tc>
        <w:tc>
          <w:tcPr>
            <w:tcW w:w="1440" w:type="dxa"/>
            <w:tcBorders>
              <w:top w:val="nil"/>
              <w:left w:val="nil"/>
              <w:bottom w:val="nil"/>
              <w:right w:val="nil"/>
            </w:tcBorders>
          </w:tcPr>
          <w:p w14:paraId="0AE64BC5" w14:textId="2B7BDB8D" w:rsidR="005C2F7C" w:rsidRPr="00B46B86" w:rsidRDefault="00906C2B" w:rsidP="009E0361">
            <w:pPr>
              <w:autoSpaceDE w:val="0"/>
              <w:autoSpaceDN w:val="0"/>
              <w:adjustRightInd w:val="0"/>
              <w:spacing w:line="480" w:lineRule="auto"/>
              <w:rPr>
                <w:rFonts w:eastAsiaTheme="minorHAnsi"/>
                <w:color w:val="FF0000"/>
              </w:rPr>
            </w:pPr>
            <w:r>
              <w:rPr>
                <w:rFonts w:eastAsiaTheme="minorHAnsi"/>
                <w:color w:val="000000"/>
              </w:rPr>
              <w:t>69</w:t>
            </w:r>
            <w:r w:rsidRPr="00B46B86">
              <w:rPr>
                <w:rFonts w:eastAsiaTheme="minorHAnsi"/>
                <w:color w:val="000000"/>
              </w:rPr>
              <w:t xml:space="preserve">°N, </w:t>
            </w:r>
            <w:r>
              <w:rPr>
                <w:rFonts w:eastAsiaTheme="minorHAnsi"/>
                <w:color w:val="000000"/>
              </w:rPr>
              <w:t>22</w:t>
            </w:r>
            <w:r w:rsidRPr="00B46B86">
              <w:rPr>
                <w:rFonts w:eastAsiaTheme="minorHAnsi"/>
                <w:color w:val="000000"/>
              </w:rPr>
              <w:t>°E</w:t>
            </w:r>
          </w:p>
        </w:tc>
        <w:tc>
          <w:tcPr>
            <w:tcW w:w="1376" w:type="dxa"/>
            <w:tcBorders>
              <w:top w:val="nil"/>
              <w:left w:val="nil"/>
              <w:bottom w:val="nil"/>
              <w:right w:val="nil"/>
            </w:tcBorders>
          </w:tcPr>
          <w:p w14:paraId="3FF56875" w14:textId="0880CCCE" w:rsidR="005C2F7C" w:rsidRPr="00906C2B" w:rsidRDefault="00906C2B" w:rsidP="009E0361">
            <w:pPr>
              <w:autoSpaceDE w:val="0"/>
              <w:autoSpaceDN w:val="0"/>
              <w:adjustRightInd w:val="0"/>
              <w:spacing w:line="480" w:lineRule="auto"/>
              <w:rPr>
                <w:rFonts w:eastAsiaTheme="minorHAnsi"/>
              </w:rPr>
            </w:pPr>
            <w:r w:rsidRPr="00906C2B">
              <w:rPr>
                <w:rFonts w:eastAsiaTheme="minorHAnsi"/>
              </w:rPr>
              <w:t>NA</w:t>
            </w:r>
          </w:p>
        </w:tc>
        <w:tc>
          <w:tcPr>
            <w:tcW w:w="1527" w:type="dxa"/>
            <w:tcBorders>
              <w:top w:val="nil"/>
              <w:left w:val="nil"/>
              <w:bottom w:val="nil"/>
              <w:right w:val="nil"/>
            </w:tcBorders>
          </w:tcPr>
          <w:p w14:paraId="44B52A91" w14:textId="1E67F4F5" w:rsidR="005C2F7C" w:rsidRPr="00331109" w:rsidRDefault="00331109" w:rsidP="009E0361">
            <w:pPr>
              <w:autoSpaceDE w:val="0"/>
              <w:autoSpaceDN w:val="0"/>
              <w:adjustRightInd w:val="0"/>
              <w:spacing w:line="480" w:lineRule="auto"/>
              <w:rPr>
                <w:rFonts w:eastAsiaTheme="minorHAnsi"/>
              </w:rPr>
            </w:pPr>
            <w:r w:rsidRPr="00331109">
              <w:rPr>
                <w:rFonts w:eastAsiaTheme="minorHAnsi"/>
              </w:rPr>
              <w:t>2005-ongoing</w:t>
            </w:r>
          </w:p>
        </w:tc>
        <w:tc>
          <w:tcPr>
            <w:tcW w:w="1779" w:type="dxa"/>
            <w:tcBorders>
              <w:top w:val="nil"/>
              <w:left w:val="nil"/>
              <w:bottom w:val="nil"/>
              <w:right w:val="nil"/>
            </w:tcBorders>
          </w:tcPr>
          <w:p w14:paraId="752EE340" w14:textId="708D2197" w:rsidR="005C2F7C" w:rsidRPr="00B46B86" w:rsidRDefault="00331109" w:rsidP="009E0361">
            <w:pPr>
              <w:autoSpaceDE w:val="0"/>
              <w:autoSpaceDN w:val="0"/>
              <w:adjustRightInd w:val="0"/>
              <w:spacing w:line="480" w:lineRule="auto"/>
              <w:rPr>
                <w:rFonts w:eastAsiaTheme="minorHAnsi"/>
                <w:color w:val="FF0000"/>
              </w:rPr>
            </w:pPr>
            <w:r w:rsidRPr="00331109">
              <w:rPr>
                <w:rFonts w:eastAsiaTheme="minorHAnsi"/>
              </w:rPr>
              <w:t>15 May-1 Aug</w:t>
            </w:r>
          </w:p>
        </w:tc>
        <w:tc>
          <w:tcPr>
            <w:tcW w:w="1348" w:type="dxa"/>
            <w:tcBorders>
              <w:top w:val="nil"/>
              <w:left w:val="nil"/>
              <w:bottom w:val="nil"/>
              <w:right w:val="nil"/>
            </w:tcBorders>
          </w:tcPr>
          <w:p w14:paraId="22D101A4" w14:textId="1C4A4A0D" w:rsidR="005C2F7C" w:rsidRPr="00B46B86" w:rsidRDefault="00331109" w:rsidP="009E0361">
            <w:pPr>
              <w:autoSpaceDE w:val="0"/>
              <w:autoSpaceDN w:val="0"/>
              <w:adjustRightInd w:val="0"/>
              <w:spacing w:line="480" w:lineRule="auto"/>
              <w:rPr>
                <w:rFonts w:eastAsiaTheme="minorHAnsi"/>
                <w:color w:val="FF0000"/>
              </w:rPr>
            </w:pPr>
            <w:r w:rsidRPr="00331109">
              <w:rPr>
                <w:rFonts w:eastAsiaTheme="minorHAnsi"/>
              </w:rPr>
              <w:t>strong</w:t>
            </w:r>
          </w:p>
        </w:tc>
      </w:tr>
      <w:tr w:rsidR="006755E1" w:rsidRPr="00B46B86" w14:paraId="55FFEBAB" w14:textId="77777777" w:rsidTr="008E141E">
        <w:trPr>
          <w:trHeight w:val="297"/>
        </w:trPr>
        <w:tc>
          <w:tcPr>
            <w:tcW w:w="1981" w:type="dxa"/>
            <w:tcBorders>
              <w:top w:val="nil"/>
              <w:left w:val="nil"/>
              <w:bottom w:val="single" w:sz="4" w:space="0" w:color="auto"/>
              <w:right w:val="nil"/>
            </w:tcBorders>
          </w:tcPr>
          <w:p w14:paraId="2E723C87" w14:textId="2FF7F867" w:rsidR="005C2F7C" w:rsidRPr="00987254" w:rsidRDefault="005C2F7C" w:rsidP="009E0361">
            <w:pPr>
              <w:autoSpaceDE w:val="0"/>
              <w:autoSpaceDN w:val="0"/>
              <w:adjustRightInd w:val="0"/>
              <w:spacing w:line="480" w:lineRule="auto"/>
              <w:rPr>
                <w:rFonts w:eastAsiaTheme="minorHAnsi"/>
              </w:rPr>
            </w:pPr>
            <w:r w:rsidRPr="00987254">
              <w:rPr>
                <w:rFonts w:eastAsiaTheme="minorHAnsi"/>
              </w:rPr>
              <w:t>Igloolik</w:t>
            </w:r>
          </w:p>
        </w:tc>
        <w:tc>
          <w:tcPr>
            <w:tcW w:w="782" w:type="dxa"/>
            <w:tcBorders>
              <w:top w:val="nil"/>
              <w:left w:val="nil"/>
              <w:bottom w:val="single" w:sz="4" w:space="0" w:color="auto"/>
              <w:right w:val="nil"/>
            </w:tcBorders>
          </w:tcPr>
          <w:p w14:paraId="244B6968" w14:textId="7ADE5792" w:rsidR="005C2F7C" w:rsidRPr="00987254" w:rsidRDefault="005C2F7C" w:rsidP="009E0361">
            <w:pPr>
              <w:autoSpaceDE w:val="0"/>
              <w:autoSpaceDN w:val="0"/>
              <w:adjustRightInd w:val="0"/>
              <w:spacing w:line="480" w:lineRule="auto"/>
              <w:ind w:right="-104"/>
              <w:rPr>
                <w:rFonts w:eastAsiaTheme="minorHAnsi"/>
              </w:rPr>
            </w:pPr>
            <w:r w:rsidRPr="00987254">
              <w:rPr>
                <w:rFonts w:eastAsiaTheme="minorHAnsi"/>
              </w:rPr>
              <w:t>High</w:t>
            </w:r>
          </w:p>
        </w:tc>
        <w:tc>
          <w:tcPr>
            <w:tcW w:w="1557" w:type="dxa"/>
            <w:tcBorders>
              <w:top w:val="nil"/>
              <w:left w:val="nil"/>
              <w:bottom w:val="single" w:sz="4" w:space="0" w:color="auto"/>
              <w:right w:val="nil"/>
            </w:tcBorders>
          </w:tcPr>
          <w:p w14:paraId="6F88D8F0" w14:textId="2874CF8F" w:rsidR="005C2F7C" w:rsidRPr="00987254" w:rsidRDefault="005C2F7C" w:rsidP="009E0361">
            <w:pPr>
              <w:autoSpaceDE w:val="0"/>
              <w:autoSpaceDN w:val="0"/>
              <w:adjustRightInd w:val="0"/>
              <w:spacing w:line="480" w:lineRule="auto"/>
              <w:ind w:right="-104"/>
              <w:rPr>
                <w:rFonts w:eastAsiaTheme="minorHAnsi"/>
              </w:rPr>
            </w:pPr>
            <w:r w:rsidRPr="00987254">
              <w:rPr>
                <w:rFonts w:eastAsiaTheme="minorHAnsi"/>
              </w:rPr>
              <w:t>Nunavut</w:t>
            </w:r>
          </w:p>
        </w:tc>
        <w:tc>
          <w:tcPr>
            <w:tcW w:w="1290" w:type="dxa"/>
            <w:tcBorders>
              <w:top w:val="nil"/>
              <w:left w:val="nil"/>
              <w:bottom w:val="single" w:sz="4" w:space="0" w:color="auto"/>
              <w:right w:val="nil"/>
            </w:tcBorders>
          </w:tcPr>
          <w:p w14:paraId="6FF75D7B" w14:textId="1DBC0C9B" w:rsidR="005C2F7C" w:rsidRPr="00987254" w:rsidRDefault="005C2F7C" w:rsidP="009E0361">
            <w:pPr>
              <w:autoSpaceDE w:val="0"/>
              <w:autoSpaceDN w:val="0"/>
              <w:adjustRightInd w:val="0"/>
              <w:spacing w:line="480" w:lineRule="auto"/>
              <w:rPr>
                <w:rFonts w:eastAsiaTheme="minorHAnsi"/>
              </w:rPr>
            </w:pPr>
            <w:r w:rsidRPr="00987254">
              <w:rPr>
                <w:rFonts w:eastAsiaTheme="minorHAnsi"/>
              </w:rPr>
              <w:t>Canada</w:t>
            </w:r>
          </w:p>
        </w:tc>
        <w:tc>
          <w:tcPr>
            <w:tcW w:w="1440" w:type="dxa"/>
            <w:tcBorders>
              <w:top w:val="nil"/>
              <w:left w:val="nil"/>
              <w:bottom w:val="single" w:sz="4" w:space="0" w:color="auto"/>
              <w:right w:val="nil"/>
            </w:tcBorders>
          </w:tcPr>
          <w:p w14:paraId="7FCA1FE8" w14:textId="33E9BAC9" w:rsidR="005C2F7C" w:rsidRPr="00987254" w:rsidRDefault="00D54AD8" w:rsidP="009E0361">
            <w:pPr>
              <w:autoSpaceDE w:val="0"/>
              <w:autoSpaceDN w:val="0"/>
              <w:adjustRightInd w:val="0"/>
              <w:spacing w:line="480" w:lineRule="auto"/>
              <w:rPr>
                <w:rFonts w:eastAsiaTheme="minorHAnsi"/>
              </w:rPr>
            </w:pPr>
            <w:r w:rsidRPr="00987254">
              <w:rPr>
                <w:rFonts w:eastAsiaTheme="minorHAnsi"/>
              </w:rPr>
              <w:t>69°N, 81°W</w:t>
            </w:r>
          </w:p>
        </w:tc>
        <w:tc>
          <w:tcPr>
            <w:tcW w:w="1376" w:type="dxa"/>
            <w:tcBorders>
              <w:top w:val="nil"/>
              <w:left w:val="nil"/>
              <w:bottom w:val="single" w:sz="4" w:space="0" w:color="auto"/>
              <w:right w:val="nil"/>
            </w:tcBorders>
          </w:tcPr>
          <w:p w14:paraId="0836FA9A" w14:textId="76510994" w:rsidR="005C2F7C" w:rsidRPr="00987254" w:rsidRDefault="005C2F7C" w:rsidP="009E0361">
            <w:pPr>
              <w:autoSpaceDE w:val="0"/>
              <w:autoSpaceDN w:val="0"/>
              <w:adjustRightInd w:val="0"/>
              <w:spacing w:line="480" w:lineRule="auto"/>
              <w:rPr>
                <w:rFonts w:eastAsiaTheme="minorHAnsi"/>
              </w:rPr>
            </w:pPr>
            <w:r w:rsidRPr="00987254">
              <w:rPr>
                <w:rFonts w:eastAsiaTheme="minorHAnsi"/>
              </w:rPr>
              <w:t>114</w:t>
            </w:r>
          </w:p>
        </w:tc>
        <w:tc>
          <w:tcPr>
            <w:tcW w:w="1527" w:type="dxa"/>
            <w:tcBorders>
              <w:top w:val="nil"/>
              <w:left w:val="nil"/>
              <w:bottom w:val="single" w:sz="4" w:space="0" w:color="auto"/>
              <w:right w:val="nil"/>
            </w:tcBorders>
          </w:tcPr>
          <w:p w14:paraId="4038880A" w14:textId="044E2717" w:rsidR="005C2F7C" w:rsidRPr="00987254" w:rsidRDefault="005C2F7C" w:rsidP="009E0361">
            <w:pPr>
              <w:autoSpaceDE w:val="0"/>
              <w:autoSpaceDN w:val="0"/>
              <w:adjustRightInd w:val="0"/>
              <w:spacing w:line="480" w:lineRule="auto"/>
              <w:rPr>
                <w:rFonts w:eastAsiaTheme="minorHAnsi"/>
              </w:rPr>
            </w:pPr>
            <w:r w:rsidRPr="00987254">
              <w:rPr>
                <w:rFonts w:eastAsiaTheme="minorHAnsi"/>
              </w:rPr>
              <w:t>2011-ongoing</w:t>
            </w:r>
          </w:p>
        </w:tc>
        <w:tc>
          <w:tcPr>
            <w:tcW w:w="1779" w:type="dxa"/>
            <w:tcBorders>
              <w:top w:val="nil"/>
              <w:left w:val="nil"/>
              <w:bottom w:val="single" w:sz="4" w:space="0" w:color="auto"/>
              <w:right w:val="nil"/>
            </w:tcBorders>
          </w:tcPr>
          <w:p w14:paraId="53C7B3E9" w14:textId="3BEE3590" w:rsidR="005C2F7C" w:rsidRPr="00987254" w:rsidRDefault="005C2F7C" w:rsidP="009E0361">
            <w:pPr>
              <w:autoSpaceDE w:val="0"/>
              <w:autoSpaceDN w:val="0"/>
              <w:adjustRightInd w:val="0"/>
              <w:spacing w:line="480" w:lineRule="auto"/>
              <w:rPr>
                <w:rFonts w:eastAsiaTheme="minorHAnsi"/>
              </w:rPr>
            </w:pPr>
            <w:r w:rsidRPr="00987254">
              <w:rPr>
                <w:rFonts w:eastAsiaTheme="minorHAnsi"/>
              </w:rPr>
              <w:t>01 Jun-8 Aug</w:t>
            </w:r>
          </w:p>
        </w:tc>
        <w:tc>
          <w:tcPr>
            <w:tcW w:w="1348" w:type="dxa"/>
            <w:tcBorders>
              <w:top w:val="nil"/>
              <w:left w:val="nil"/>
              <w:bottom w:val="single" w:sz="4" w:space="0" w:color="auto"/>
              <w:right w:val="nil"/>
            </w:tcBorders>
          </w:tcPr>
          <w:p w14:paraId="2F4DC80A" w14:textId="0D5850E4" w:rsidR="005C2F7C" w:rsidRPr="00987254" w:rsidRDefault="009E7233" w:rsidP="009E0361">
            <w:pPr>
              <w:autoSpaceDE w:val="0"/>
              <w:autoSpaceDN w:val="0"/>
              <w:adjustRightInd w:val="0"/>
              <w:spacing w:line="480" w:lineRule="auto"/>
              <w:rPr>
                <w:rFonts w:eastAsiaTheme="minorHAnsi"/>
              </w:rPr>
            </w:pPr>
            <w:r>
              <w:rPr>
                <w:rFonts w:eastAsiaTheme="minorHAnsi"/>
              </w:rPr>
              <w:t>weak</w:t>
            </w:r>
          </w:p>
        </w:tc>
      </w:tr>
    </w:tbl>
    <w:p w14:paraId="7F84772F" w14:textId="21AC9EA6" w:rsidR="007E4739" w:rsidRDefault="007E4739" w:rsidP="009E0361">
      <w:pPr>
        <w:spacing w:line="480" w:lineRule="auto"/>
        <w:contextualSpacing/>
        <w:rPr>
          <w:color w:val="FF0000"/>
        </w:rPr>
      </w:pPr>
      <w:proofErr w:type="spellStart"/>
      <w:r>
        <w:rPr>
          <w:vertAlign w:val="superscript"/>
        </w:rPr>
        <w:t>a</w:t>
      </w:r>
      <w:r>
        <w:t>Fluctuations</w:t>
      </w:r>
      <w:proofErr w:type="spellEnd"/>
      <w:r>
        <w:t xml:space="preserve"> in prey population categorized as strong</w:t>
      </w:r>
      <w:r w:rsidR="00A26045">
        <w:t xml:space="preserve"> or</w:t>
      </w:r>
      <w:r>
        <w:t xml:space="preserve"> weak</w:t>
      </w:r>
      <w:r w:rsidR="00A26045">
        <w:t>.</w:t>
      </w:r>
    </w:p>
    <w:p w14:paraId="0BDE009C" w14:textId="5F02FACB" w:rsidR="00B4796C" w:rsidRPr="004C0069" w:rsidRDefault="00D23E39" w:rsidP="008C46B1">
      <w:pPr>
        <w:spacing w:line="480" w:lineRule="auto"/>
        <w:contextualSpacing/>
        <w:sectPr w:rsidR="00B4796C" w:rsidRPr="004C0069" w:rsidSect="00D10290">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pPr>
      <w:proofErr w:type="spellStart"/>
      <w:r w:rsidRPr="003A6F07">
        <w:rPr>
          <w:vertAlign w:val="superscript"/>
        </w:rPr>
        <w:t>b</w:t>
      </w:r>
      <w:r w:rsidRPr="003A6F07">
        <w:t>Core</w:t>
      </w:r>
      <w:proofErr w:type="spellEnd"/>
      <w:r w:rsidRPr="003A6F07">
        <w:t xml:space="preserve"> study area intensively monitored each year is 10</w:t>
      </w:r>
      <w:r w:rsidR="00DB31D9">
        <w:t>5</w:t>
      </w:r>
      <w:r w:rsidRPr="003A6F07">
        <w:t xml:space="preserve"> km</w:t>
      </w:r>
      <w:r w:rsidRPr="003A6F07">
        <w:rPr>
          <w:vertAlign w:val="superscript"/>
        </w:rPr>
        <w:t xml:space="preserve">2 </w:t>
      </w:r>
      <w:r w:rsidRPr="003A6F07">
        <w:t xml:space="preserve">but </w:t>
      </w:r>
      <w:r w:rsidR="00DB31D9">
        <w:t>an additional</w:t>
      </w:r>
      <w:r w:rsidRPr="003A6F07">
        <w:t xml:space="preserve"> area covering 4</w:t>
      </w:r>
      <w:r w:rsidR="00DB31D9">
        <w:t>8</w:t>
      </w:r>
      <w:r w:rsidRPr="003A6F07">
        <w:t>0 km</w:t>
      </w:r>
      <w:r w:rsidRPr="003A6F07">
        <w:rPr>
          <w:vertAlign w:val="superscript"/>
        </w:rPr>
        <w:t>2</w:t>
      </w:r>
      <w:r w:rsidRPr="003A6F07">
        <w:t xml:space="preserve"> </w:t>
      </w:r>
      <w:r w:rsidR="005D6F1A">
        <w:t xml:space="preserve">(Bylot Island Secondary) </w:t>
      </w:r>
      <w:r w:rsidRPr="003A6F07">
        <w:t xml:space="preserve">is also </w:t>
      </w:r>
      <w:r w:rsidR="003A6F07" w:rsidRPr="003A6F07">
        <w:t xml:space="preserve">monitored since 2000 but less intensively. </w:t>
      </w:r>
      <w:bookmarkStart w:id="0" w:name="_Hlk141092940"/>
      <w:r w:rsidR="00CF76DB">
        <w:t>Only data from the Core study area is used in our analysis.</w:t>
      </w:r>
      <w:r w:rsidR="00EE4F9F">
        <w:rPr>
          <w:b/>
          <w:bCs/>
        </w:rPr>
        <w:br w:type="page"/>
      </w:r>
    </w:p>
    <w:p w14:paraId="453802CE" w14:textId="37219FD5" w:rsidR="003921DD" w:rsidRPr="00CA023E" w:rsidRDefault="008C46B1" w:rsidP="003921DD">
      <w:pPr>
        <w:spacing w:line="480" w:lineRule="auto"/>
        <w:rPr>
          <w:rFonts w:eastAsiaTheme="minorEastAsia"/>
          <w:b/>
          <w:bCs/>
        </w:rPr>
      </w:pPr>
      <w:r>
        <w:rPr>
          <w:b/>
          <w:bCs/>
        </w:rPr>
        <w:lastRenderedPageBreak/>
        <w:t>A</w:t>
      </w:r>
      <w:r w:rsidR="000531F4" w:rsidRPr="000531F4">
        <w:rPr>
          <w:b/>
          <w:bCs/>
        </w:rPr>
        <w:t xml:space="preserve">ppendix </w:t>
      </w:r>
      <w:r w:rsidR="00D10290">
        <w:rPr>
          <w:b/>
          <w:bCs/>
        </w:rPr>
        <w:t>S</w:t>
      </w:r>
      <w:r w:rsidR="00C62819">
        <w:rPr>
          <w:b/>
          <w:bCs/>
        </w:rPr>
        <w:t>2</w:t>
      </w:r>
      <w:r w:rsidR="000531F4" w:rsidRPr="000531F4">
        <w:rPr>
          <w:b/>
          <w:bCs/>
        </w:rPr>
        <w:t xml:space="preserve">. </w:t>
      </w:r>
      <w:r w:rsidR="003921DD" w:rsidRPr="00CA023E">
        <w:rPr>
          <w:rFonts w:eastAsiaTheme="minorEastAsia"/>
          <w:b/>
          <w:bCs/>
        </w:rPr>
        <w:t>Simulation study to evaluate the ability of generalized linear models to recover population trends while ignoring cycl</w:t>
      </w:r>
      <w:r w:rsidR="003921DD">
        <w:rPr>
          <w:rFonts w:eastAsiaTheme="minorEastAsia"/>
          <w:b/>
          <w:bCs/>
        </w:rPr>
        <w:t>ical patterns</w:t>
      </w:r>
      <w:r w:rsidR="003921DD" w:rsidRPr="00CA023E">
        <w:rPr>
          <w:rFonts w:eastAsiaTheme="minorEastAsia"/>
          <w:b/>
          <w:bCs/>
        </w:rPr>
        <w:t>.</w:t>
      </w:r>
    </w:p>
    <w:p w14:paraId="10D070F4" w14:textId="77777777" w:rsidR="003921DD" w:rsidRPr="00CA023E" w:rsidRDefault="003921DD" w:rsidP="003921DD">
      <w:pPr>
        <w:spacing w:line="480" w:lineRule="auto"/>
        <w:rPr>
          <w:rFonts w:eastAsiaTheme="minorEastAsia"/>
        </w:rPr>
      </w:pPr>
      <w:r w:rsidRPr="00CA023E">
        <w:rPr>
          <w:rFonts w:eastAsiaTheme="minorEastAsia"/>
        </w:rPr>
        <w:t>We used simulations to test whether models used here could recover population trend estimates from abundance of nests of an irruptive species having characteristics</w:t>
      </w:r>
      <w:r>
        <w:rPr>
          <w:rFonts w:eastAsiaTheme="minorEastAsia"/>
        </w:rPr>
        <w:t xml:space="preserve"> </w:t>
      </w:r>
      <w:proofErr w:type="gramStart"/>
      <w:r>
        <w:rPr>
          <w:rFonts w:eastAsiaTheme="minorEastAsia"/>
        </w:rPr>
        <w:t>similar</w:t>
      </w:r>
      <w:r w:rsidRPr="00CA023E">
        <w:rPr>
          <w:rFonts w:eastAsiaTheme="minorEastAsia"/>
        </w:rPr>
        <w:t xml:space="preserve"> to</w:t>
      </w:r>
      <w:proofErr w:type="gramEnd"/>
      <w:r w:rsidRPr="00CA023E">
        <w:rPr>
          <w:rFonts w:eastAsiaTheme="minorEastAsia"/>
        </w:rPr>
        <w:t xml:space="preserve"> populations of </w:t>
      </w:r>
      <w:r>
        <w:rPr>
          <w:rFonts w:eastAsiaTheme="minorEastAsia"/>
        </w:rPr>
        <w:t>s</w:t>
      </w:r>
      <w:r w:rsidRPr="00CA023E">
        <w:rPr>
          <w:rFonts w:eastAsiaTheme="minorEastAsia"/>
        </w:rPr>
        <w:t xml:space="preserve">nowy </w:t>
      </w:r>
      <w:r>
        <w:rPr>
          <w:rFonts w:eastAsiaTheme="minorEastAsia"/>
        </w:rPr>
        <w:t>o</w:t>
      </w:r>
      <w:r w:rsidRPr="00CA023E">
        <w:rPr>
          <w:rFonts w:eastAsiaTheme="minorEastAsia"/>
        </w:rPr>
        <w:t xml:space="preserve">wl while ignoring cyclical patterns induced by predator-prey interactions. We simulated abundance data that coarsely mimicked </w:t>
      </w:r>
      <w:r>
        <w:rPr>
          <w:rFonts w:eastAsiaTheme="minorEastAsia"/>
        </w:rPr>
        <w:t>those of the s</w:t>
      </w:r>
      <w:r w:rsidRPr="00CA023E">
        <w:rPr>
          <w:rFonts w:eastAsiaTheme="minorEastAsia"/>
        </w:rPr>
        <w:t xml:space="preserve">nowy </w:t>
      </w:r>
      <w:r>
        <w:rPr>
          <w:rFonts w:eastAsiaTheme="minorEastAsia"/>
        </w:rPr>
        <w:t>o</w:t>
      </w:r>
      <w:r w:rsidRPr="00CA023E">
        <w:rPr>
          <w:rFonts w:eastAsiaTheme="minorEastAsia"/>
        </w:rPr>
        <w:t>wl and recovered estimates with regression models to compare with true (i.e.</w:t>
      </w:r>
      <w:r>
        <w:rPr>
          <w:rFonts w:eastAsiaTheme="minorEastAsia"/>
        </w:rPr>
        <w:t>,</w:t>
      </w:r>
      <w:r w:rsidRPr="00CA023E">
        <w:rPr>
          <w:rFonts w:eastAsiaTheme="minorEastAsia"/>
        </w:rPr>
        <w:t xml:space="preserve"> simula</w:t>
      </w:r>
      <w:r>
        <w:rPr>
          <w:rFonts w:eastAsiaTheme="minorEastAsia"/>
        </w:rPr>
        <w:t>t</w:t>
      </w:r>
      <w:r w:rsidRPr="00CA023E">
        <w:rPr>
          <w:rFonts w:eastAsiaTheme="minorEastAsia"/>
        </w:rPr>
        <w:t xml:space="preserve">ed) values. </w:t>
      </w:r>
    </w:p>
    <w:p w14:paraId="278A0B7F" w14:textId="77777777" w:rsidR="003921DD" w:rsidRPr="00CA023E" w:rsidRDefault="003921DD" w:rsidP="003921DD">
      <w:pPr>
        <w:spacing w:line="480" w:lineRule="auto"/>
        <w:rPr>
          <w:rFonts w:eastAsiaTheme="minorEastAsia"/>
          <w:b/>
          <w:bCs/>
        </w:rPr>
      </w:pPr>
      <w:r w:rsidRPr="00CA023E">
        <w:rPr>
          <w:rFonts w:eastAsiaTheme="minorEastAsia"/>
          <w:b/>
          <w:bCs/>
        </w:rPr>
        <w:t xml:space="preserve">Methods </w:t>
      </w:r>
    </w:p>
    <w:p w14:paraId="75E7CC38" w14:textId="77777777" w:rsidR="003921DD" w:rsidRPr="00CA023E" w:rsidRDefault="003921DD" w:rsidP="003921DD">
      <w:pPr>
        <w:spacing w:line="480" w:lineRule="auto"/>
        <w:rPr>
          <w:rFonts w:eastAsiaTheme="minorEastAsia"/>
        </w:rPr>
      </w:pPr>
      <w:r w:rsidRPr="00CA023E">
        <w:rPr>
          <w:rFonts w:eastAsiaTheme="minorEastAsia"/>
        </w:rPr>
        <w:t>To simulate counts (</w:t>
      </w:r>
      <m:oMath>
        <m:r>
          <w:rPr>
            <w:rFonts w:ascii="Cambria Math" w:eastAsiaTheme="minorEastAsia" w:hAnsi="Cambria Math"/>
          </w:rPr>
          <m:t>y</m:t>
        </m:r>
      </m:oMath>
      <w:r w:rsidRPr="00CA023E">
        <w:rPr>
          <w:rFonts w:eastAsiaTheme="minorEastAsia"/>
        </w:rPr>
        <w:t xml:space="preserve">) of an irruptive species, we used a zero-inflated distribution: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~Poisson(</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oMath>
      <w:r w:rsidRPr="00CA023E">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~Bernoulli(</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t</m:t>
            </m:r>
          </m:sub>
        </m:sSub>
        <m:r>
          <w:rPr>
            <w:rFonts w:ascii="Cambria Math" w:eastAsiaTheme="minorEastAsia" w:hAnsi="Cambria Math"/>
          </w:rPr>
          <m:t>)</m:t>
        </m:r>
      </m:oMath>
      <w:r w:rsidRPr="00CA023E">
        <w:rPr>
          <w:rFonts w:eastAsiaTheme="minorEastAsia"/>
        </w:rPr>
        <w:t>. We simulated abundance (</w:t>
      </w:r>
      <m:oMath>
        <m:r>
          <w:rPr>
            <w:rFonts w:ascii="Cambria Math" w:eastAsiaTheme="minorEastAsia" w:hAnsi="Cambria Math"/>
          </w:rPr>
          <m:t>μ</m:t>
        </m:r>
      </m:oMath>
      <w:r w:rsidRPr="00CA023E">
        <w:rPr>
          <w:rFonts w:eastAsiaTheme="minorEastAsia"/>
        </w:rPr>
        <w:t>) so it remained stable or changed linearly over time (</w:t>
      </w:r>
      <w:r w:rsidRPr="00CA023E">
        <w:rPr>
          <w:rFonts w:eastAsiaTheme="minorEastAsia"/>
          <w:i/>
          <w:iCs/>
        </w:rPr>
        <w:t>t</w:t>
      </w:r>
      <w:r w:rsidRPr="00CA023E">
        <w:rPr>
          <w:rFonts w:eastAsiaTheme="minorEastAsia"/>
        </w:rPr>
        <w:t xml:space="preserve">) depending on the scenario. A 30-year temporal trend of abundance (hereafter population trend) was controlled by the parameter </w:t>
      </w:r>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sidRPr="00CA023E">
        <w:rPr>
          <w:rFonts w:eastAsiaTheme="minorEastAsia"/>
        </w:rPr>
        <w:t xml:space="preserve"> as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t</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exp</m:t>
            </m:r>
          </m:fName>
          <m:e>
            <m:d>
              <m:dPr>
                <m:ctrlPr>
                  <w:rPr>
                    <w:rFonts w:ascii="Cambria Math" w:eastAsiaTheme="minorEastAsia" w:hAnsi="Cambria Math"/>
                    <w:i/>
                  </w:rPr>
                </m:ctrlPr>
              </m:dPr>
              <m:e>
                <w:bookmarkStart w:id="1" w:name="_Hlk140658473"/>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0</m:t>
                    </m:r>
                  </m:sub>
                </m:sSub>
                <w:bookmarkEnd w:id="1"/>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year</m:t>
                    </m:r>
                  </m:e>
                  <m:sub>
                    <m:r>
                      <w:rPr>
                        <w:rFonts w:ascii="Cambria Math" w:eastAsiaTheme="minorEastAsia" w:hAnsi="Cambria Math"/>
                      </w:rPr>
                      <m:t>t</m:t>
                    </m:r>
                  </m:sub>
                </m:sSub>
              </m:e>
            </m:d>
          </m:e>
        </m:func>
      </m:oMath>
      <w:r w:rsidRPr="00CA023E">
        <w:rPr>
          <w:rFonts w:eastAsiaTheme="minorEastAsia"/>
        </w:rPr>
        <w:t xml:space="preserve"> where year was a temporal covariate for breeding season scaled to range between -1 and 1. To mimic cycles from predator-prey interactions, we simulated cyclical changes of </w:t>
      </w:r>
      <w:r>
        <w:rPr>
          <w:rFonts w:eastAsiaTheme="minorEastAsia"/>
        </w:rPr>
        <w:t>habitat suitability</w:t>
      </w:r>
      <w:r w:rsidRPr="00CA023E">
        <w:rPr>
          <w:rFonts w:eastAsiaTheme="minorEastAsia"/>
        </w:rPr>
        <w:t xml:space="preserve"> using a zero-inflation parameter (</w:t>
      </w:r>
      <m:oMath>
        <m:r>
          <w:rPr>
            <w:rFonts w:ascii="Cambria Math" w:eastAsiaTheme="minorEastAsia" w:hAnsi="Cambria Math"/>
          </w:rPr>
          <m:t>ψ</m:t>
        </m:r>
      </m:oMath>
      <w:r w:rsidRPr="00CA023E">
        <w:rPr>
          <w:rFonts w:eastAsiaTheme="minorEastAsia"/>
        </w:rPr>
        <w:t xml:space="preserve">) that accounted for an excess number of zeroes within counts compared to a standard Poisson distribution. </w:t>
      </w:r>
    </w:p>
    <w:p w14:paraId="58926C50" w14:textId="77777777" w:rsidR="003921DD" w:rsidRPr="00CA023E" w:rsidRDefault="00000000" w:rsidP="003921DD">
      <w:pPr>
        <w:spacing w:line="480" w:lineRule="auto"/>
        <w:ind w:firstLine="7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t</m:t>
              </m:r>
            </m:sub>
          </m:sSub>
          <m:r>
            <w:rPr>
              <w:rFonts w:ascii="Cambria Math" w:eastAsiaTheme="minorEastAsia" w:hAnsi="Cambria Math"/>
            </w:rPr>
            <m:t>=ilogit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r>
                <m:rPr>
                  <m:sty m:val="p"/>
                </m:rPr>
                <w:rPr>
                  <w:rFonts w:ascii="Cambria Math" w:eastAsiaTheme="minorEastAsia" w:hAnsi="Cambria Math"/>
                </w:rPr>
                <m:t>sin⁡(</m:t>
              </m:r>
              <m:r>
                <w:rPr>
                  <w:rFonts w:ascii="Cambria Math" w:eastAsiaTheme="minorEastAsia" w:hAnsi="Cambria Math"/>
                </w:rPr>
                <m:t>2π</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year</m:t>
                          </m:r>
                        </m:e>
                        <m:sub>
                          <m:r>
                            <w:rPr>
                              <w:rFonts w:ascii="Cambria Math" w:eastAsiaTheme="minorEastAsia" w:hAnsi="Cambria Math"/>
                            </w:rPr>
                            <m:t>t</m:t>
                          </m:r>
                        </m:sub>
                      </m:sSub>
                    </m:num>
                    <m:den>
                      <m:r>
                        <w:rPr>
                          <w:rFonts w:ascii="Cambria Math" w:eastAsiaTheme="minorEastAsia" w:hAnsi="Cambria Math"/>
                        </w:rPr>
                        <m:t>period</m:t>
                      </m:r>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r>
                <m:rPr>
                  <m:sty m:val="p"/>
                </m:rPr>
                <w:rPr>
                  <w:rFonts w:ascii="Cambria Math" w:eastAsiaTheme="minorEastAsia" w:hAnsi="Cambria Math"/>
                </w:rPr>
                <m:t>cos⁡</m:t>
              </m:r>
              <m:r>
                <w:rPr>
                  <w:rFonts w:ascii="Cambria Math" w:eastAsiaTheme="minorEastAsia" w:hAnsi="Cambria Math"/>
                </w:rPr>
                <m:t>(2π</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year</m:t>
                          </m:r>
                        </m:e>
                        <m:sub>
                          <m:r>
                            <w:rPr>
                              <w:rFonts w:ascii="Cambria Math" w:eastAsiaTheme="minorEastAsia" w:hAnsi="Cambria Math"/>
                            </w:rPr>
                            <m:t>t</m:t>
                          </m:r>
                        </m:sub>
                      </m:sSub>
                    </m:num>
                    <m:den>
                      <m:r>
                        <w:rPr>
                          <w:rFonts w:ascii="Cambria Math" w:eastAsiaTheme="minorEastAsia" w:hAnsi="Cambria Math"/>
                        </w:rPr>
                        <m:t>period</m:t>
                      </m:r>
                    </m:den>
                  </m:f>
                </m:e>
              </m:d>
              <m:r>
                <w:rPr>
                  <w:rFonts w:ascii="Cambria Math" w:eastAsiaTheme="minorEastAsia" w:hAnsi="Cambria Math"/>
                </w:rPr>
                <m:t>)</m:t>
              </m:r>
            </m:e>
          </m:d>
        </m:oMath>
      </m:oMathPara>
    </w:p>
    <w:p w14:paraId="04522F87" w14:textId="5BF118C1" w:rsidR="003921DD" w:rsidRDefault="003921DD" w:rsidP="003921DD">
      <w:pPr>
        <w:spacing w:line="480" w:lineRule="auto"/>
        <w:ind w:firstLine="720"/>
        <w:rPr>
          <w:rFonts w:eastAsiaTheme="minorEastAsia"/>
        </w:rPr>
        <w:sectPr w:rsidR="003921DD" w:rsidSect="00E8287E">
          <w:pgSz w:w="12240" w:h="15840"/>
          <w:pgMar w:top="1440" w:right="1440" w:bottom="1440" w:left="1440" w:header="720" w:footer="720" w:gutter="0"/>
          <w:cols w:space="720"/>
          <w:docGrid w:linePitch="360"/>
        </w:sectPr>
      </w:pPr>
      <w:r w:rsidRPr="00CA023E">
        <w:rPr>
          <w:rFonts w:eastAsiaTheme="minorEastAsia"/>
        </w:rPr>
        <w:t xml:space="preserve">For all simulations we set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=2</m:t>
        </m:r>
      </m:oMath>
      <w:r w:rsidRPr="00CA023E">
        <w:rPr>
          <w:rFonts w:eastAsiaTheme="minorEastAsia"/>
        </w:rPr>
        <w:t xml:space="preserve"> and </w:t>
      </w:r>
      <m:oMath>
        <m:r>
          <w:rPr>
            <w:rFonts w:ascii="Cambria Math" w:eastAsiaTheme="minorEastAsia" w:hAnsi="Cambria Math"/>
          </w:rPr>
          <m:t>period=4</m:t>
        </m:r>
      </m:oMath>
      <w:r w:rsidRPr="00CA023E">
        <w:rPr>
          <w:rFonts w:eastAsiaTheme="minorEastAsia"/>
        </w:rPr>
        <w:t xml:space="preserve"> time steps to approximate cycle duration </w:t>
      </w:r>
      <w:r>
        <w:rPr>
          <w:rFonts w:eastAsiaTheme="minorEastAsia"/>
        </w:rPr>
        <w:t xml:space="preserve">typical of lemmings across the circumpolar region (Gauthier et al. 2024). </w:t>
      </w:r>
      <w:r w:rsidRPr="00CA023E">
        <w:rPr>
          <w:rFonts w:eastAsiaTheme="minorEastAsia"/>
        </w:rPr>
        <w:t>For each scenario, we simulated 1</w:t>
      </w:r>
      <w:r w:rsidR="00354C73">
        <w:rPr>
          <w:rFonts w:eastAsiaTheme="minorEastAsia"/>
        </w:rPr>
        <w:t>,</w:t>
      </w:r>
      <w:r w:rsidRPr="00CA023E">
        <w:rPr>
          <w:rFonts w:eastAsiaTheme="minorEastAsia"/>
        </w:rPr>
        <w:t xml:space="preserve">000 time series data sets. We considered </w:t>
      </w:r>
      <w:r w:rsidR="00354C73">
        <w:rPr>
          <w:rFonts w:eastAsiaTheme="minorEastAsia"/>
        </w:rPr>
        <w:t>three</w:t>
      </w:r>
      <w:r w:rsidRPr="00CA023E">
        <w:rPr>
          <w:rFonts w:eastAsiaTheme="minorEastAsia"/>
        </w:rPr>
        <w:t xml:space="preserve"> scenarios, each with </w:t>
      </w:r>
      <w:r w:rsidR="00354C73">
        <w:rPr>
          <w:rFonts w:eastAsiaTheme="minorEastAsia"/>
        </w:rPr>
        <w:t>three</w:t>
      </w:r>
      <w:r w:rsidRPr="00CA023E">
        <w:rPr>
          <w:rFonts w:eastAsiaTheme="minorEastAsia"/>
        </w:rPr>
        <w:t xml:space="preserve"> to </w:t>
      </w:r>
      <w:r w:rsidR="00354C73">
        <w:rPr>
          <w:rFonts w:eastAsiaTheme="minorEastAsia"/>
        </w:rPr>
        <w:t>five</w:t>
      </w:r>
      <w:r w:rsidRPr="00CA023E">
        <w:rPr>
          <w:rFonts w:eastAsiaTheme="minorEastAsia"/>
        </w:rPr>
        <w:t xml:space="preserve"> sets of parameters (Table A</w:t>
      </w:r>
      <w:r>
        <w:rPr>
          <w:rFonts w:eastAsiaTheme="minorEastAsia"/>
        </w:rPr>
        <w:t>2</w:t>
      </w:r>
      <w:r w:rsidRPr="00CA023E">
        <w:rPr>
          <w:rFonts w:eastAsiaTheme="minorEastAsia"/>
        </w:rPr>
        <w:t>) where we varied mean abundance, population trend, and duration of monitoring period. Examples of simulated data are depicted in Fig A</w:t>
      </w:r>
      <w:r>
        <w:rPr>
          <w:rFonts w:eastAsiaTheme="minorEastAsia"/>
        </w:rPr>
        <w:t>1</w:t>
      </w:r>
      <w:r w:rsidRPr="00CA023E">
        <w:rPr>
          <w:rFonts w:eastAsiaTheme="minorEastAsia"/>
        </w:rPr>
        <w:t xml:space="preserve">. </w:t>
      </w:r>
    </w:p>
    <w:p w14:paraId="5FF60830" w14:textId="58049965" w:rsidR="003921DD" w:rsidRPr="00136099" w:rsidRDefault="003921DD" w:rsidP="003921DD">
      <w:pPr>
        <w:spacing w:line="480" w:lineRule="auto"/>
      </w:pPr>
      <w:r w:rsidRPr="00136099">
        <w:lastRenderedPageBreak/>
        <w:t xml:space="preserve">Table </w:t>
      </w:r>
      <w:r w:rsidR="00D10290">
        <w:t>S</w:t>
      </w:r>
      <w:r>
        <w:t>2</w:t>
      </w:r>
      <w:r w:rsidRPr="00136099">
        <w:t>. Parameter sets used during three simulation scenarios. We assessed relative bias and coverage in the estimation by models of temporal population trends from 1</w:t>
      </w:r>
      <w:r w:rsidR="009440FB">
        <w:t>,</w:t>
      </w:r>
      <w:r w:rsidRPr="00136099">
        <w:t xml:space="preserve">000 simulations for each set of parameters. </w:t>
      </w:r>
      <w:r w:rsidRPr="002754FB">
        <w:t>A negative binomial distribution was used to estimate population trends in all simulations</w:t>
      </w:r>
      <w:r>
        <w:t>.</w:t>
      </w:r>
    </w:p>
    <w:tbl>
      <w:tblPr>
        <w:tblStyle w:val="TableGrid"/>
        <w:tblW w:w="80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309"/>
        <w:gridCol w:w="1257"/>
        <w:gridCol w:w="1440"/>
        <w:gridCol w:w="1440"/>
        <w:gridCol w:w="1296"/>
      </w:tblGrid>
      <w:tr w:rsidR="003921DD" w:rsidRPr="00136099" w14:paraId="58CB2536" w14:textId="77777777" w:rsidTr="00546089">
        <w:trPr>
          <w:jc w:val="center"/>
        </w:trPr>
        <w:tc>
          <w:tcPr>
            <w:tcW w:w="1350" w:type="dxa"/>
            <w:tcBorders>
              <w:top w:val="single" w:sz="4" w:space="0" w:color="auto"/>
              <w:bottom w:val="single" w:sz="4" w:space="0" w:color="auto"/>
            </w:tcBorders>
            <w:vAlign w:val="center"/>
          </w:tcPr>
          <w:p w14:paraId="7CA4F17A" w14:textId="77777777" w:rsidR="003921DD" w:rsidRPr="00136099" w:rsidRDefault="003921DD" w:rsidP="00546089">
            <w:pPr>
              <w:spacing w:line="480" w:lineRule="auto"/>
            </w:pPr>
            <w:r w:rsidRPr="00136099">
              <w:t>Scenario name</w:t>
            </w:r>
          </w:p>
        </w:tc>
        <w:tc>
          <w:tcPr>
            <w:tcW w:w="1309" w:type="dxa"/>
            <w:tcBorders>
              <w:top w:val="single" w:sz="4" w:space="0" w:color="auto"/>
              <w:bottom w:val="single" w:sz="4" w:space="0" w:color="auto"/>
            </w:tcBorders>
            <w:vAlign w:val="center"/>
          </w:tcPr>
          <w:p w14:paraId="5ED0BF91" w14:textId="77777777" w:rsidR="003921DD" w:rsidRPr="00136099" w:rsidRDefault="003921DD" w:rsidP="00546089">
            <w:pPr>
              <w:spacing w:line="480" w:lineRule="auto"/>
            </w:pPr>
            <w:r w:rsidRPr="00136099">
              <w:t>Mean abundance (</w:t>
            </w:r>
            <m:oMath>
              <m:sSub>
                <m:sSubPr>
                  <m:ctrlPr>
                    <w:rPr>
                      <w:rFonts w:ascii="Cambria Math" w:hAnsi="Cambria Math"/>
                      <w:i/>
                    </w:rPr>
                  </m:ctrlPr>
                </m:sSubPr>
                <m:e>
                  <m:r>
                    <w:rPr>
                      <w:rFonts w:ascii="Cambria Math" w:hAnsi="Cambria Math"/>
                    </w:rPr>
                    <m:t>δ</m:t>
                  </m:r>
                </m:e>
                <m:sub>
                  <m:r>
                    <w:rPr>
                      <w:rFonts w:ascii="Cambria Math" w:hAnsi="Cambria Math"/>
                    </w:rPr>
                    <m:t>0</m:t>
                  </m:r>
                </m:sub>
              </m:sSub>
            </m:oMath>
            <w:r w:rsidRPr="00136099">
              <w:t>)</w:t>
            </w:r>
          </w:p>
        </w:tc>
        <w:tc>
          <w:tcPr>
            <w:tcW w:w="1257" w:type="dxa"/>
            <w:tcBorders>
              <w:top w:val="single" w:sz="4" w:space="0" w:color="auto"/>
              <w:bottom w:val="single" w:sz="4" w:space="0" w:color="auto"/>
            </w:tcBorders>
            <w:vAlign w:val="center"/>
          </w:tcPr>
          <w:p w14:paraId="09520D66" w14:textId="77777777" w:rsidR="003921DD" w:rsidRPr="00136099" w:rsidRDefault="003921DD" w:rsidP="00546089">
            <w:pPr>
              <w:spacing w:line="480" w:lineRule="auto"/>
            </w:pPr>
            <w:r w:rsidRPr="00136099">
              <w:t>Population trend (</w:t>
            </w:r>
            <m:oMath>
              <m:sSub>
                <m:sSubPr>
                  <m:ctrlPr>
                    <w:rPr>
                      <w:rFonts w:ascii="Cambria Math" w:hAnsi="Cambria Math"/>
                      <w:i/>
                    </w:rPr>
                  </m:ctrlPr>
                </m:sSubPr>
                <m:e>
                  <m:r>
                    <w:rPr>
                      <w:rFonts w:ascii="Cambria Math" w:hAnsi="Cambria Math"/>
                    </w:rPr>
                    <m:t>δ</m:t>
                  </m:r>
                </m:e>
                <m:sub>
                  <m:r>
                    <w:rPr>
                      <w:rFonts w:ascii="Cambria Math" w:hAnsi="Cambria Math"/>
                    </w:rPr>
                    <m:t>1</m:t>
                  </m:r>
                </m:sub>
              </m:sSub>
            </m:oMath>
            <w:r w:rsidRPr="00136099">
              <w:t>)</w:t>
            </w:r>
          </w:p>
        </w:tc>
        <w:tc>
          <w:tcPr>
            <w:tcW w:w="1440" w:type="dxa"/>
            <w:tcBorders>
              <w:top w:val="single" w:sz="4" w:space="0" w:color="auto"/>
              <w:bottom w:val="single" w:sz="4" w:space="0" w:color="auto"/>
            </w:tcBorders>
            <w:vAlign w:val="center"/>
          </w:tcPr>
          <w:p w14:paraId="2BD8AEDD" w14:textId="77777777" w:rsidR="003921DD" w:rsidRPr="00136099" w:rsidRDefault="003921DD" w:rsidP="00546089">
            <w:pPr>
              <w:spacing w:line="480" w:lineRule="auto"/>
            </w:pPr>
            <w:r w:rsidRPr="00136099">
              <w:t>Duration of monitoring (time steps)</w:t>
            </w:r>
          </w:p>
        </w:tc>
        <w:tc>
          <w:tcPr>
            <w:tcW w:w="1440" w:type="dxa"/>
            <w:tcBorders>
              <w:top w:val="single" w:sz="4" w:space="0" w:color="auto"/>
              <w:bottom w:val="single" w:sz="4" w:space="0" w:color="auto"/>
            </w:tcBorders>
            <w:vAlign w:val="center"/>
          </w:tcPr>
          <w:p w14:paraId="32B91F97" w14:textId="77777777" w:rsidR="003921DD" w:rsidRPr="00136099" w:rsidRDefault="003921DD" w:rsidP="00546089">
            <w:pPr>
              <w:spacing w:line="480" w:lineRule="auto"/>
            </w:pPr>
            <w:r w:rsidRPr="00136099">
              <w:t>Relative bias</w:t>
            </w:r>
          </w:p>
        </w:tc>
        <w:tc>
          <w:tcPr>
            <w:tcW w:w="1296" w:type="dxa"/>
            <w:tcBorders>
              <w:top w:val="single" w:sz="4" w:space="0" w:color="auto"/>
              <w:bottom w:val="single" w:sz="4" w:space="0" w:color="auto"/>
            </w:tcBorders>
            <w:vAlign w:val="center"/>
          </w:tcPr>
          <w:p w14:paraId="02FDAC64" w14:textId="77777777" w:rsidR="003921DD" w:rsidRPr="00136099" w:rsidRDefault="003921DD" w:rsidP="00546089">
            <w:pPr>
              <w:spacing w:line="480" w:lineRule="auto"/>
            </w:pPr>
            <w:r w:rsidRPr="00136099">
              <w:t>Coverage</w:t>
            </w:r>
          </w:p>
        </w:tc>
      </w:tr>
      <w:tr w:rsidR="003921DD" w:rsidRPr="00136099" w14:paraId="1BEAF648" w14:textId="77777777" w:rsidTr="00546089">
        <w:trPr>
          <w:jc w:val="center"/>
        </w:trPr>
        <w:tc>
          <w:tcPr>
            <w:tcW w:w="1350" w:type="dxa"/>
            <w:vAlign w:val="center"/>
          </w:tcPr>
          <w:p w14:paraId="045F5AE5" w14:textId="77777777" w:rsidR="003921DD" w:rsidRPr="00136099" w:rsidRDefault="003921DD" w:rsidP="00546089">
            <w:pPr>
              <w:spacing w:line="480" w:lineRule="auto"/>
            </w:pPr>
            <w:r w:rsidRPr="00136099">
              <w:t>Population trend</w:t>
            </w:r>
          </w:p>
        </w:tc>
        <w:tc>
          <w:tcPr>
            <w:tcW w:w="1309" w:type="dxa"/>
            <w:vAlign w:val="center"/>
          </w:tcPr>
          <w:p w14:paraId="592EB83D" w14:textId="77777777" w:rsidR="003921DD" w:rsidRPr="00136099" w:rsidRDefault="003921DD" w:rsidP="00546089">
            <w:pPr>
              <w:spacing w:line="480" w:lineRule="auto"/>
            </w:pPr>
            <w:r w:rsidRPr="00136099">
              <w:t>10</w:t>
            </w:r>
          </w:p>
        </w:tc>
        <w:tc>
          <w:tcPr>
            <w:tcW w:w="1257" w:type="dxa"/>
            <w:vAlign w:val="center"/>
          </w:tcPr>
          <w:p w14:paraId="705EED13" w14:textId="77777777" w:rsidR="003921DD" w:rsidRPr="00136099" w:rsidRDefault="003921DD" w:rsidP="00546089">
            <w:pPr>
              <w:spacing w:line="480" w:lineRule="auto"/>
            </w:pPr>
            <w:r w:rsidRPr="00136099">
              <w:t>-0.70</w:t>
            </w:r>
          </w:p>
        </w:tc>
        <w:tc>
          <w:tcPr>
            <w:tcW w:w="1440" w:type="dxa"/>
            <w:vAlign w:val="center"/>
          </w:tcPr>
          <w:p w14:paraId="04B9E7D8" w14:textId="77777777" w:rsidR="003921DD" w:rsidRPr="00136099" w:rsidRDefault="003921DD" w:rsidP="00546089">
            <w:pPr>
              <w:spacing w:line="480" w:lineRule="auto"/>
            </w:pPr>
            <w:r w:rsidRPr="00136099">
              <w:t>30</w:t>
            </w:r>
          </w:p>
        </w:tc>
        <w:tc>
          <w:tcPr>
            <w:tcW w:w="1440" w:type="dxa"/>
            <w:tcBorders>
              <w:top w:val="single" w:sz="4" w:space="0" w:color="auto"/>
            </w:tcBorders>
            <w:vAlign w:val="center"/>
          </w:tcPr>
          <w:p w14:paraId="6AFFF958" w14:textId="77777777" w:rsidR="003921DD" w:rsidRPr="00136099" w:rsidRDefault="003921DD" w:rsidP="00546089">
            <w:pPr>
              <w:spacing w:line="480" w:lineRule="auto"/>
            </w:pPr>
            <w:r w:rsidRPr="00136099">
              <w:t>-0.11 (0.68)</w:t>
            </w:r>
          </w:p>
        </w:tc>
        <w:tc>
          <w:tcPr>
            <w:tcW w:w="1296" w:type="dxa"/>
            <w:tcBorders>
              <w:top w:val="single" w:sz="4" w:space="0" w:color="auto"/>
            </w:tcBorders>
            <w:vAlign w:val="center"/>
          </w:tcPr>
          <w:p w14:paraId="790DA7CA" w14:textId="77777777" w:rsidR="003921DD" w:rsidRPr="00136099" w:rsidRDefault="003921DD" w:rsidP="00546089">
            <w:pPr>
              <w:spacing w:line="480" w:lineRule="auto"/>
            </w:pPr>
            <w:r w:rsidRPr="00136099">
              <w:t>0.98</w:t>
            </w:r>
          </w:p>
        </w:tc>
      </w:tr>
      <w:tr w:rsidR="003921DD" w:rsidRPr="00136099" w14:paraId="39304A06" w14:textId="77777777" w:rsidTr="00546089">
        <w:trPr>
          <w:jc w:val="center"/>
        </w:trPr>
        <w:tc>
          <w:tcPr>
            <w:tcW w:w="1350" w:type="dxa"/>
            <w:vAlign w:val="center"/>
          </w:tcPr>
          <w:p w14:paraId="1FF6F26A" w14:textId="77777777" w:rsidR="003921DD" w:rsidRPr="00136099" w:rsidRDefault="003921DD" w:rsidP="00546089">
            <w:pPr>
              <w:spacing w:line="480" w:lineRule="auto"/>
            </w:pPr>
          </w:p>
        </w:tc>
        <w:tc>
          <w:tcPr>
            <w:tcW w:w="1309" w:type="dxa"/>
            <w:vAlign w:val="center"/>
          </w:tcPr>
          <w:p w14:paraId="5FBE8035" w14:textId="77777777" w:rsidR="003921DD" w:rsidRPr="00136099" w:rsidRDefault="003921DD" w:rsidP="00546089">
            <w:pPr>
              <w:spacing w:line="480" w:lineRule="auto"/>
            </w:pPr>
            <w:r w:rsidRPr="00136099">
              <w:t>10</w:t>
            </w:r>
          </w:p>
        </w:tc>
        <w:tc>
          <w:tcPr>
            <w:tcW w:w="1257" w:type="dxa"/>
            <w:vAlign w:val="center"/>
          </w:tcPr>
          <w:p w14:paraId="2A4957D5" w14:textId="77777777" w:rsidR="003921DD" w:rsidRPr="00136099" w:rsidRDefault="003921DD" w:rsidP="00546089">
            <w:pPr>
              <w:spacing w:line="480" w:lineRule="auto"/>
            </w:pPr>
            <w:r w:rsidRPr="00136099">
              <w:t>-0.35</w:t>
            </w:r>
          </w:p>
        </w:tc>
        <w:tc>
          <w:tcPr>
            <w:tcW w:w="1440" w:type="dxa"/>
            <w:vAlign w:val="center"/>
          </w:tcPr>
          <w:p w14:paraId="5ABB5367" w14:textId="77777777" w:rsidR="003921DD" w:rsidRPr="00136099" w:rsidRDefault="003921DD" w:rsidP="00546089">
            <w:pPr>
              <w:spacing w:line="480" w:lineRule="auto"/>
            </w:pPr>
            <w:r w:rsidRPr="00136099">
              <w:t>30</w:t>
            </w:r>
          </w:p>
        </w:tc>
        <w:tc>
          <w:tcPr>
            <w:tcW w:w="1440" w:type="dxa"/>
            <w:vAlign w:val="center"/>
          </w:tcPr>
          <w:p w14:paraId="5F7B8C21" w14:textId="77777777" w:rsidR="003921DD" w:rsidRPr="00136099" w:rsidRDefault="003921DD" w:rsidP="00546089">
            <w:pPr>
              <w:spacing w:line="480" w:lineRule="auto"/>
            </w:pPr>
            <w:r w:rsidRPr="00136099">
              <w:t>-0.18 (1.36)</w:t>
            </w:r>
          </w:p>
        </w:tc>
        <w:tc>
          <w:tcPr>
            <w:tcW w:w="1296" w:type="dxa"/>
            <w:vAlign w:val="center"/>
          </w:tcPr>
          <w:p w14:paraId="21BBB58B" w14:textId="77777777" w:rsidR="003921DD" w:rsidRPr="00136099" w:rsidRDefault="003921DD" w:rsidP="00546089">
            <w:pPr>
              <w:spacing w:line="480" w:lineRule="auto"/>
            </w:pPr>
            <w:r w:rsidRPr="00136099">
              <w:t>0.98</w:t>
            </w:r>
          </w:p>
        </w:tc>
      </w:tr>
      <w:tr w:rsidR="003921DD" w:rsidRPr="00136099" w14:paraId="69C675C1" w14:textId="77777777" w:rsidTr="00546089">
        <w:trPr>
          <w:jc w:val="center"/>
        </w:trPr>
        <w:tc>
          <w:tcPr>
            <w:tcW w:w="1350" w:type="dxa"/>
            <w:vAlign w:val="center"/>
          </w:tcPr>
          <w:p w14:paraId="0C948852" w14:textId="77777777" w:rsidR="003921DD" w:rsidRPr="00136099" w:rsidRDefault="003921DD" w:rsidP="00546089">
            <w:pPr>
              <w:spacing w:line="480" w:lineRule="auto"/>
            </w:pPr>
          </w:p>
        </w:tc>
        <w:tc>
          <w:tcPr>
            <w:tcW w:w="1309" w:type="dxa"/>
            <w:vAlign w:val="center"/>
          </w:tcPr>
          <w:p w14:paraId="393E77D9" w14:textId="77777777" w:rsidR="003921DD" w:rsidRPr="00136099" w:rsidRDefault="003921DD" w:rsidP="00546089">
            <w:pPr>
              <w:spacing w:line="480" w:lineRule="auto"/>
            </w:pPr>
            <w:r w:rsidRPr="00136099">
              <w:t>10</w:t>
            </w:r>
          </w:p>
        </w:tc>
        <w:tc>
          <w:tcPr>
            <w:tcW w:w="1257" w:type="dxa"/>
            <w:vAlign w:val="center"/>
          </w:tcPr>
          <w:p w14:paraId="2C88934E" w14:textId="77777777" w:rsidR="003921DD" w:rsidRPr="00136099" w:rsidRDefault="003921DD" w:rsidP="00546089">
            <w:pPr>
              <w:spacing w:line="480" w:lineRule="auto"/>
            </w:pPr>
            <w:r w:rsidRPr="00136099">
              <w:t>0</w:t>
            </w:r>
          </w:p>
        </w:tc>
        <w:tc>
          <w:tcPr>
            <w:tcW w:w="1440" w:type="dxa"/>
            <w:vAlign w:val="center"/>
          </w:tcPr>
          <w:p w14:paraId="0E87D827" w14:textId="77777777" w:rsidR="003921DD" w:rsidRPr="00136099" w:rsidRDefault="003921DD" w:rsidP="00546089">
            <w:pPr>
              <w:spacing w:line="480" w:lineRule="auto"/>
            </w:pPr>
            <w:r w:rsidRPr="00136099">
              <w:t>30</w:t>
            </w:r>
          </w:p>
        </w:tc>
        <w:tc>
          <w:tcPr>
            <w:tcW w:w="1440" w:type="dxa"/>
            <w:vAlign w:val="center"/>
          </w:tcPr>
          <w:p w14:paraId="0C7C0838" w14:textId="77777777" w:rsidR="003921DD" w:rsidRPr="00136099" w:rsidRDefault="003921DD" w:rsidP="00546089">
            <w:pPr>
              <w:spacing w:line="480" w:lineRule="auto"/>
            </w:pPr>
            <w:r w:rsidRPr="00136099">
              <w:t>0.03 (0.49)</w:t>
            </w:r>
          </w:p>
        </w:tc>
        <w:tc>
          <w:tcPr>
            <w:tcW w:w="1296" w:type="dxa"/>
            <w:vAlign w:val="center"/>
          </w:tcPr>
          <w:p w14:paraId="0D53FABA" w14:textId="77777777" w:rsidR="003921DD" w:rsidRPr="00136099" w:rsidRDefault="003921DD" w:rsidP="00546089">
            <w:pPr>
              <w:spacing w:line="480" w:lineRule="auto"/>
            </w:pPr>
            <w:r w:rsidRPr="00136099">
              <w:t>0.97</w:t>
            </w:r>
          </w:p>
        </w:tc>
      </w:tr>
      <w:tr w:rsidR="003921DD" w:rsidRPr="00136099" w14:paraId="150CCD3F" w14:textId="77777777" w:rsidTr="00546089">
        <w:trPr>
          <w:jc w:val="center"/>
        </w:trPr>
        <w:tc>
          <w:tcPr>
            <w:tcW w:w="1350" w:type="dxa"/>
            <w:vAlign w:val="center"/>
          </w:tcPr>
          <w:p w14:paraId="7DA05230" w14:textId="77777777" w:rsidR="003921DD" w:rsidRPr="00136099" w:rsidRDefault="003921DD" w:rsidP="00546089">
            <w:pPr>
              <w:spacing w:line="480" w:lineRule="auto"/>
            </w:pPr>
          </w:p>
        </w:tc>
        <w:tc>
          <w:tcPr>
            <w:tcW w:w="1309" w:type="dxa"/>
            <w:vAlign w:val="center"/>
          </w:tcPr>
          <w:p w14:paraId="0A7DFCEB" w14:textId="77777777" w:rsidR="003921DD" w:rsidRPr="00136099" w:rsidRDefault="003921DD" w:rsidP="00546089">
            <w:pPr>
              <w:spacing w:line="480" w:lineRule="auto"/>
            </w:pPr>
            <w:r w:rsidRPr="00136099">
              <w:t>10</w:t>
            </w:r>
          </w:p>
        </w:tc>
        <w:tc>
          <w:tcPr>
            <w:tcW w:w="1257" w:type="dxa"/>
            <w:vAlign w:val="center"/>
          </w:tcPr>
          <w:p w14:paraId="1E5C720E" w14:textId="77777777" w:rsidR="003921DD" w:rsidRPr="00136099" w:rsidRDefault="003921DD" w:rsidP="00546089">
            <w:pPr>
              <w:spacing w:line="480" w:lineRule="auto"/>
            </w:pPr>
            <w:r w:rsidRPr="00136099">
              <w:t>0.35</w:t>
            </w:r>
          </w:p>
        </w:tc>
        <w:tc>
          <w:tcPr>
            <w:tcW w:w="1440" w:type="dxa"/>
            <w:vAlign w:val="center"/>
          </w:tcPr>
          <w:p w14:paraId="5B903CC8" w14:textId="77777777" w:rsidR="003921DD" w:rsidRPr="00136099" w:rsidRDefault="003921DD" w:rsidP="00546089">
            <w:pPr>
              <w:spacing w:line="480" w:lineRule="auto"/>
            </w:pPr>
            <w:r w:rsidRPr="00136099">
              <w:t>30</w:t>
            </w:r>
          </w:p>
        </w:tc>
        <w:tc>
          <w:tcPr>
            <w:tcW w:w="1440" w:type="dxa"/>
            <w:vAlign w:val="center"/>
          </w:tcPr>
          <w:p w14:paraId="47789940" w14:textId="77777777" w:rsidR="003921DD" w:rsidRPr="00136099" w:rsidRDefault="003921DD" w:rsidP="00546089">
            <w:pPr>
              <w:spacing w:line="480" w:lineRule="auto"/>
            </w:pPr>
            <w:r w:rsidRPr="00136099">
              <w:t>0.07 (1.32)</w:t>
            </w:r>
          </w:p>
        </w:tc>
        <w:tc>
          <w:tcPr>
            <w:tcW w:w="1296" w:type="dxa"/>
            <w:vAlign w:val="center"/>
          </w:tcPr>
          <w:p w14:paraId="789C08DC" w14:textId="77777777" w:rsidR="003921DD" w:rsidRPr="00136099" w:rsidRDefault="003921DD" w:rsidP="00546089">
            <w:pPr>
              <w:spacing w:line="480" w:lineRule="auto"/>
            </w:pPr>
            <w:r w:rsidRPr="00136099">
              <w:t>0.98</w:t>
            </w:r>
          </w:p>
        </w:tc>
      </w:tr>
      <w:tr w:rsidR="003921DD" w:rsidRPr="00136099" w14:paraId="54CEF790" w14:textId="77777777" w:rsidTr="00546089">
        <w:trPr>
          <w:jc w:val="center"/>
        </w:trPr>
        <w:tc>
          <w:tcPr>
            <w:tcW w:w="1350" w:type="dxa"/>
            <w:vAlign w:val="center"/>
          </w:tcPr>
          <w:p w14:paraId="272A9DF7" w14:textId="77777777" w:rsidR="003921DD" w:rsidRPr="00136099" w:rsidRDefault="003921DD" w:rsidP="00546089">
            <w:pPr>
              <w:spacing w:line="480" w:lineRule="auto"/>
            </w:pPr>
          </w:p>
        </w:tc>
        <w:tc>
          <w:tcPr>
            <w:tcW w:w="1309" w:type="dxa"/>
            <w:vAlign w:val="center"/>
          </w:tcPr>
          <w:p w14:paraId="28FAC96D" w14:textId="77777777" w:rsidR="003921DD" w:rsidRPr="00136099" w:rsidRDefault="003921DD" w:rsidP="00546089">
            <w:pPr>
              <w:spacing w:line="480" w:lineRule="auto"/>
            </w:pPr>
            <w:r w:rsidRPr="00136099">
              <w:t>10</w:t>
            </w:r>
          </w:p>
        </w:tc>
        <w:tc>
          <w:tcPr>
            <w:tcW w:w="1257" w:type="dxa"/>
            <w:vAlign w:val="center"/>
          </w:tcPr>
          <w:p w14:paraId="380E1305" w14:textId="77777777" w:rsidR="003921DD" w:rsidRPr="00136099" w:rsidRDefault="003921DD" w:rsidP="00546089">
            <w:pPr>
              <w:spacing w:line="480" w:lineRule="auto"/>
            </w:pPr>
            <w:r w:rsidRPr="00136099">
              <w:t>0.70</w:t>
            </w:r>
          </w:p>
        </w:tc>
        <w:tc>
          <w:tcPr>
            <w:tcW w:w="1440" w:type="dxa"/>
            <w:vAlign w:val="center"/>
          </w:tcPr>
          <w:p w14:paraId="0EFC780B" w14:textId="77777777" w:rsidR="003921DD" w:rsidRPr="00136099" w:rsidRDefault="003921DD" w:rsidP="00546089">
            <w:pPr>
              <w:spacing w:line="480" w:lineRule="auto"/>
            </w:pPr>
            <w:r w:rsidRPr="00136099">
              <w:t>30</w:t>
            </w:r>
          </w:p>
        </w:tc>
        <w:tc>
          <w:tcPr>
            <w:tcW w:w="1440" w:type="dxa"/>
            <w:vAlign w:val="center"/>
          </w:tcPr>
          <w:p w14:paraId="0695ED94" w14:textId="77777777" w:rsidR="003921DD" w:rsidRPr="00136099" w:rsidRDefault="003921DD" w:rsidP="00546089">
            <w:pPr>
              <w:spacing w:line="480" w:lineRule="auto"/>
            </w:pPr>
            <w:r w:rsidRPr="00136099">
              <w:t>0.02 (0.70)</w:t>
            </w:r>
          </w:p>
        </w:tc>
        <w:tc>
          <w:tcPr>
            <w:tcW w:w="1296" w:type="dxa"/>
            <w:vAlign w:val="center"/>
          </w:tcPr>
          <w:p w14:paraId="40C8075B" w14:textId="77777777" w:rsidR="003921DD" w:rsidRPr="00136099" w:rsidRDefault="003921DD" w:rsidP="00546089">
            <w:pPr>
              <w:spacing w:line="480" w:lineRule="auto"/>
            </w:pPr>
            <w:r w:rsidRPr="00136099">
              <w:t>0.98</w:t>
            </w:r>
          </w:p>
        </w:tc>
      </w:tr>
      <w:tr w:rsidR="003921DD" w:rsidRPr="00136099" w14:paraId="10028C0A" w14:textId="77777777" w:rsidTr="00546089">
        <w:trPr>
          <w:jc w:val="center"/>
        </w:trPr>
        <w:tc>
          <w:tcPr>
            <w:tcW w:w="1350" w:type="dxa"/>
            <w:vAlign w:val="center"/>
          </w:tcPr>
          <w:p w14:paraId="22FC306C" w14:textId="77777777" w:rsidR="003921DD" w:rsidRPr="00136099" w:rsidRDefault="003921DD" w:rsidP="00546089">
            <w:pPr>
              <w:spacing w:line="480" w:lineRule="auto"/>
            </w:pPr>
            <w:r w:rsidRPr="00136099">
              <w:t>Low mean abundance</w:t>
            </w:r>
          </w:p>
        </w:tc>
        <w:tc>
          <w:tcPr>
            <w:tcW w:w="1309" w:type="dxa"/>
            <w:vAlign w:val="center"/>
          </w:tcPr>
          <w:p w14:paraId="3FDA624C" w14:textId="77777777" w:rsidR="003921DD" w:rsidRPr="00136099" w:rsidRDefault="003921DD" w:rsidP="00546089">
            <w:pPr>
              <w:spacing w:line="480" w:lineRule="auto"/>
            </w:pPr>
            <w:r w:rsidRPr="00136099">
              <w:t>0.5</w:t>
            </w:r>
          </w:p>
        </w:tc>
        <w:tc>
          <w:tcPr>
            <w:tcW w:w="1257" w:type="dxa"/>
            <w:vAlign w:val="center"/>
          </w:tcPr>
          <w:p w14:paraId="37F9C6E4" w14:textId="77777777" w:rsidR="003921DD" w:rsidRPr="00136099" w:rsidRDefault="003921DD" w:rsidP="00546089">
            <w:pPr>
              <w:spacing w:line="480" w:lineRule="auto"/>
            </w:pPr>
            <w:r w:rsidRPr="00136099">
              <w:t>-0.70</w:t>
            </w:r>
          </w:p>
        </w:tc>
        <w:tc>
          <w:tcPr>
            <w:tcW w:w="1440" w:type="dxa"/>
            <w:vAlign w:val="center"/>
          </w:tcPr>
          <w:p w14:paraId="044FE509" w14:textId="77777777" w:rsidR="003921DD" w:rsidRPr="00136099" w:rsidRDefault="003921DD" w:rsidP="00546089">
            <w:pPr>
              <w:spacing w:line="480" w:lineRule="auto"/>
            </w:pPr>
            <w:r w:rsidRPr="00136099">
              <w:t>30</w:t>
            </w:r>
          </w:p>
        </w:tc>
        <w:tc>
          <w:tcPr>
            <w:tcW w:w="1440" w:type="dxa"/>
            <w:vAlign w:val="center"/>
          </w:tcPr>
          <w:p w14:paraId="08123355" w14:textId="77777777" w:rsidR="003921DD" w:rsidRPr="00136099" w:rsidRDefault="003921DD" w:rsidP="00546089">
            <w:pPr>
              <w:spacing w:line="480" w:lineRule="auto"/>
            </w:pPr>
            <w:r w:rsidRPr="00136099">
              <w:t>0.02 (1.93)</w:t>
            </w:r>
          </w:p>
        </w:tc>
        <w:tc>
          <w:tcPr>
            <w:tcW w:w="1296" w:type="dxa"/>
            <w:vAlign w:val="center"/>
          </w:tcPr>
          <w:p w14:paraId="3D480C09" w14:textId="77777777" w:rsidR="003921DD" w:rsidRPr="00136099" w:rsidRDefault="003921DD" w:rsidP="00546089">
            <w:pPr>
              <w:spacing w:line="480" w:lineRule="auto"/>
            </w:pPr>
            <w:r w:rsidRPr="00136099">
              <w:t>0.93</w:t>
            </w:r>
          </w:p>
        </w:tc>
      </w:tr>
      <w:tr w:rsidR="003921DD" w:rsidRPr="00136099" w14:paraId="7C192D0E" w14:textId="77777777" w:rsidTr="00546089">
        <w:trPr>
          <w:jc w:val="center"/>
        </w:trPr>
        <w:tc>
          <w:tcPr>
            <w:tcW w:w="1350" w:type="dxa"/>
            <w:vAlign w:val="center"/>
          </w:tcPr>
          <w:p w14:paraId="4CC31C25" w14:textId="77777777" w:rsidR="003921DD" w:rsidRPr="00136099" w:rsidRDefault="003921DD" w:rsidP="00546089">
            <w:pPr>
              <w:spacing w:line="480" w:lineRule="auto"/>
            </w:pPr>
          </w:p>
        </w:tc>
        <w:tc>
          <w:tcPr>
            <w:tcW w:w="1309" w:type="dxa"/>
            <w:vAlign w:val="center"/>
          </w:tcPr>
          <w:p w14:paraId="741BA057" w14:textId="77777777" w:rsidR="003921DD" w:rsidRPr="00136099" w:rsidRDefault="003921DD" w:rsidP="00546089">
            <w:pPr>
              <w:spacing w:line="480" w:lineRule="auto"/>
            </w:pPr>
            <w:r w:rsidRPr="00136099">
              <w:t>1</w:t>
            </w:r>
          </w:p>
        </w:tc>
        <w:tc>
          <w:tcPr>
            <w:tcW w:w="1257" w:type="dxa"/>
            <w:vAlign w:val="center"/>
          </w:tcPr>
          <w:p w14:paraId="62E30ED5" w14:textId="77777777" w:rsidR="003921DD" w:rsidRPr="00136099" w:rsidRDefault="003921DD" w:rsidP="00546089">
            <w:pPr>
              <w:spacing w:line="480" w:lineRule="auto"/>
            </w:pPr>
            <w:r w:rsidRPr="00136099">
              <w:t>-0.70</w:t>
            </w:r>
          </w:p>
        </w:tc>
        <w:tc>
          <w:tcPr>
            <w:tcW w:w="1440" w:type="dxa"/>
            <w:vAlign w:val="center"/>
          </w:tcPr>
          <w:p w14:paraId="3BBCEA81" w14:textId="77777777" w:rsidR="003921DD" w:rsidRPr="00136099" w:rsidRDefault="003921DD" w:rsidP="00546089">
            <w:pPr>
              <w:spacing w:line="480" w:lineRule="auto"/>
            </w:pPr>
            <w:r w:rsidRPr="00136099">
              <w:t>30</w:t>
            </w:r>
          </w:p>
        </w:tc>
        <w:tc>
          <w:tcPr>
            <w:tcW w:w="1440" w:type="dxa"/>
            <w:vAlign w:val="center"/>
          </w:tcPr>
          <w:p w14:paraId="597D2AA2" w14:textId="77777777" w:rsidR="003921DD" w:rsidRPr="00136099" w:rsidRDefault="003921DD" w:rsidP="00546089">
            <w:pPr>
              <w:spacing w:line="480" w:lineRule="auto"/>
            </w:pPr>
            <w:r w:rsidRPr="00136099">
              <w:t>-0.10 (1.27)</w:t>
            </w:r>
          </w:p>
        </w:tc>
        <w:tc>
          <w:tcPr>
            <w:tcW w:w="1296" w:type="dxa"/>
            <w:vAlign w:val="center"/>
          </w:tcPr>
          <w:p w14:paraId="31D9658A" w14:textId="77777777" w:rsidR="003921DD" w:rsidRPr="00136099" w:rsidRDefault="003921DD" w:rsidP="00546089">
            <w:pPr>
              <w:spacing w:line="480" w:lineRule="auto"/>
            </w:pPr>
            <w:r w:rsidRPr="00136099">
              <w:t>0.96</w:t>
            </w:r>
          </w:p>
        </w:tc>
      </w:tr>
      <w:tr w:rsidR="003921DD" w:rsidRPr="00136099" w14:paraId="5E616455" w14:textId="77777777" w:rsidTr="00546089">
        <w:trPr>
          <w:jc w:val="center"/>
        </w:trPr>
        <w:tc>
          <w:tcPr>
            <w:tcW w:w="1350" w:type="dxa"/>
            <w:vAlign w:val="center"/>
          </w:tcPr>
          <w:p w14:paraId="6CE26EB0" w14:textId="77777777" w:rsidR="003921DD" w:rsidRPr="00136099" w:rsidRDefault="003921DD" w:rsidP="00546089">
            <w:pPr>
              <w:spacing w:line="480" w:lineRule="auto"/>
            </w:pPr>
          </w:p>
        </w:tc>
        <w:tc>
          <w:tcPr>
            <w:tcW w:w="1309" w:type="dxa"/>
            <w:vAlign w:val="center"/>
          </w:tcPr>
          <w:p w14:paraId="45BD58D6" w14:textId="77777777" w:rsidR="003921DD" w:rsidRPr="00136099" w:rsidRDefault="003921DD" w:rsidP="00546089">
            <w:pPr>
              <w:spacing w:line="480" w:lineRule="auto"/>
            </w:pPr>
            <w:r w:rsidRPr="00136099">
              <w:t>2</w:t>
            </w:r>
          </w:p>
        </w:tc>
        <w:tc>
          <w:tcPr>
            <w:tcW w:w="1257" w:type="dxa"/>
            <w:vAlign w:val="center"/>
          </w:tcPr>
          <w:p w14:paraId="0C05F02C" w14:textId="77777777" w:rsidR="003921DD" w:rsidRPr="00136099" w:rsidRDefault="003921DD" w:rsidP="00546089">
            <w:pPr>
              <w:spacing w:line="480" w:lineRule="auto"/>
            </w:pPr>
            <w:r w:rsidRPr="00136099">
              <w:t>-0.70</w:t>
            </w:r>
          </w:p>
        </w:tc>
        <w:tc>
          <w:tcPr>
            <w:tcW w:w="1440" w:type="dxa"/>
            <w:vAlign w:val="center"/>
          </w:tcPr>
          <w:p w14:paraId="5ADB8713" w14:textId="77777777" w:rsidR="003921DD" w:rsidRPr="00136099" w:rsidRDefault="003921DD" w:rsidP="00546089">
            <w:pPr>
              <w:spacing w:line="480" w:lineRule="auto"/>
            </w:pPr>
            <w:r w:rsidRPr="00136099">
              <w:t>30</w:t>
            </w:r>
          </w:p>
        </w:tc>
        <w:tc>
          <w:tcPr>
            <w:tcW w:w="1440" w:type="dxa"/>
            <w:vAlign w:val="center"/>
          </w:tcPr>
          <w:p w14:paraId="32D9BB7F" w14:textId="77777777" w:rsidR="003921DD" w:rsidRPr="00136099" w:rsidRDefault="003921DD" w:rsidP="00546089">
            <w:pPr>
              <w:spacing w:line="480" w:lineRule="auto"/>
            </w:pPr>
            <w:r w:rsidRPr="00136099">
              <w:t>-0.09 (0.92)</w:t>
            </w:r>
          </w:p>
        </w:tc>
        <w:tc>
          <w:tcPr>
            <w:tcW w:w="1296" w:type="dxa"/>
            <w:vAlign w:val="center"/>
          </w:tcPr>
          <w:p w14:paraId="65FAB793" w14:textId="77777777" w:rsidR="003921DD" w:rsidRPr="00136099" w:rsidRDefault="003921DD" w:rsidP="00546089">
            <w:pPr>
              <w:spacing w:line="480" w:lineRule="auto"/>
            </w:pPr>
            <w:r w:rsidRPr="00136099">
              <w:t>0.97</w:t>
            </w:r>
          </w:p>
        </w:tc>
      </w:tr>
      <w:tr w:rsidR="003921DD" w:rsidRPr="00136099" w14:paraId="5B00D430" w14:textId="77777777" w:rsidTr="00546089">
        <w:trPr>
          <w:jc w:val="center"/>
        </w:trPr>
        <w:tc>
          <w:tcPr>
            <w:tcW w:w="1350" w:type="dxa"/>
            <w:vAlign w:val="center"/>
          </w:tcPr>
          <w:p w14:paraId="5952FA3A" w14:textId="77777777" w:rsidR="003921DD" w:rsidRPr="00136099" w:rsidRDefault="003921DD" w:rsidP="00546089">
            <w:pPr>
              <w:spacing w:line="480" w:lineRule="auto"/>
            </w:pPr>
          </w:p>
        </w:tc>
        <w:tc>
          <w:tcPr>
            <w:tcW w:w="1309" w:type="dxa"/>
            <w:vAlign w:val="center"/>
          </w:tcPr>
          <w:p w14:paraId="5F566BBE" w14:textId="77777777" w:rsidR="003921DD" w:rsidRPr="00136099" w:rsidRDefault="003921DD" w:rsidP="00546089">
            <w:pPr>
              <w:spacing w:line="480" w:lineRule="auto"/>
            </w:pPr>
            <w:r w:rsidRPr="00136099">
              <w:t>3</w:t>
            </w:r>
          </w:p>
        </w:tc>
        <w:tc>
          <w:tcPr>
            <w:tcW w:w="1257" w:type="dxa"/>
            <w:vAlign w:val="center"/>
          </w:tcPr>
          <w:p w14:paraId="11704EB7" w14:textId="77777777" w:rsidR="003921DD" w:rsidRPr="00136099" w:rsidRDefault="003921DD" w:rsidP="00546089">
            <w:pPr>
              <w:spacing w:line="480" w:lineRule="auto"/>
            </w:pPr>
            <w:r w:rsidRPr="00136099">
              <w:t>-0.70</w:t>
            </w:r>
          </w:p>
        </w:tc>
        <w:tc>
          <w:tcPr>
            <w:tcW w:w="1440" w:type="dxa"/>
            <w:vAlign w:val="center"/>
          </w:tcPr>
          <w:p w14:paraId="1C886B2B" w14:textId="77777777" w:rsidR="003921DD" w:rsidRPr="00136099" w:rsidRDefault="003921DD" w:rsidP="00546089">
            <w:pPr>
              <w:spacing w:line="480" w:lineRule="auto"/>
            </w:pPr>
            <w:r w:rsidRPr="00136099">
              <w:t>30</w:t>
            </w:r>
          </w:p>
        </w:tc>
        <w:tc>
          <w:tcPr>
            <w:tcW w:w="1440" w:type="dxa"/>
            <w:vAlign w:val="center"/>
          </w:tcPr>
          <w:p w14:paraId="38841C4D" w14:textId="77777777" w:rsidR="003921DD" w:rsidRPr="00136099" w:rsidRDefault="003921DD" w:rsidP="00546089">
            <w:pPr>
              <w:spacing w:line="480" w:lineRule="auto"/>
            </w:pPr>
            <w:r w:rsidRPr="00136099">
              <w:t>-0.15 (0.76)</w:t>
            </w:r>
          </w:p>
        </w:tc>
        <w:tc>
          <w:tcPr>
            <w:tcW w:w="1296" w:type="dxa"/>
            <w:vAlign w:val="center"/>
          </w:tcPr>
          <w:p w14:paraId="3F3E7AFB" w14:textId="77777777" w:rsidR="003921DD" w:rsidRPr="00136099" w:rsidRDefault="003921DD" w:rsidP="00546089">
            <w:pPr>
              <w:spacing w:line="480" w:lineRule="auto"/>
            </w:pPr>
            <w:r w:rsidRPr="00136099">
              <w:t>0.98</w:t>
            </w:r>
          </w:p>
        </w:tc>
      </w:tr>
      <w:tr w:rsidR="003921DD" w:rsidRPr="00136099" w14:paraId="38292A97" w14:textId="77777777" w:rsidTr="00546089">
        <w:trPr>
          <w:jc w:val="center"/>
        </w:trPr>
        <w:tc>
          <w:tcPr>
            <w:tcW w:w="1350" w:type="dxa"/>
            <w:vAlign w:val="center"/>
          </w:tcPr>
          <w:p w14:paraId="49D90995" w14:textId="77777777" w:rsidR="003921DD" w:rsidRPr="00136099" w:rsidRDefault="003921DD" w:rsidP="00546089">
            <w:pPr>
              <w:spacing w:line="480" w:lineRule="auto"/>
            </w:pPr>
            <w:r w:rsidRPr="00136099">
              <w:t>Duration of monitoring</w:t>
            </w:r>
          </w:p>
        </w:tc>
        <w:tc>
          <w:tcPr>
            <w:tcW w:w="1309" w:type="dxa"/>
            <w:vAlign w:val="center"/>
          </w:tcPr>
          <w:p w14:paraId="2651724C" w14:textId="77777777" w:rsidR="003921DD" w:rsidRPr="00136099" w:rsidRDefault="003921DD" w:rsidP="00546089">
            <w:pPr>
              <w:spacing w:line="480" w:lineRule="auto"/>
            </w:pPr>
            <w:r w:rsidRPr="00136099">
              <w:t>10</w:t>
            </w:r>
          </w:p>
        </w:tc>
        <w:tc>
          <w:tcPr>
            <w:tcW w:w="1257" w:type="dxa"/>
            <w:vAlign w:val="center"/>
          </w:tcPr>
          <w:p w14:paraId="1D9A86EF" w14:textId="77777777" w:rsidR="003921DD" w:rsidRPr="00136099" w:rsidRDefault="003921DD" w:rsidP="00546089">
            <w:pPr>
              <w:spacing w:line="480" w:lineRule="auto"/>
            </w:pPr>
            <w:r w:rsidRPr="00136099">
              <w:t>-0.70</w:t>
            </w:r>
          </w:p>
        </w:tc>
        <w:tc>
          <w:tcPr>
            <w:tcW w:w="1440" w:type="dxa"/>
            <w:vAlign w:val="center"/>
          </w:tcPr>
          <w:p w14:paraId="4C373094" w14:textId="77777777" w:rsidR="003921DD" w:rsidRPr="00136099" w:rsidRDefault="003921DD" w:rsidP="00546089">
            <w:pPr>
              <w:spacing w:line="480" w:lineRule="auto"/>
            </w:pPr>
            <w:r w:rsidRPr="00136099">
              <w:t>5</w:t>
            </w:r>
          </w:p>
        </w:tc>
        <w:tc>
          <w:tcPr>
            <w:tcW w:w="1440" w:type="dxa"/>
            <w:vAlign w:val="center"/>
          </w:tcPr>
          <w:p w14:paraId="7C4F689E" w14:textId="77777777" w:rsidR="003921DD" w:rsidRPr="00136099" w:rsidRDefault="003921DD" w:rsidP="00546089">
            <w:pPr>
              <w:spacing w:line="480" w:lineRule="auto"/>
            </w:pPr>
            <w:r w:rsidRPr="00136099">
              <w:t>-1.92 (5.21)</w:t>
            </w:r>
          </w:p>
        </w:tc>
        <w:tc>
          <w:tcPr>
            <w:tcW w:w="1296" w:type="dxa"/>
            <w:vAlign w:val="center"/>
          </w:tcPr>
          <w:p w14:paraId="0D6D60D9" w14:textId="77777777" w:rsidR="003921DD" w:rsidRPr="00136099" w:rsidRDefault="003921DD" w:rsidP="00546089">
            <w:pPr>
              <w:spacing w:line="480" w:lineRule="auto"/>
            </w:pPr>
            <w:r w:rsidRPr="00136099">
              <w:t>0.95</w:t>
            </w:r>
          </w:p>
        </w:tc>
      </w:tr>
      <w:tr w:rsidR="003921DD" w:rsidRPr="00136099" w14:paraId="6B89A7E2" w14:textId="77777777" w:rsidTr="00546089">
        <w:trPr>
          <w:jc w:val="center"/>
        </w:trPr>
        <w:tc>
          <w:tcPr>
            <w:tcW w:w="1350" w:type="dxa"/>
            <w:vAlign w:val="center"/>
          </w:tcPr>
          <w:p w14:paraId="1E53C0D1" w14:textId="77777777" w:rsidR="003921DD" w:rsidRPr="00136099" w:rsidRDefault="003921DD" w:rsidP="00546089">
            <w:pPr>
              <w:spacing w:line="480" w:lineRule="auto"/>
            </w:pPr>
          </w:p>
        </w:tc>
        <w:tc>
          <w:tcPr>
            <w:tcW w:w="1309" w:type="dxa"/>
            <w:vAlign w:val="center"/>
          </w:tcPr>
          <w:p w14:paraId="0E18E33A" w14:textId="77777777" w:rsidR="003921DD" w:rsidRPr="00136099" w:rsidRDefault="003921DD" w:rsidP="00546089">
            <w:pPr>
              <w:spacing w:line="480" w:lineRule="auto"/>
            </w:pPr>
            <w:r w:rsidRPr="00136099">
              <w:t>10</w:t>
            </w:r>
          </w:p>
        </w:tc>
        <w:tc>
          <w:tcPr>
            <w:tcW w:w="1257" w:type="dxa"/>
            <w:vAlign w:val="center"/>
          </w:tcPr>
          <w:p w14:paraId="6BD1DE9E" w14:textId="77777777" w:rsidR="003921DD" w:rsidRPr="00136099" w:rsidRDefault="003921DD" w:rsidP="00546089">
            <w:pPr>
              <w:spacing w:line="480" w:lineRule="auto"/>
            </w:pPr>
            <w:r w:rsidRPr="00136099">
              <w:t>-0.70</w:t>
            </w:r>
          </w:p>
        </w:tc>
        <w:tc>
          <w:tcPr>
            <w:tcW w:w="1440" w:type="dxa"/>
            <w:vAlign w:val="center"/>
          </w:tcPr>
          <w:p w14:paraId="6D56363A" w14:textId="77777777" w:rsidR="003921DD" w:rsidRPr="00136099" w:rsidRDefault="003921DD" w:rsidP="00546089">
            <w:pPr>
              <w:spacing w:line="480" w:lineRule="auto"/>
            </w:pPr>
            <w:r w:rsidRPr="00136099">
              <w:t>10</w:t>
            </w:r>
          </w:p>
        </w:tc>
        <w:tc>
          <w:tcPr>
            <w:tcW w:w="1440" w:type="dxa"/>
            <w:vAlign w:val="center"/>
          </w:tcPr>
          <w:p w14:paraId="1F6B3F64" w14:textId="77777777" w:rsidR="003921DD" w:rsidRPr="00136099" w:rsidRDefault="003921DD" w:rsidP="00546089">
            <w:pPr>
              <w:spacing w:line="480" w:lineRule="auto"/>
            </w:pPr>
            <w:r w:rsidRPr="00136099">
              <w:t>-0.02 (1.71)</w:t>
            </w:r>
          </w:p>
        </w:tc>
        <w:tc>
          <w:tcPr>
            <w:tcW w:w="1296" w:type="dxa"/>
            <w:vAlign w:val="center"/>
          </w:tcPr>
          <w:p w14:paraId="706B9D97" w14:textId="77777777" w:rsidR="003921DD" w:rsidRPr="00136099" w:rsidRDefault="003921DD" w:rsidP="00546089">
            <w:pPr>
              <w:spacing w:line="480" w:lineRule="auto"/>
            </w:pPr>
            <w:r w:rsidRPr="00136099">
              <w:t>0.96</w:t>
            </w:r>
          </w:p>
        </w:tc>
      </w:tr>
      <w:tr w:rsidR="003921DD" w:rsidRPr="00136099" w14:paraId="53FEEE15" w14:textId="77777777" w:rsidTr="00546089">
        <w:trPr>
          <w:jc w:val="center"/>
        </w:trPr>
        <w:tc>
          <w:tcPr>
            <w:tcW w:w="1350" w:type="dxa"/>
            <w:tcBorders>
              <w:bottom w:val="single" w:sz="4" w:space="0" w:color="auto"/>
            </w:tcBorders>
            <w:vAlign w:val="center"/>
          </w:tcPr>
          <w:p w14:paraId="1AFA7706" w14:textId="77777777" w:rsidR="003921DD" w:rsidRPr="00136099" w:rsidRDefault="003921DD" w:rsidP="00546089">
            <w:pPr>
              <w:spacing w:line="480" w:lineRule="auto"/>
            </w:pPr>
          </w:p>
        </w:tc>
        <w:tc>
          <w:tcPr>
            <w:tcW w:w="1309" w:type="dxa"/>
            <w:tcBorders>
              <w:bottom w:val="single" w:sz="4" w:space="0" w:color="auto"/>
            </w:tcBorders>
            <w:vAlign w:val="center"/>
          </w:tcPr>
          <w:p w14:paraId="15B4E6A4" w14:textId="77777777" w:rsidR="003921DD" w:rsidRPr="00136099" w:rsidRDefault="003921DD" w:rsidP="00546089">
            <w:pPr>
              <w:spacing w:line="480" w:lineRule="auto"/>
            </w:pPr>
            <w:r w:rsidRPr="00136099">
              <w:t>10</w:t>
            </w:r>
          </w:p>
        </w:tc>
        <w:tc>
          <w:tcPr>
            <w:tcW w:w="1257" w:type="dxa"/>
            <w:tcBorders>
              <w:bottom w:val="single" w:sz="4" w:space="0" w:color="auto"/>
            </w:tcBorders>
            <w:vAlign w:val="center"/>
          </w:tcPr>
          <w:p w14:paraId="5800E3AA" w14:textId="77777777" w:rsidR="003921DD" w:rsidRPr="00136099" w:rsidRDefault="003921DD" w:rsidP="00546089">
            <w:pPr>
              <w:spacing w:line="480" w:lineRule="auto"/>
            </w:pPr>
            <w:r w:rsidRPr="00136099">
              <w:t>-0.70</w:t>
            </w:r>
          </w:p>
        </w:tc>
        <w:tc>
          <w:tcPr>
            <w:tcW w:w="1440" w:type="dxa"/>
            <w:tcBorders>
              <w:bottom w:val="single" w:sz="4" w:space="0" w:color="auto"/>
            </w:tcBorders>
            <w:vAlign w:val="center"/>
          </w:tcPr>
          <w:p w14:paraId="352AD28A" w14:textId="77777777" w:rsidR="003921DD" w:rsidRPr="00136099" w:rsidRDefault="003921DD" w:rsidP="00546089">
            <w:pPr>
              <w:spacing w:line="480" w:lineRule="auto"/>
            </w:pPr>
            <w:r w:rsidRPr="00136099">
              <w:t>15</w:t>
            </w:r>
          </w:p>
        </w:tc>
        <w:tc>
          <w:tcPr>
            <w:tcW w:w="1440" w:type="dxa"/>
            <w:tcBorders>
              <w:bottom w:val="single" w:sz="4" w:space="0" w:color="auto"/>
            </w:tcBorders>
            <w:vAlign w:val="center"/>
          </w:tcPr>
          <w:p w14:paraId="46DBD38C" w14:textId="77777777" w:rsidR="003921DD" w:rsidRPr="00136099" w:rsidRDefault="003921DD" w:rsidP="00546089">
            <w:pPr>
              <w:spacing w:line="480" w:lineRule="auto"/>
            </w:pPr>
            <w:r w:rsidRPr="00136099">
              <w:t>0.25 (1.18)</w:t>
            </w:r>
          </w:p>
        </w:tc>
        <w:tc>
          <w:tcPr>
            <w:tcW w:w="1296" w:type="dxa"/>
            <w:tcBorders>
              <w:bottom w:val="single" w:sz="4" w:space="0" w:color="auto"/>
            </w:tcBorders>
            <w:vAlign w:val="center"/>
          </w:tcPr>
          <w:p w14:paraId="7A4F6C69" w14:textId="77777777" w:rsidR="003921DD" w:rsidRPr="00136099" w:rsidRDefault="003921DD" w:rsidP="00546089">
            <w:pPr>
              <w:spacing w:line="480" w:lineRule="auto"/>
            </w:pPr>
            <w:r w:rsidRPr="00136099">
              <w:t>0.96</w:t>
            </w:r>
          </w:p>
        </w:tc>
      </w:tr>
    </w:tbl>
    <w:p w14:paraId="760071DE" w14:textId="77777777" w:rsidR="003921DD" w:rsidRPr="00136099" w:rsidRDefault="003921DD" w:rsidP="003921DD">
      <w:pPr>
        <w:spacing w:line="480" w:lineRule="auto"/>
        <w:sectPr w:rsidR="003921DD" w:rsidRPr="00136099" w:rsidSect="00E8287E">
          <w:pgSz w:w="12240" w:h="15840"/>
          <w:pgMar w:top="1440" w:right="1440" w:bottom="1440" w:left="1440" w:header="720" w:footer="720" w:gutter="0"/>
          <w:cols w:space="720"/>
          <w:docGrid w:linePitch="360"/>
        </w:sectPr>
      </w:pPr>
    </w:p>
    <w:p w14:paraId="0A1D547A" w14:textId="77777777" w:rsidR="003921DD" w:rsidRPr="00114294" w:rsidRDefault="003921DD" w:rsidP="003921DD">
      <w:pPr>
        <w:spacing w:line="480" w:lineRule="auto"/>
      </w:pPr>
      <w:r>
        <w:rPr>
          <w:noProof/>
        </w:rPr>
        <w:lastRenderedPageBreak/>
        <w:drawing>
          <wp:inline distT="0" distB="0" distL="0" distR="0" wp14:anchorId="13F2C5FA" wp14:editId="63A1D3F2">
            <wp:extent cx="5944235" cy="2420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2420620"/>
                    </a:xfrm>
                    <a:prstGeom prst="rect">
                      <a:avLst/>
                    </a:prstGeom>
                    <a:noFill/>
                  </pic:spPr>
                </pic:pic>
              </a:graphicData>
            </a:graphic>
          </wp:inline>
        </w:drawing>
      </w:r>
    </w:p>
    <w:p w14:paraId="223E857E" w14:textId="0E0751FF" w:rsidR="003921DD" w:rsidRDefault="003921DD" w:rsidP="003921DD">
      <w:pPr>
        <w:spacing w:line="480" w:lineRule="auto"/>
      </w:pPr>
      <w:r w:rsidRPr="009F2FBD">
        <w:t xml:space="preserve">Figure </w:t>
      </w:r>
      <w:r w:rsidR="00D10290">
        <w:t>S</w:t>
      </w:r>
      <w:r>
        <w:t>1</w:t>
      </w:r>
      <w:r w:rsidRPr="009F2FBD">
        <w:t>. Six randomly selected simulations among a total of 1</w:t>
      </w:r>
      <w:r w:rsidR="009440FB">
        <w:t>,</w:t>
      </w:r>
      <w:r w:rsidRPr="009F2FBD">
        <w:t>000 for one scenario (mean abundance = 10</w:t>
      </w:r>
      <w:r>
        <w:t xml:space="preserve">, duration = </w:t>
      </w:r>
      <w:r w:rsidRPr="009F2FBD">
        <w:t>30-year</w:t>
      </w:r>
      <w:r>
        <w:t>s and</w:t>
      </w:r>
      <w:r w:rsidRPr="009F2FBD">
        <w:t xml:space="preserve"> temporal trend of abundance</w:t>
      </w:r>
      <w:r>
        <w:t xml:space="preserve"> </w:t>
      </w:r>
      <w:r w:rsidRPr="009F2FBD">
        <w:t>=</w:t>
      </w:r>
      <w:r>
        <w:t xml:space="preserve"> </w:t>
      </w:r>
      <w:r w:rsidRPr="009F2FBD">
        <w:t>-0.7) designed to resemble counts from an irruptive species.</w:t>
      </w:r>
    </w:p>
    <w:p w14:paraId="5393FCF4" w14:textId="77777777" w:rsidR="003921DD" w:rsidRDefault="003921DD" w:rsidP="003921DD">
      <w:pPr>
        <w:spacing w:line="480" w:lineRule="auto"/>
      </w:pPr>
    </w:p>
    <w:p w14:paraId="6F5BEFBC" w14:textId="7DF3A729" w:rsidR="003921DD" w:rsidRPr="00C371E6" w:rsidRDefault="003921DD" w:rsidP="003921DD">
      <w:pPr>
        <w:spacing w:line="480" w:lineRule="auto"/>
        <w:ind w:firstLine="720"/>
      </w:pPr>
      <w:r w:rsidRPr="00C371E6">
        <w:t xml:space="preserve">For each simulation, we used generalized linear models to estimate </w:t>
      </w:r>
      <w:r w:rsidR="009440FB">
        <w:t xml:space="preserve">the </w:t>
      </w:r>
      <w:r w:rsidRPr="00C371E6">
        <w:t>population trend in a frequentist framework for increased computational speed. We attempted to recover population trend estimates using generalized linear models with a negative binomial distribution (R package ‘MASS’, Venables and Ripley 2002). We implemented simulations and models in R version 4.2.3. We calculated relative bias of population trend estimates (</w:t>
      </w:r>
      <m:oMath>
        <m:sSub>
          <m:sSubPr>
            <m:ctrlPr>
              <w:rPr>
                <w:rFonts w:ascii="Cambria Math" w:hAnsi="Cambria Math"/>
                <w:i/>
              </w:rPr>
            </m:ctrlPr>
          </m:sSubPr>
          <m:e>
            <m:r>
              <w:rPr>
                <w:rFonts w:ascii="Cambria Math" w:hAnsi="Cambria Math"/>
              </w:rPr>
              <m:t>δ</m:t>
            </m:r>
          </m:e>
          <m:sub>
            <m:r>
              <w:rPr>
                <w:rFonts w:ascii="Cambria Math" w:hAnsi="Cambria Math"/>
              </w:rPr>
              <m:t>1</m:t>
            </m:r>
          </m:sub>
        </m:sSub>
      </m:oMath>
      <w:r w:rsidRPr="00C371E6">
        <w:t xml:space="preserve">) as </w:t>
      </w:r>
      <m:oMath>
        <m:r>
          <w:rPr>
            <w:rFonts w:ascii="Cambria Math" w:hAnsi="Cambria Math"/>
          </w:rPr>
          <m:t>Rel. bias=</m:t>
        </m:r>
        <m:f>
          <m:fPr>
            <m:ctrlPr>
              <w:rPr>
                <w:rFonts w:ascii="Cambria Math" w:hAnsi="Cambria Math"/>
                <w:i/>
              </w:rPr>
            </m:ctrlPr>
          </m:fPr>
          <m:num>
            <m:r>
              <w:rPr>
                <w:rFonts w:ascii="Cambria Math" w:hAnsi="Cambria Math"/>
              </w:rPr>
              <m:t>estimate-truth</m:t>
            </m:r>
          </m:num>
          <m:den>
            <m:r>
              <w:rPr>
                <w:rFonts w:ascii="Cambria Math" w:hAnsi="Cambria Math"/>
              </w:rPr>
              <m:t>truth</m:t>
            </m:r>
          </m:den>
        </m:f>
      </m:oMath>
      <w:r w:rsidRPr="00C371E6">
        <w:t xml:space="preserve"> (Amundson et al. 2014). We calculated coverage as the proportion of estimates where 95% confidence intervals overlapped the true value (Amundson et al. 2014). </w:t>
      </w:r>
      <w:r>
        <w:t>Note that although data were simulated from a zero-inflated Poisson distribution, we used a negative binomial distribution in our main analysis. Although the negative binomial distribution does not explicitly account for population cycles</w:t>
      </w:r>
      <w:r w:rsidR="009440FB">
        <w:t>,</w:t>
      </w:r>
      <w:r>
        <w:t xml:space="preserve"> it does account for extra zeroes as typically observed in our time series (Fig. 1). Also, a negative binomial distribution provided the best fit for snowy </w:t>
      </w:r>
      <w:r>
        <w:lastRenderedPageBreak/>
        <w:t xml:space="preserve">owl (Appendix </w:t>
      </w:r>
      <w:r w:rsidR="00F53F32">
        <w:t>S</w:t>
      </w:r>
      <w:r>
        <w:t xml:space="preserve">3). The zero-inflated Poisson distribution merely provided a convenient method to incorporate population cycles into simulated data. </w:t>
      </w:r>
    </w:p>
    <w:p w14:paraId="3508E9FF" w14:textId="77777777" w:rsidR="003921DD" w:rsidRPr="00915064" w:rsidRDefault="003921DD" w:rsidP="003921DD">
      <w:pPr>
        <w:spacing w:line="480" w:lineRule="auto"/>
        <w:rPr>
          <w:rFonts w:eastAsiaTheme="minorEastAsia"/>
          <w:b/>
          <w:bCs/>
        </w:rPr>
      </w:pPr>
      <w:r w:rsidRPr="00915064">
        <w:rPr>
          <w:rFonts w:eastAsiaTheme="minorEastAsia"/>
          <w:b/>
          <w:bCs/>
        </w:rPr>
        <w:t>Results</w:t>
      </w:r>
    </w:p>
    <w:p w14:paraId="3205A84A" w14:textId="77777777" w:rsidR="003921DD" w:rsidRDefault="003921DD" w:rsidP="003921DD">
      <w:pPr>
        <w:spacing w:line="480" w:lineRule="auto"/>
        <w:rPr>
          <w:rFonts w:eastAsiaTheme="minorEastAsia"/>
        </w:rPr>
      </w:pPr>
      <w:r w:rsidRPr="0064470C">
        <w:rPr>
          <w:rFonts w:eastAsiaTheme="minorEastAsia"/>
        </w:rPr>
        <w:t>Generalized linear models generally recovered population trend estimates well even though they ignored cyclical pattern of fluctuations (Table A</w:t>
      </w:r>
      <w:r>
        <w:rPr>
          <w:rFonts w:eastAsiaTheme="minorEastAsia"/>
        </w:rPr>
        <w:t>2</w:t>
      </w:r>
      <w:r w:rsidRPr="0064470C">
        <w:rPr>
          <w:rFonts w:eastAsiaTheme="minorEastAsia"/>
        </w:rPr>
        <w:t>). These estimates had little bias and excellent coverage in most scenarios considered here except for short-duration monitoring (5-time steps) and low mean abundance (0.5)</w:t>
      </w:r>
      <w:r>
        <w:rPr>
          <w:rFonts w:eastAsiaTheme="minorEastAsia"/>
        </w:rPr>
        <w:t>,</w:t>
      </w:r>
      <w:r w:rsidRPr="0064470C">
        <w:rPr>
          <w:rFonts w:eastAsiaTheme="minorEastAsia"/>
        </w:rPr>
        <w:t xml:space="preserve"> which tended to have </w:t>
      </w:r>
      <w:r>
        <w:rPr>
          <w:rFonts w:eastAsiaTheme="minorEastAsia"/>
        </w:rPr>
        <w:t>high</w:t>
      </w:r>
      <w:r w:rsidRPr="0064470C">
        <w:rPr>
          <w:rFonts w:eastAsiaTheme="minorEastAsia"/>
        </w:rPr>
        <w:t xml:space="preserve"> relative bias (Fig. A</w:t>
      </w:r>
      <w:r>
        <w:rPr>
          <w:rFonts w:eastAsiaTheme="minorEastAsia"/>
        </w:rPr>
        <w:t>2</w:t>
      </w:r>
      <w:r w:rsidRPr="0064470C">
        <w:rPr>
          <w:rFonts w:eastAsiaTheme="minorEastAsia"/>
        </w:rPr>
        <w:t>). Therefore, data sets with short-duration monitoring of &lt;10-time steps and low abundance (&lt;</w:t>
      </w:r>
      <w:r>
        <w:rPr>
          <w:rFonts w:eastAsiaTheme="minorEastAsia"/>
        </w:rPr>
        <w:t>0.5</w:t>
      </w:r>
      <w:r w:rsidRPr="0064470C">
        <w:rPr>
          <w:rFonts w:eastAsiaTheme="minorEastAsia"/>
        </w:rPr>
        <w:t>) should be excluded from analyses.</w:t>
      </w:r>
    </w:p>
    <w:p w14:paraId="1E15F1C2" w14:textId="77777777" w:rsidR="003921DD" w:rsidRDefault="003921DD" w:rsidP="003921DD">
      <w:pPr>
        <w:spacing w:line="480" w:lineRule="auto"/>
        <w:jc w:val="center"/>
        <w:rPr>
          <w:rFonts w:eastAsiaTheme="minorEastAsia"/>
        </w:rPr>
      </w:pPr>
      <w:r>
        <w:rPr>
          <w:rFonts w:eastAsiaTheme="minorEastAsia"/>
          <w:noProof/>
        </w:rPr>
        <w:drawing>
          <wp:inline distT="0" distB="0" distL="0" distR="0" wp14:anchorId="524CD9BB" wp14:editId="6949CD92">
            <wp:extent cx="5944235" cy="2139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2139950"/>
                    </a:xfrm>
                    <a:prstGeom prst="rect">
                      <a:avLst/>
                    </a:prstGeom>
                    <a:noFill/>
                  </pic:spPr>
                </pic:pic>
              </a:graphicData>
            </a:graphic>
          </wp:inline>
        </w:drawing>
      </w:r>
    </w:p>
    <w:p w14:paraId="4AE84EE8" w14:textId="464C0237" w:rsidR="003921DD" w:rsidRDefault="003921DD" w:rsidP="003921DD">
      <w:pPr>
        <w:spacing w:line="480" w:lineRule="auto"/>
        <w:rPr>
          <w:rFonts w:eastAsiaTheme="minorEastAsia"/>
        </w:rPr>
      </w:pPr>
      <w:r w:rsidRPr="00DA66E3">
        <w:rPr>
          <w:rFonts w:eastAsiaTheme="minorEastAsia"/>
        </w:rPr>
        <w:t xml:space="preserve">Figure </w:t>
      </w:r>
      <w:r w:rsidR="00D10290">
        <w:rPr>
          <w:rFonts w:eastAsiaTheme="minorEastAsia"/>
        </w:rPr>
        <w:t>S</w:t>
      </w:r>
      <w:r>
        <w:rPr>
          <w:rFonts w:eastAsiaTheme="minorEastAsia"/>
        </w:rPr>
        <w:t>2</w:t>
      </w:r>
      <w:r w:rsidRPr="00DA66E3">
        <w:rPr>
          <w:rFonts w:eastAsiaTheme="minorEastAsia"/>
        </w:rPr>
        <w:t xml:space="preserve">. Relative bias of population trends </w:t>
      </w:r>
      <w:r>
        <w:rPr>
          <w:rFonts w:eastAsiaTheme="minorEastAsia"/>
        </w:rPr>
        <w:t>estimated by generalized linear models with</w:t>
      </w:r>
      <w:r w:rsidRPr="00DA66E3">
        <w:rPr>
          <w:rFonts w:eastAsiaTheme="minorEastAsia"/>
        </w:rPr>
        <w:t xml:space="preserve"> a negative binomial distribution </w:t>
      </w:r>
      <w:r>
        <w:rPr>
          <w:rFonts w:eastAsiaTheme="minorEastAsia"/>
        </w:rPr>
        <w:t>according to</w:t>
      </w:r>
      <w:r w:rsidRPr="00DA66E3">
        <w:rPr>
          <w:rFonts w:eastAsiaTheme="minorEastAsia"/>
        </w:rPr>
        <w:t xml:space="preserve">: (A) magnitude of 30-year temporal trend of abundance, (B) </w:t>
      </w:r>
      <w:r>
        <w:rPr>
          <w:rFonts w:eastAsiaTheme="minorEastAsia"/>
        </w:rPr>
        <w:t>mean</w:t>
      </w:r>
      <w:r w:rsidRPr="00DA66E3">
        <w:rPr>
          <w:rFonts w:eastAsiaTheme="minorEastAsia"/>
        </w:rPr>
        <w:t xml:space="preserve"> abundance, and (C) duration of monitoring. The dashed line depicts unbiased estimates. Solid horizontal lines within each box depict medians (50</w:t>
      </w:r>
      <w:r w:rsidRPr="00DA66E3">
        <w:rPr>
          <w:rFonts w:eastAsiaTheme="minorEastAsia"/>
          <w:vertAlign w:val="superscript"/>
        </w:rPr>
        <w:t>th</w:t>
      </w:r>
      <w:r w:rsidRPr="00DA66E3">
        <w:rPr>
          <w:rFonts w:eastAsiaTheme="minorEastAsia"/>
        </w:rPr>
        <w:t xml:space="preserve"> percentile); boxes depict the 25</w:t>
      </w:r>
      <w:r w:rsidRPr="00DA66E3">
        <w:rPr>
          <w:rFonts w:eastAsiaTheme="minorEastAsia"/>
          <w:vertAlign w:val="superscript"/>
        </w:rPr>
        <w:t>th</w:t>
      </w:r>
      <w:r w:rsidRPr="00DA66E3">
        <w:rPr>
          <w:rFonts w:eastAsiaTheme="minorEastAsia"/>
        </w:rPr>
        <w:t xml:space="preserve"> and 75</w:t>
      </w:r>
      <w:r w:rsidRPr="00DA66E3">
        <w:rPr>
          <w:rFonts w:eastAsiaTheme="minorEastAsia"/>
          <w:vertAlign w:val="superscript"/>
        </w:rPr>
        <w:t>th</w:t>
      </w:r>
      <w:r w:rsidRPr="00DA66E3">
        <w:rPr>
          <w:rFonts w:eastAsiaTheme="minorEastAsia"/>
        </w:rPr>
        <w:t xml:space="preserve"> percentiles; whiskers depict the largest and smallest values within 1.5 times the interquartile range; outlier data are depicted as open circles; and a dashed line at no bias (zero) is provided for reference. For each scenario, we simulated 1</w:t>
      </w:r>
      <w:r w:rsidR="00AF52B6">
        <w:rPr>
          <w:rFonts w:eastAsiaTheme="minorEastAsia"/>
        </w:rPr>
        <w:t>,</w:t>
      </w:r>
      <w:r w:rsidRPr="00DA66E3">
        <w:rPr>
          <w:rFonts w:eastAsiaTheme="minorEastAsia"/>
        </w:rPr>
        <w:t>000 time series data sets.</w:t>
      </w:r>
    </w:p>
    <w:p w14:paraId="4D27F34C" w14:textId="77777777" w:rsidR="003921DD" w:rsidRPr="00DB3A9F" w:rsidRDefault="003921DD" w:rsidP="003921DD">
      <w:pPr>
        <w:spacing w:line="480" w:lineRule="auto"/>
        <w:rPr>
          <w:b/>
          <w:bCs/>
        </w:rPr>
      </w:pPr>
      <w:r w:rsidRPr="00DB3A9F">
        <w:rPr>
          <w:b/>
          <w:bCs/>
        </w:rPr>
        <w:t>Literature Cited</w:t>
      </w:r>
    </w:p>
    <w:p w14:paraId="10AD7C5C" w14:textId="177C67CA" w:rsidR="003921DD" w:rsidRDefault="003921DD" w:rsidP="003921DD">
      <w:pPr>
        <w:spacing w:line="480" w:lineRule="auto"/>
        <w:ind w:left="720" w:hanging="720"/>
        <w:rPr>
          <w:rStyle w:val="Hyperlink"/>
        </w:rPr>
      </w:pPr>
      <w:r w:rsidRPr="00276448">
        <w:rPr>
          <w:b/>
          <w:bCs/>
        </w:rPr>
        <w:lastRenderedPageBreak/>
        <w:t>Amundson C.L., Royle</w:t>
      </w:r>
      <w:r w:rsidR="00984865" w:rsidRPr="00276448">
        <w:rPr>
          <w:b/>
          <w:bCs/>
        </w:rPr>
        <w:t xml:space="preserve"> J.A.</w:t>
      </w:r>
      <w:r w:rsidRPr="00276448">
        <w:rPr>
          <w:b/>
          <w:bCs/>
        </w:rPr>
        <w:t xml:space="preserve"> and Handel</w:t>
      </w:r>
      <w:r w:rsidR="00DE5277" w:rsidRPr="00276448">
        <w:rPr>
          <w:b/>
          <w:bCs/>
        </w:rPr>
        <w:t xml:space="preserve"> </w:t>
      </w:r>
      <w:r w:rsidR="00984865" w:rsidRPr="00276448">
        <w:rPr>
          <w:b/>
          <w:bCs/>
        </w:rPr>
        <w:t>C.M.</w:t>
      </w:r>
      <w:r w:rsidR="00D44C71">
        <w:t xml:space="preserve"> (</w:t>
      </w:r>
      <w:r w:rsidRPr="00DE2489">
        <w:t>2014</w:t>
      </w:r>
      <w:r w:rsidR="00D44C71">
        <w:t>)</w:t>
      </w:r>
      <w:r w:rsidRPr="00DE2489">
        <w:t xml:space="preserve"> A hierarchical model combining distance sampling and time removal to estimate detection probability during avian point counts. </w:t>
      </w:r>
      <w:r w:rsidRPr="00DE2489">
        <w:rPr>
          <w:i/>
          <w:iCs/>
        </w:rPr>
        <w:t>The Auk</w:t>
      </w:r>
      <w:r>
        <w:t xml:space="preserve"> </w:t>
      </w:r>
      <w:r w:rsidRPr="00DE5277">
        <w:rPr>
          <w:b/>
          <w:bCs/>
        </w:rPr>
        <w:t>131</w:t>
      </w:r>
      <w:r w:rsidR="00DE5277">
        <w:t xml:space="preserve">, </w:t>
      </w:r>
      <w:r w:rsidRPr="00DE2489">
        <w:t xml:space="preserve">476–494. </w:t>
      </w:r>
      <w:hyperlink r:id="rId13" w:history="1">
        <w:r w:rsidRPr="00DE2489">
          <w:rPr>
            <w:rStyle w:val="Hyperlink"/>
          </w:rPr>
          <w:t>https://doi.org/10.1642/AUK-14-11.1</w:t>
        </w:r>
      </w:hyperlink>
    </w:p>
    <w:p w14:paraId="759259CA" w14:textId="6CB24A91" w:rsidR="00D44C71" w:rsidRDefault="00D44C71" w:rsidP="00D44C71">
      <w:pPr>
        <w:spacing w:after="200" w:line="480" w:lineRule="auto"/>
        <w:ind w:left="360" w:hanging="360"/>
        <w:contextualSpacing/>
      </w:pPr>
      <w:r w:rsidRPr="00276448">
        <w:rPr>
          <w:b/>
          <w:bCs/>
        </w:rPr>
        <w:t>Gauthier G., Ehrich D., Belke-Brea</w:t>
      </w:r>
      <w:r w:rsidR="00DE5277" w:rsidRPr="00276448">
        <w:rPr>
          <w:b/>
          <w:bCs/>
        </w:rPr>
        <w:t xml:space="preserve"> </w:t>
      </w:r>
      <w:r w:rsidRPr="00276448">
        <w:rPr>
          <w:b/>
          <w:bCs/>
        </w:rPr>
        <w:t xml:space="preserve">M., Domine F., </w:t>
      </w:r>
      <w:proofErr w:type="spellStart"/>
      <w:r w:rsidRPr="00276448">
        <w:rPr>
          <w:b/>
          <w:bCs/>
        </w:rPr>
        <w:t>Alisauskas</w:t>
      </w:r>
      <w:proofErr w:type="spellEnd"/>
      <w:r w:rsidRPr="00276448">
        <w:rPr>
          <w:b/>
          <w:bCs/>
        </w:rPr>
        <w:t xml:space="preserve"> R., Clark K., Ecke F., Eide N., </w:t>
      </w:r>
      <w:proofErr w:type="spellStart"/>
      <w:r w:rsidRPr="00276448">
        <w:rPr>
          <w:b/>
          <w:bCs/>
        </w:rPr>
        <w:t>Framstad</w:t>
      </w:r>
      <w:proofErr w:type="spellEnd"/>
      <w:r w:rsidRPr="00276448">
        <w:rPr>
          <w:b/>
          <w:bCs/>
        </w:rPr>
        <w:t xml:space="preserve"> E., Frandsen J., </w:t>
      </w:r>
      <w:proofErr w:type="spellStart"/>
      <w:r w:rsidRPr="00276448">
        <w:rPr>
          <w:b/>
          <w:bCs/>
        </w:rPr>
        <w:t>Gilg</w:t>
      </w:r>
      <w:proofErr w:type="spellEnd"/>
      <w:r w:rsidRPr="00276448">
        <w:rPr>
          <w:b/>
          <w:bCs/>
        </w:rPr>
        <w:t xml:space="preserve"> O., </w:t>
      </w:r>
      <w:proofErr w:type="spellStart"/>
      <w:r w:rsidRPr="00276448">
        <w:rPr>
          <w:b/>
          <w:bCs/>
        </w:rPr>
        <w:t>Henttonen</w:t>
      </w:r>
      <w:proofErr w:type="spellEnd"/>
      <w:r w:rsidRPr="00276448">
        <w:rPr>
          <w:b/>
          <w:bCs/>
        </w:rPr>
        <w:t xml:space="preserve"> H., </w:t>
      </w:r>
      <w:proofErr w:type="spellStart"/>
      <w:r w:rsidRPr="00276448">
        <w:rPr>
          <w:b/>
          <w:bCs/>
        </w:rPr>
        <w:t>Hörnfeldt</w:t>
      </w:r>
      <w:proofErr w:type="spellEnd"/>
      <w:r w:rsidRPr="00276448">
        <w:rPr>
          <w:b/>
          <w:bCs/>
        </w:rPr>
        <w:t xml:space="preserve"> B., </w:t>
      </w:r>
      <w:proofErr w:type="spellStart"/>
      <w:r w:rsidRPr="00276448">
        <w:rPr>
          <w:b/>
          <w:bCs/>
        </w:rPr>
        <w:t>Kataev</w:t>
      </w:r>
      <w:proofErr w:type="spellEnd"/>
      <w:r w:rsidRPr="00276448">
        <w:rPr>
          <w:b/>
          <w:bCs/>
        </w:rPr>
        <w:t xml:space="preserve"> G.D., </w:t>
      </w:r>
      <w:proofErr w:type="spellStart"/>
      <w:r w:rsidRPr="00276448">
        <w:rPr>
          <w:b/>
          <w:bCs/>
        </w:rPr>
        <w:t>Menyushina</w:t>
      </w:r>
      <w:proofErr w:type="spellEnd"/>
      <w:r w:rsidRPr="00276448">
        <w:rPr>
          <w:b/>
          <w:bCs/>
        </w:rPr>
        <w:t xml:space="preserve"> I.E., Oksanen L., Oksanen T., Olofsson J., </w:t>
      </w:r>
      <w:proofErr w:type="spellStart"/>
      <w:r w:rsidRPr="00276448">
        <w:rPr>
          <w:b/>
          <w:bCs/>
        </w:rPr>
        <w:t>Samelius</w:t>
      </w:r>
      <w:proofErr w:type="spellEnd"/>
      <w:r w:rsidRPr="00276448">
        <w:rPr>
          <w:b/>
          <w:bCs/>
        </w:rPr>
        <w:t xml:space="preserve"> G., </w:t>
      </w:r>
      <w:proofErr w:type="spellStart"/>
      <w:r w:rsidRPr="00276448">
        <w:rPr>
          <w:b/>
          <w:bCs/>
        </w:rPr>
        <w:t>Sittler</w:t>
      </w:r>
      <w:proofErr w:type="spellEnd"/>
      <w:r w:rsidRPr="00276448">
        <w:rPr>
          <w:b/>
          <w:bCs/>
        </w:rPr>
        <w:t xml:space="preserve"> B., Smith P.A., Sokolov A.A., Sokolova N.A.</w:t>
      </w:r>
      <w:r w:rsidR="00DE4D54">
        <w:rPr>
          <w:b/>
          <w:bCs/>
        </w:rPr>
        <w:t xml:space="preserve"> </w:t>
      </w:r>
      <w:r w:rsidRPr="00276448">
        <w:rPr>
          <w:b/>
          <w:bCs/>
        </w:rPr>
        <w:t>and Schmidt N.M.</w:t>
      </w:r>
      <w:r w:rsidRPr="00C76B0F">
        <w:rPr>
          <w:bCs/>
        </w:rPr>
        <w:t xml:space="preserve"> </w:t>
      </w:r>
      <w:r>
        <w:rPr>
          <w:bCs/>
        </w:rPr>
        <w:t>(</w:t>
      </w:r>
      <w:r w:rsidRPr="00C76B0F">
        <w:rPr>
          <w:bCs/>
          <w:lang w:val="en-CA"/>
        </w:rPr>
        <w:t>2024</w:t>
      </w:r>
      <w:r>
        <w:rPr>
          <w:bCs/>
          <w:lang w:val="en-CA"/>
        </w:rPr>
        <w:t>)</w:t>
      </w:r>
      <w:r w:rsidRPr="00C76B0F">
        <w:rPr>
          <w:bCs/>
          <w:lang w:val="en-CA"/>
        </w:rPr>
        <w:t xml:space="preserve"> Taking the beat of the Arctic: are lemming population cycles changing</w:t>
      </w:r>
      <w:r w:rsidRPr="00C76B0F">
        <w:rPr>
          <w:lang w:val="en-CA"/>
        </w:rPr>
        <w:t xml:space="preserve"> </w:t>
      </w:r>
      <w:r w:rsidRPr="00C76B0F">
        <w:rPr>
          <w:bCs/>
          <w:lang w:val="en-CA"/>
        </w:rPr>
        <w:t xml:space="preserve">due to winter climate? </w:t>
      </w:r>
      <w:r w:rsidRPr="00C76B0F">
        <w:rPr>
          <w:bCs/>
          <w:i/>
          <w:lang w:val="en-CA"/>
        </w:rPr>
        <w:t>Proceedings of the Royal Society B</w:t>
      </w:r>
      <w:r w:rsidRPr="00C76B0F">
        <w:rPr>
          <w:bCs/>
          <w:lang w:val="en-CA"/>
        </w:rPr>
        <w:t xml:space="preserve"> </w:t>
      </w:r>
      <w:r w:rsidRPr="00DE5277">
        <w:rPr>
          <w:b/>
          <w:lang w:val="en-CA"/>
        </w:rPr>
        <w:t>291</w:t>
      </w:r>
      <w:r w:rsidR="00DE5277">
        <w:rPr>
          <w:bCs/>
          <w:lang w:val="en-CA"/>
        </w:rPr>
        <w:t xml:space="preserve">, </w:t>
      </w:r>
      <w:r w:rsidRPr="00C76B0F">
        <w:rPr>
          <w:bCs/>
          <w:lang w:val="en-CA"/>
        </w:rPr>
        <w:t>20232361.</w:t>
      </w:r>
      <w:r w:rsidR="005B2239">
        <w:rPr>
          <w:bCs/>
          <w:lang w:val="en-CA"/>
        </w:rPr>
        <w:t xml:space="preserve"> </w:t>
      </w:r>
      <w:hyperlink r:id="rId14" w:history="1">
        <w:r w:rsidR="005B2239" w:rsidRPr="0084613B">
          <w:rPr>
            <w:rStyle w:val="Hyperlink"/>
            <w:bCs/>
            <w:lang w:val="en-CA"/>
          </w:rPr>
          <w:t>https://doi.org/10.1098/rspb.2023.2361</w:t>
        </w:r>
      </w:hyperlink>
      <w:r w:rsidR="005B2239">
        <w:rPr>
          <w:bCs/>
          <w:lang w:val="en-CA"/>
        </w:rPr>
        <w:t xml:space="preserve"> </w:t>
      </w:r>
    </w:p>
    <w:p w14:paraId="664F6935" w14:textId="0C93950A" w:rsidR="003921DD" w:rsidRDefault="003921DD" w:rsidP="00AF52B6">
      <w:pPr>
        <w:spacing w:line="480" w:lineRule="auto"/>
        <w:ind w:left="720" w:hanging="720"/>
        <w:contextualSpacing/>
        <w:rPr>
          <w:b/>
          <w:bCs/>
        </w:rPr>
        <w:sectPr w:rsidR="003921DD" w:rsidSect="00E8287E">
          <w:pgSz w:w="12240" w:h="15840"/>
          <w:pgMar w:top="1440" w:right="1440" w:bottom="1440" w:left="1440" w:header="720" w:footer="720" w:gutter="0"/>
          <w:cols w:space="720"/>
          <w:docGrid w:linePitch="360"/>
        </w:sectPr>
      </w:pPr>
      <w:r w:rsidRPr="00276448">
        <w:rPr>
          <w:b/>
          <w:bCs/>
        </w:rPr>
        <w:t>Venables W.N. and Ripley</w:t>
      </w:r>
      <w:r w:rsidR="00984865" w:rsidRPr="00276448">
        <w:rPr>
          <w:b/>
          <w:bCs/>
        </w:rPr>
        <w:t xml:space="preserve"> B.D.</w:t>
      </w:r>
      <w:r w:rsidRPr="00276448">
        <w:rPr>
          <w:b/>
          <w:bCs/>
        </w:rPr>
        <w:t xml:space="preserve"> </w:t>
      </w:r>
      <w:r w:rsidR="00D44C71">
        <w:t>(</w:t>
      </w:r>
      <w:r w:rsidRPr="00DE2489">
        <w:t>2002</w:t>
      </w:r>
      <w:r w:rsidR="00D44C71">
        <w:t>)</w:t>
      </w:r>
      <w:r w:rsidRPr="00DE2489">
        <w:t xml:space="preserve"> Modern Applied Statistics with S. Fourth Edition. Springer, New York. ISBN 0-387-95457-0</w:t>
      </w:r>
      <w:r>
        <w:rPr>
          <w:b/>
          <w:bCs/>
        </w:rPr>
        <w:t>.</w:t>
      </w:r>
    </w:p>
    <w:p w14:paraId="1F321437" w14:textId="0C262346" w:rsidR="000531F4" w:rsidRDefault="003921DD" w:rsidP="008C46B1">
      <w:pPr>
        <w:spacing w:line="480" w:lineRule="auto"/>
        <w:contextualSpacing/>
        <w:rPr>
          <w:b/>
          <w:bCs/>
        </w:rPr>
      </w:pPr>
      <w:r>
        <w:rPr>
          <w:b/>
          <w:bCs/>
        </w:rPr>
        <w:lastRenderedPageBreak/>
        <w:t xml:space="preserve">Appendix </w:t>
      </w:r>
      <w:r w:rsidR="00D10290">
        <w:rPr>
          <w:b/>
          <w:bCs/>
        </w:rPr>
        <w:t>S</w:t>
      </w:r>
      <w:r>
        <w:rPr>
          <w:b/>
          <w:bCs/>
        </w:rPr>
        <w:t xml:space="preserve">3. </w:t>
      </w:r>
      <w:r w:rsidR="00936939">
        <w:rPr>
          <w:b/>
          <w:bCs/>
        </w:rPr>
        <w:t>Methods</w:t>
      </w:r>
      <w:r w:rsidR="000531F4" w:rsidRPr="000531F4">
        <w:rPr>
          <w:b/>
          <w:bCs/>
        </w:rPr>
        <w:t xml:space="preserve"> and results for breeding population trend analysis. </w:t>
      </w:r>
    </w:p>
    <w:p w14:paraId="208F77D1" w14:textId="29F6186E" w:rsidR="00CE5C96" w:rsidRDefault="00B30780" w:rsidP="00C62819">
      <w:pPr>
        <w:spacing w:line="480" w:lineRule="auto"/>
      </w:pPr>
      <w:r w:rsidRPr="000531F4">
        <w:t>We used hierarchical generalized linear models (Gelman and Hill 2007) to estimate trends in relative abundance over time and derive population growth rates (Sauer and Link 2011). We used count data (</w:t>
      </w:r>
      <m:oMath>
        <m:r>
          <w:rPr>
            <w:rFonts w:ascii="Cambria Math" w:hAnsi="Cambria Math"/>
          </w:rPr>
          <m:t>y</m:t>
        </m:r>
      </m:oMath>
      <w:r w:rsidRPr="000531F4">
        <w:t>) collected during 1988–2020 from five sites (Fig. 1</w:t>
      </w:r>
      <w:r>
        <w:t xml:space="preserve">, Appendix </w:t>
      </w:r>
      <w:r w:rsidR="00F53F32">
        <w:t>S</w:t>
      </w:r>
      <w:r>
        <w:t>1</w:t>
      </w:r>
      <w:r w:rsidRPr="000531F4">
        <w:t xml:space="preserve">) to estimate population trends. </w:t>
      </w:r>
      <w:r w:rsidRPr="002509E1">
        <w:t xml:space="preserve">We omitted data from </w:t>
      </w:r>
      <w:proofErr w:type="spellStart"/>
      <w:r w:rsidRPr="002509E1">
        <w:t>Hochstetter</w:t>
      </w:r>
      <w:proofErr w:type="spellEnd"/>
      <w:r w:rsidRPr="002509E1">
        <w:t xml:space="preserve"> Forland and Igloolik because too few owl nests were monitored. </w:t>
      </w:r>
      <w:r w:rsidR="004878A6">
        <w:t>We also omitted data from Bylot Island Secondary because preliminary analyses suggested that these data placed too much weight on the Bylot Island study region when estimating overall population trends.</w:t>
      </w:r>
    </w:p>
    <w:p w14:paraId="47A75D5F" w14:textId="77777777" w:rsidR="00CE5C96" w:rsidRDefault="00CE5C96" w:rsidP="00CE5C96">
      <w:pPr>
        <w:spacing w:line="480" w:lineRule="auto"/>
        <w:ind w:firstLine="360"/>
      </w:pPr>
      <w:r w:rsidRPr="000531F4">
        <w:t xml:space="preserve">We fit models using count data </w:t>
      </w:r>
      <w:r w:rsidRPr="005A05B4">
        <w:t>(</w:t>
      </w:r>
      <w:r w:rsidRPr="005A05B4">
        <w:rPr>
          <w:i/>
          <w:iCs/>
        </w:rPr>
        <w:t>y</w:t>
      </w:r>
      <w:r w:rsidRPr="005A05B4">
        <w:t xml:space="preserve">) </w:t>
      </w:r>
      <w:r w:rsidRPr="000531F4">
        <w:t xml:space="preserve">as a response variable </w:t>
      </w:r>
      <w:r>
        <w:t xml:space="preserve">with </w:t>
      </w:r>
      <m:oMath>
        <m:sSub>
          <m:sSubPr>
            <m:ctrlPr>
              <w:rPr>
                <w:rFonts w:ascii="Cambria Math" w:hAnsi="Cambria Math"/>
                <w:i/>
              </w:rPr>
            </m:ctrlPr>
          </m:sSubPr>
          <m:e>
            <m:r>
              <w:rPr>
                <w:rFonts w:ascii="Cambria Math" w:hAnsi="Cambria Math"/>
              </w:rPr>
              <m:t>y</m:t>
            </m:r>
          </m:e>
          <m:sub>
            <m:r>
              <w:rPr>
                <w:rFonts w:ascii="Cambria Math" w:hAnsi="Cambria Math"/>
              </w:rPr>
              <m:t>t,j</m:t>
            </m:r>
          </m:sub>
        </m:sSub>
        <m:r>
          <w:rPr>
            <w:rFonts w:ascii="Cambria Math" w:hAnsi="Cambria Math"/>
          </w:rPr>
          <m:t>~g(</m:t>
        </m:r>
        <m:sSub>
          <m:sSubPr>
            <m:ctrlPr>
              <w:rPr>
                <w:rFonts w:ascii="Cambria Math" w:hAnsi="Cambria Math"/>
                <w:i/>
              </w:rPr>
            </m:ctrlPr>
          </m:sSubPr>
          <m:e>
            <m:r>
              <w:rPr>
                <w:rFonts w:ascii="Cambria Math" w:hAnsi="Cambria Math"/>
              </w:rPr>
              <m:t>μ</m:t>
            </m:r>
          </m:e>
          <m:sub>
            <m:r>
              <w:rPr>
                <w:rFonts w:ascii="Cambria Math" w:hAnsi="Cambria Math"/>
              </w:rPr>
              <m:t>t,j</m:t>
            </m:r>
          </m:sub>
        </m:sSub>
        <m:r>
          <w:rPr>
            <w:rFonts w:ascii="Cambria Math" w:hAnsi="Cambria Math"/>
          </w:rPr>
          <m:t>)</m:t>
        </m:r>
      </m:oMath>
      <w:r w:rsidRPr="000531F4">
        <w:t xml:space="preserve"> where indices represent site (</w:t>
      </w:r>
      <w:r w:rsidRPr="000531F4">
        <w:rPr>
          <w:i/>
        </w:rPr>
        <w:t>j</w:t>
      </w:r>
      <w:r w:rsidRPr="000531F4">
        <w:t>) and year (</w:t>
      </w:r>
      <w:r w:rsidRPr="000531F4">
        <w:rPr>
          <w:i/>
        </w:rPr>
        <w:t>t</w:t>
      </w:r>
      <w:r w:rsidRPr="000531F4">
        <w:t xml:space="preserve">) and </w:t>
      </w:r>
      <m:oMath>
        <m:r>
          <w:rPr>
            <w:rFonts w:ascii="Cambria Math" w:hAnsi="Cambria Math"/>
          </w:rPr>
          <m:t>g(</m:t>
        </m:r>
        <m:sSub>
          <m:sSubPr>
            <m:ctrlPr>
              <w:rPr>
                <w:rFonts w:ascii="Cambria Math" w:hAnsi="Cambria Math"/>
                <w:i/>
              </w:rPr>
            </m:ctrlPr>
          </m:sSubPr>
          <m:e>
            <m:r>
              <w:rPr>
                <w:rFonts w:ascii="Cambria Math" w:hAnsi="Cambria Math"/>
              </w:rPr>
              <m:t>μ</m:t>
            </m:r>
          </m:e>
          <m:sub>
            <m:r>
              <w:rPr>
                <w:rFonts w:ascii="Cambria Math" w:hAnsi="Cambria Math"/>
              </w:rPr>
              <m:t>t,j</m:t>
            </m:r>
          </m:sub>
        </m:sSub>
        <m:r>
          <w:rPr>
            <w:rFonts w:ascii="Cambria Math" w:hAnsi="Cambria Math"/>
          </w:rPr>
          <m:t>)</m:t>
        </m:r>
      </m:oMath>
      <w:r w:rsidRPr="000531F4">
        <w:t xml:space="preserve"> represents a best-fitting statistical distribution determined from a goodness-of fit test (described below) having a mean (</w:t>
      </w:r>
      <m:oMath>
        <m:sSub>
          <m:sSubPr>
            <m:ctrlPr>
              <w:rPr>
                <w:rFonts w:ascii="Cambria Math" w:hAnsi="Cambria Math"/>
                <w:i/>
              </w:rPr>
            </m:ctrlPr>
          </m:sSubPr>
          <m:e>
            <m:r>
              <w:rPr>
                <w:rFonts w:ascii="Cambria Math" w:hAnsi="Cambria Math"/>
              </w:rPr>
              <m:t>μ</m:t>
            </m:r>
          </m:e>
          <m:sub>
            <m:r>
              <w:rPr>
                <w:rFonts w:ascii="Cambria Math" w:hAnsi="Cambria Math"/>
              </w:rPr>
              <m:t>t,j</m:t>
            </m:r>
          </m:sub>
        </m:sSub>
      </m:oMath>
      <w:r w:rsidRPr="000531F4">
        <w:t>) and some variance. We used the log-link function to specify the mean as a function of some covariates that included a site-specific intercept (</w:t>
      </w:r>
      <m:oMath>
        <m:sSub>
          <m:sSubPr>
            <m:ctrlPr>
              <w:rPr>
                <w:rFonts w:ascii="Cambria Math" w:hAnsi="Cambria Math"/>
                <w:i/>
              </w:rPr>
            </m:ctrlPr>
          </m:sSubPr>
          <m:e>
            <m:r>
              <w:rPr>
                <w:rFonts w:ascii="Cambria Math" w:hAnsi="Cambria Math"/>
              </w:rPr>
              <m:t>α</m:t>
            </m:r>
          </m:e>
          <m:sub>
            <m:r>
              <w:rPr>
                <w:rFonts w:ascii="Cambria Math" w:hAnsi="Cambria Math"/>
              </w:rPr>
              <m:t>j</m:t>
            </m:r>
          </m:sub>
        </m:sSub>
      </m:oMath>
      <w:r w:rsidRPr="000531F4">
        <w:t>), a site-specific linear trend over time for counts (</w:t>
      </w:r>
      <m:oMath>
        <m:sSub>
          <m:sSubPr>
            <m:ctrlPr>
              <w:rPr>
                <w:rFonts w:ascii="Cambria Math" w:hAnsi="Cambria Math"/>
                <w:i/>
              </w:rPr>
            </m:ctrlPr>
          </m:sSubPr>
          <m:e>
            <m:r>
              <w:rPr>
                <w:rFonts w:ascii="Cambria Math" w:hAnsi="Cambria Math"/>
              </w:rPr>
              <m:t>β</m:t>
            </m:r>
          </m:e>
          <m:sub>
            <m:r>
              <w:rPr>
                <w:rFonts w:ascii="Cambria Math" w:hAnsi="Cambria Math"/>
              </w:rPr>
              <m:t>j</m:t>
            </m:r>
          </m:sub>
        </m:sSub>
      </m:oMath>
      <w:r w:rsidRPr="000531F4">
        <w:t>) with a covariate (</w:t>
      </w:r>
      <m:oMath>
        <m:sSub>
          <m:sSubPr>
            <m:ctrlPr>
              <w:rPr>
                <w:rFonts w:ascii="Cambria Math" w:hAnsi="Cambria Math"/>
                <w:i/>
              </w:rPr>
            </m:ctrlPr>
          </m:sSubPr>
          <m:e>
            <m:r>
              <w:rPr>
                <w:rFonts w:ascii="Cambria Math" w:hAnsi="Cambria Math"/>
              </w:rPr>
              <m:t>YEAR</m:t>
            </m:r>
          </m:e>
          <m:sub>
            <m:r>
              <w:rPr>
                <w:rFonts w:ascii="Cambria Math" w:hAnsi="Cambria Math"/>
              </w:rPr>
              <m:t>t</m:t>
            </m:r>
          </m:sub>
        </m:sSub>
      </m:oMath>
      <w:r w:rsidRPr="000531F4">
        <w:t xml:space="preserve">) as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t,j</m:t>
                </m:r>
              </m:sub>
            </m:sSub>
            <m:r>
              <w:rPr>
                <w:rFonts w:ascii="Cambria Math" w:hAnsi="Cambria Math"/>
              </w:rPr>
              <m:t>)</m:t>
            </m:r>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YEAR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oMath>
      <w:r>
        <w:t xml:space="preserve">, where </w:t>
      </w:r>
      <m:oMath>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~normal(0,  σ)</m:t>
        </m:r>
      </m:oMath>
      <w:r>
        <w:t xml:space="preserve">. </w:t>
      </w:r>
      <w:r w:rsidRPr="000531F4">
        <w:t>Year of monitoring (1988–2020) was included as a covariate (</w:t>
      </w:r>
      <m:oMath>
        <m:sSub>
          <m:sSubPr>
            <m:ctrlPr>
              <w:rPr>
                <w:rFonts w:ascii="Cambria Math" w:hAnsi="Cambria Math"/>
                <w:i/>
              </w:rPr>
            </m:ctrlPr>
          </m:sSubPr>
          <m:e>
            <m:r>
              <w:rPr>
                <w:rFonts w:ascii="Cambria Math" w:hAnsi="Cambria Math"/>
              </w:rPr>
              <m:t>YEAR</m:t>
            </m:r>
          </m:e>
          <m:sub>
            <m:r>
              <w:rPr>
                <w:rFonts w:ascii="Cambria Math" w:hAnsi="Cambria Math"/>
              </w:rPr>
              <m:t>t</m:t>
            </m:r>
          </m:sub>
        </m:sSub>
      </m:oMath>
      <w:r w:rsidRPr="000531F4">
        <w:t xml:space="preserve">) that was scaled and centered to have a minimum = -1, maximum = 1, and mean = 0. </w:t>
      </w:r>
      <w:r w:rsidRPr="00F22828">
        <w:t>Some sites included data of area of survey, but Fennoscandia did not include these data. Therefore, we were unable to include area as an offset to correct for the area surveyed at each site.</w:t>
      </w:r>
    </w:p>
    <w:p w14:paraId="58B26314" w14:textId="0754267E" w:rsidR="00CE5C96" w:rsidRDefault="00CE5C96" w:rsidP="00CE5C96">
      <w:pPr>
        <w:spacing w:line="480" w:lineRule="auto"/>
        <w:ind w:firstLine="360"/>
      </w:pPr>
      <w:r w:rsidRPr="000531F4">
        <w:t>We selected the best-fitting distribution (</w:t>
      </w:r>
      <w:r w:rsidR="005C0E9D">
        <w:t xml:space="preserve">either </w:t>
      </w:r>
      <w:r w:rsidRPr="000531F4">
        <w:t xml:space="preserve">Poisson, zero-inflated Poisson, </w:t>
      </w:r>
      <w:r>
        <w:t>or</w:t>
      </w:r>
      <w:r w:rsidRPr="000531F4">
        <w:t xml:space="preserve"> negative binomial) for count data by implementing global models that included the </w:t>
      </w:r>
      <w:proofErr w:type="gramStart"/>
      <w:r w:rsidRPr="000531F4">
        <w:t>aforementioned</w:t>
      </w:r>
      <w:r w:rsidR="00E8287E">
        <w:t xml:space="preserve"> </w:t>
      </w:r>
      <w:r w:rsidRPr="000531F4">
        <w:t>covariate</w:t>
      </w:r>
      <w:proofErr w:type="gramEnd"/>
      <w:r w:rsidRPr="000531F4">
        <w:t xml:space="preserve"> of a linear trend over time. We checked goodness-of-fit of each distribution using posterior predictive checks and Bayesian </w:t>
      </w:r>
      <w:r w:rsidRPr="00CC716E">
        <w:rPr>
          <w:i/>
          <w:iCs/>
        </w:rPr>
        <w:t>P</w:t>
      </w:r>
      <w:r w:rsidRPr="000531F4">
        <w:t>-values calculated using mean absolute percentage discrepancy statistic (</w:t>
      </w:r>
      <w:proofErr w:type="spellStart"/>
      <w:r w:rsidRPr="000531F4">
        <w:t>Kéry</w:t>
      </w:r>
      <w:proofErr w:type="spellEnd"/>
      <w:r w:rsidRPr="000531F4">
        <w:t xml:space="preserve"> and Schaub 2022). We retained the distribution that provided the best </w:t>
      </w:r>
      <w:r w:rsidRPr="000531F4">
        <w:lastRenderedPageBreak/>
        <w:t xml:space="preserve">fit for further analysis when its Bayesian </w:t>
      </w:r>
      <w:r w:rsidRPr="000531F4">
        <w:rPr>
          <w:i/>
        </w:rPr>
        <w:t>P</w:t>
      </w:r>
      <w:r w:rsidRPr="000531F4">
        <w:t xml:space="preserve">-value was nearest to 0.5 compared to other distributions. A negative binomial distribution provided best fit (Bayesian </w:t>
      </w:r>
      <w:r w:rsidRPr="000531F4">
        <w:rPr>
          <w:i/>
        </w:rPr>
        <w:t>P</w:t>
      </w:r>
      <w:r w:rsidRPr="000531F4">
        <w:t>-value = 0.</w:t>
      </w:r>
      <w:r>
        <w:t>45</w:t>
      </w:r>
      <w:r w:rsidRPr="000531F4">
        <w:t xml:space="preserve">) while Poisson and zero-inflated Poisson distributions provided poorer fit (Bayesian </w:t>
      </w:r>
      <w:r w:rsidRPr="000531F4">
        <w:rPr>
          <w:i/>
        </w:rPr>
        <w:t>P</w:t>
      </w:r>
      <w:r w:rsidRPr="000531F4">
        <w:t>-values = 0.05 and 0.98, respectively); therefore, we used the negative binomial distribution for inference.</w:t>
      </w:r>
    </w:p>
    <w:p w14:paraId="63243EF0" w14:textId="359D8815" w:rsidR="00CE5C96" w:rsidRPr="000531F4" w:rsidRDefault="00CE5C96" w:rsidP="00CE5C96">
      <w:pPr>
        <w:spacing w:line="480" w:lineRule="auto"/>
        <w:ind w:firstLine="360"/>
      </w:pPr>
      <w:r w:rsidRPr="000531F4">
        <w:t>We used Bayesian inference</w:t>
      </w:r>
      <w:r>
        <w:t xml:space="preserve"> using Hamilton Monte Carlo samplers (hereafter HMC)</w:t>
      </w:r>
      <w:r w:rsidRPr="000531F4">
        <w:t xml:space="preserve"> in R version 4.2.1 (R Core Team 2021) and NIMBLE version 0.13.0 (NIMBLE Development Team 2019)</w:t>
      </w:r>
      <w:r>
        <w:t xml:space="preserve"> and NIMBLEHMC version 0.2.0 (Turek et al. 2023)</w:t>
      </w:r>
      <w:r w:rsidRPr="000531F4">
        <w:t xml:space="preserve">. </w:t>
      </w:r>
      <w:r>
        <w:t>One distribution (i.e.</w:t>
      </w:r>
      <w:r w:rsidR="00A02938">
        <w:t>,</w:t>
      </w:r>
      <w:r>
        <w:t xml:space="preserve"> zero-inflated Poisson) could not be fit using HMC</w:t>
      </w:r>
      <w:r w:rsidR="00CE681B">
        <w:t xml:space="preserve"> because of limitations with discrete parameters</w:t>
      </w:r>
      <w:r>
        <w:t xml:space="preserve">; therefore, we switched to Markov Chain Monte Carlo (MCMC) methods for model implementation. </w:t>
      </w:r>
      <w:r w:rsidRPr="000531F4">
        <w:t xml:space="preserve">We fit each model using four chains with each chain having </w:t>
      </w:r>
      <w:r>
        <w:t>1</w:t>
      </w:r>
      <w:r w:rsidRPr="000531F4">
        <w:t xml:space="preserve">0,000 burn-in iterations, </w:t>
      </w:r>
      <w:r>
        <w:t>2</w:t>
      </w:r>
      <w:r w:rsidRPr="000531F4">
        <w:t>0,000 posterior iterations, thinned by retaining one in 1</w:t>
      </w:r>
      <w:r>
        <w:t>0</w:t>
      </w:r>
      <w:r w:rsidRPr="000531F4">
        <w:t xml:space="preserve"> iterations, thereby totaling 4,000 posterior draws (1,000 for each chain). We assigned adequate convergence when </w:t>
      </w:r>
      <m:oMath>
        <m:acc>
          <m:accPr>
            <m:ctrlPr>
              <w:rPr>
                <w:rFonts w:ascii="Cambria Math" w:hAnsi="Cambria Math"/>
                <w:i/>
              </w:rPr>
            </m:ctrlPr>
          </m:accPr>
          <m:e>
            <m:r>
              <w:rPr>
                <w:rFonts w:ascii="Cambria Math" w:hAnsi="Cambria Math"/>
              </w:rPr>
              <m:t>R</m:t>
            </m:r>
          </m:e>
        </m:acc>
      </m:oMath>
      <w:r w:rsidRPr="000531F4">
        <w:t xml:space="preserve"> ≤ 1.1 (Gelman and Rubin 1992) and traceplots did not appear to drift. </w:t>
      </w:r>
    </w:p>
    <w:p w14:paraId="765BD1AF" w14:textId="158DA212" w:rsidR="00C62819" w:rsidRDefault="00C62819" w:rsidP="00C62819">
      <w:pPr>
        <w:spacing w:line="480" w:lineRule="auto"/>
        <w:ind w:firstLine="360"/>
      </w:pPr>
      <w:r>
        <w:t>We provide pseudocode describing how we converted abundance estimates from models to percent change of snowy owl populations over three generations, consistent with IUCN Red List Criteria A2:</w:t>
      </w:r>
    </w:p>
    <w:p w14:paraId="0346C187" w14:textId="77777777" w:rsidR="00C62819" w:rsidRDefault="00C62819" w:rsidP="00C62819">
      <w:pPr>
        <w:spacing w:line="480" w:lineRule="auto"/>
        <w:ind w:left="360"/>
      </w:pPr>
      <w:r>
        <w:t>Step 1) Run model.</w:t>
      </w:r>
    </w:p>
    <w:p w14:paraId="4C7B0D04" w14:textId="77777777" w:rsidR="00C62819" w:rsidRDefault="00C62819" w:rsidP="00C62819">
      <w:pPr>
        <w:spacing w:line="480" w:lineRule="auto"/>
        <w:ind w:left="360"/>
      </w:pPr>
      <w:r>
        <w:t xml:space="preserve">Step 2) Derive population growth rates for each site and each year from posterior draws of predicted abundance.  </w:t>
      </w:r>
    </w:p>
    <w:p w14:paraId="27AF3C68" w14:textId="3E028535" w:rsidR="00C62819" w:rsidRDefault="00C62819" w:rsidP="00C62819">
      <w:pPr>
        <w:spacing w:line="480" w:lineRule="auto"/>
        <w:ind w:left="360"/>
      </w:pPr>
      <w:r>
        <w:t xml:space="preserve">Step 3) Calculate a weighted mean of population growth rates </w:t>
      </w:r>
      <w:r w:rsidR="005D0845">
        <w:t xml:space="preserve">among sites </w:t>
      </w:r>
      <w:r>
        <w:t xml:space="preserve">where each monitored site contributes proportional to its population size (count) each year. </w:t>
      </w:r>
    </w:p>
    <w:p w14:paraId="08AD261F" w14:textId="430D523D" w:rsidR="00C62819" w:rsidRDefault="00C62819" w:rsidP="00C62819">
      <w:pPr>
        <w:spacing w:line="480" w:lineRule="auto"/>
        <w:ind w:left="360"/>
      </w:pPr>
      <w:r>
        <w:lastRenderedPageBreak/>
        <w:t xml:space="preserve">Step 4) Set three generations from the end of the data set as a reference year </w:t>
      </w:r>
      <w:r w:rsidR="0023588A">
        <w:t xml:space="preserve">(reference year = 1996 and 1988 using 8-year and 10.7-year generations, respectively) </w:t>
      </w:r>
      <w:r>
        <w:t>when all posterior iterations equal one to calculate percent change from this baseline.</w:t>
      </w:r>
    </w:p>
    <w:p w14:paraId="759C198C" w14:textId="189ABA4B" w:rsidR="00C62819" w:rsidRDefault="00C62819" w:rsidP="00C62819">
      <w:pPr>
        <w:spacing w:line="480" w:lineRule="auto"/>
        <w:ind w:left="360"/>
      </w:pPr>
      <w:r>
        <w:t xml:space="preserve">Step 5) Multiply posterior iterations of </w:t>
      </w:r>
      <w:r w:rsidR="0023588A">
        <w:t>the reference year</w:t>
      </w:r>
      <w:r>
        <w:t xml:space="preserve"> (all equal to one) by subsequent population growth rates to estimate an overall population growth rate for each year. </w:t>
      </w:r>
    </w:p>
    <w:p w14:paraId="008D0919" w14:textId="51AE5AAE" w:rsidR="00C62819" w:rsidRDefault="00C62819" w:rsidP="00C62819">
      <w:pPr>
        <w:spacing w:line="480" w:lineRule="auto"/>
        <w:ind w:left="360"/>
      </w:pPr>
      <w:r>
        <w:t>Step 6) Convert population growth rates relative to percent change</w:t>
      </w:r>
      <w:r w:rsidR="009E38EB">
        <w:t xml:space="preserve"> since 1996</w:t>
      </w:r>
      <w:r>
        <w:t>.</w:t>
      </w:r>
    </w:p>
    <w:p w14:paraId="3F487232" w14:textId="77777777" w:rsidR="00C62819" w:rsidRPr="000531F4" w:rsidRDefault="00C62819" w:rsidP="000531F4">
      <w:pPr>
        <w:spacing w:line="480" w:lineRule="auto"/>
        <w:ind w:firstLine="360"/>
      </w:pPr>
    </w:p>
    <w:p w14:paraId="10E4F5A7" w14:textId="69843529" w:rsidR="0006406C" w:rsidRDefault="00CE5C96" w:rsidP="00947AEA">
      <w:pPr>
        <w:spacing w:line="480" w:lineRule="auto"/>
        <w:ind w:firstLine="360"/>
      </w:pPr>
      <w:r>
        <w:t xml:space="preserve">Here, we describe these steps in greater detail. </w:t>
      </w:r>
      <w:r w:rsidR="00C62819">
        <w:t>First (Step 1), we extracted estimated abundance</w:t>
      </w:r>
      <w:r>
        <w:t xml:space="preserve"> </w:t>
      </w:r>
      <w:r w:rsidR="00C62819">
        <w:t>for each site and year from the model. Second (Step 2),</w:t>
      </w:r>
      <w:r w:rsidR="005D0845">
        <w:t xml:space="preserve"> </w:t>
      </w:r>
      <w:r w:rsidR="000531F4" w:rsidRPr="000531F4">
        <w:t xml:space="preserve">we derived parameters to calculate population growth rates for each site from posterior distributions of relative abundance as </w:t>
      </w:r>
      <m:oMath>
        <m:sSub>
          <m:sSubPr>
            <m:ctrlPr>
              <w:rPr>
                <w:rFonts w:ascii="Cambria Math" w:hAnsi="Cambria Math"/>
                <w:i/>
              </w:rPr>
            </m:ctrlPr>
          </m:sSubPr>
          <m:e>
            <m:r>
              <w:rPr>
                <w:rFonts w:ascii="Cambria Math" w:hAnsi="Cambria Math"/>
              </w:rPr>
              <m:t>λ</m:t>
            </m:r>
          </m:e>
          <m:sub>
            <m:r>
              <w:rPr>
                <w:rFonts w:ascii="Cambria Math" w:hAnsi="Cambria Math"/>
              </w:rPr>
              <m:t>t,j</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t,j</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t-1,j</m:t>
            </m:r>
          </m:sub>
        </m:sSub>
        <m:r>
          <w:rPr>
            <w:rFonts w:ascii="Cambria Math" w:hAnsi="Cambria Math"/>
          </w:rPr>
          <m:t>)</m:t>
        </m:r>
      </m:oMath>
      <w:r w:rsidR="000531F4" w:rsidRPr="000531F4">
        <w:t xml:space="preserve"> </w:t>
      </w:r>
      <w:r w:rsidR="00C62819">
        <w:t xml:space="preserve">. Third (Step 3), </w:t>
      </w:r>
      <w:r w:rsidR="000531F4" w:rsidRPr="000531F4">
        <w:t>we used mean counts from surveys at each site to weight population growth rates</w:t>
      </w:r>
      <w:r w:rsidR="00C62819">
        <w:t xml:space="preserve"> (</w:t>
      </w:r>
      <m:oMath>
        <m:sSubSup>
          <m:sSubSupPr>
            <m:ctrlPr>
              <w:rPr>
                <w:rFonts w:ascii="Cambria Math" w:hAnsi="Cambria Math"/>
                <w:i/>
              </w:rPr>
            </m:ctrlPr>
          </m:sSubSupPr>
          <m:e>
            <m:r>
              <w:rPr>
                <w:rFonts w:ascii="Cambria Math" w:hAnsi="Cambria Math"/>
              </w:rPr>
              <m:t>λ</m:t>
            </m:r>
          </m:e>
          <m:sub>
            <m:r>
              <w:rPr>
                <w:rFonts w:ascii="Cambria Math" w:hAnsi="Cambria Math"/>
              </w:rPr>
              <m:t>t,j</m:t>
            </m:r>
          </m:sub>
          <m:sup>
            <m:r>
              <w:rPr>
                <w:rFonts w:ascii="Cambria Math" w:hAnsi="Cambria Math"/>
              </w:rPr>
              <m:t>weighted</m:t>
            </m:r>
          </m:sup>
        </m:sSubSup>
      </m:oMath>
      <w:r w:rsidR="00C62819">
        <w:t>) so that each site contributes proportionally to the count at each site that was monitored</w:t>
      </w:r>
      <w:r w:rsidR="000531F4" w:rsidRPr="000531F4">
        <w:t>. We assigned no weight (</w:t>
      </w:r>
      <w:r w:rsidR="009426E5" w:rsidRPr="000531F4">
        <w:t>i.e.,</w:t>
      </w:r>
      <w:r w:rsidR="000531F4" w:rsidRPr="000531F4">
        <w:t xml:space="preserve"> zero) to population growth rates during years when a site was not monitored for two consecutive years.</w:t>
      </w:r>
      <w:r w:rsidR="00C62819">
        <w:t xml:space="preserve"> Fourth, (Step 4) we </w:t>
      </w:r>
      <w:r w:rsidR="0023588A">
        <w:t>subtracted</w:t>
      </w:r>
      <w:r w:rsidR="00C62819">
        <w:t xml:space="preserve"> three generations </w:t>
      </w:r>
      <w:r w:rsidR="0023588A">
        <w:t xml:space="preserve">from the last </w:t>
      </w:r>
      <w:proofErr w:type="gramStart"/>
      <w:r w:rsidR="0023588A">
        <w:t>year  (</w:t>
      </w:r>
      <w:proofErr w:type="gramEnd"/>
      <w:r w:rsidR="0023588A">
        <w:t xml:space="preserve">2020) to determine the reference year </w:t>
      </w:r>
      <w:r w:rsidR="00C62819">
        <w:t>as a baseline year to ensure consistency with IUCN Red List Criteria</w:t>
      </w:r>
      <w:r w:rsidR="0023588A">
        <w:t xml:space="preserve"> A2</w:t>
      </w:r>
      <w:r w:rsidR="00C62819">
        <w:t xml:space="preserve">. Therefore, we set the posterior draws of this </w:t>
      </w:r>
      <w:r w:rsidR="0023588A">
        <w:t>reference</w:t>
      </w:r>
      <w:r w:rsidR="00C62819">
        <w:t xml:space="preserve"> year to a value of one. </w:t>
      </w:r>
      <w:r w:rsidR="0023588A">
        <w:t xml:space="preserve">We assumed an approximate generation time of 8 years based on </w:t>
      </w:r>
      <w:r w:rsidR="00B8514E">
        <w:t xml:space="preserve">the equation of Lande et al. (2003) and using the </w:t>
      </w:r>
      <w:r w:rsidR="0023588A">
        <w:t>estimates from Therrien et al. 2012</w:t>
      </w:r>
      <w:r w:rsidR="00B8514E">
        <w:t>,</w:t>
      </w:r>
      <w:r w:rsidR="0023588A">
        <w:t xml:space="preserve"> and 10.7 based on the maximum generation time from which we could estimate three generations given the data. We included the longer generation time (i.e.</w:t>
      </w:r>
      <w:r w:rsidR="00947AEA">
        <w:t>,</w:t>
      </w:r>
      <w:r w:rsidR="0023588A">
        <w:t xml:space="preserve"> 10.7 years) because members of the working group suspected that 8 years might be the lower boundary of generation time given the methods used elsewhere for estimation, and this was the longest generation time for which we could estimate percent change over three generations.</w:t>
      </w:r>
      <w:r w:rsidR="00947AEA">
        <w:t xml:space="preserve"> </w:t>
      </w:r>
      <w:r w:rsidR="00C62819">
        <w:t xml:space="preserve">Fifth </w:t>
      </w:r>
      <w:r w:rsidR="00C62819">
        <w:lastRenderedPageBreak/>
        <w:t xml:space="preserve">(Step 5), we started with the </w:t>
      </w:r>
      <w:r w:rsidR="00947AEA">
        <w:t>posterior of the reference year</w:t>
      </w:r>
      <w:r w:rsidR="00C62819">
        <w:t xml:space="preserve"> (1996</w:t>
      </w:r>
      <w:r w:rsidR="00947AEA">
        <w:t xml:space="preserve"> and 1988</w:t>
      </w:r>
      <w:r w:rsidR="00C62819">
        <w:t>) equal to one and multiplied each year by the weighted population growth rate</w:t>
      </w:r>
      <w:r w:rsidR="00A171CD">
        <w:t xml:space="preserve"> among sites</w:t>
      </w:r>
      <w:r w:rsidR="00C62819">
        <w:t xml:space="preserve"> during the following year. These values now represented the population growth rates compared to </w:t>
      </w:r>
      <w:r w:rsidR="00947AEA">
        <w:t xml:space="preserve">the reference year </w:t>
      </w:r>
      <w:r w:rsidR="00C62819">
        <w:t>(</w:t>
      </w:r>
      <w:r w:rsidR="00947AEA">
        <w:t xml:space="preserve">e.g., </w:t>
      </w:r>
      <m:oMath>
        <m:sSubSup>
          <m:sSubSupPr>
            <m:ctrlPr>
              <w:rPr>
                <w:rFonts w:ascii="Cambria Math" w:hAnsi="Cambria Math"/>
                <w:i/>
              </w:rPr>
            </m:ctrlPr>
          </m:sSubSupPr>
          <m:e>
            <m:r>
              <w:rPr>
                <w:rFonts w:ascii="Cambria Math" w:hAnsi="Cambria Math"/>
              </w:rPr>
              <m:t>λ</m:t>
            </m:r>
          </m:e>
          <m:sub>
            <m:r>
              <w:rPr>
                <w:rFonts w:ascii="Cambria Math" w:hAnsi="Cambria Math"/>
              </w:rPr>
              <m:t>t,j</m:t>
            </m:r>
          </m:sub>
          <m:sup>
            <m:r>
              <w:rPr>
                <w:rFonts w:ascii="Cambria Math" w:hAnsi="Cambria Math"/>
              </w:rPr>
              <m:t>1996</m:t>
            </m:r>
          </m:sup>
        </m:sSubSup>
      </m:oMath>
      <w:r w:rsidR="00C62819">
        <w:t xml:space="preserve">). Sixth (Step 6), we converted these values to percent change after three generations (Step 6), </w:t>
      </w:r>
      <w:r w:rsidR="00947AEA">
        <w:t xml:space="preserve">e.g., </w:t>
      </w:r>
      <w:r w:rsidR="00C62819">
        <w:t xml:space="preserve">percent change = </w:t>
      </w:r>
      <w:r w:rsidR="00C62819" w:rsidRPr="000531F4">
        <w:t>(</w:t>
      </w:r>
      <m:oMath>
        <m:sSubSup>
          <m:sSubSupPr>
            <m:ctrlPr>
              <w:rPr>
                <w:rFonts w:ascii="Cambria Math" w:hAnsi="Cambria Math"/>
                <w:i/>
              </w:rPr>
            </m:ctrlPr>
          </m:sSubSupPr>
          <m:e>
            <m:r>
              <w:rPr>
                <w:rFonts w:ascii="Cambria Math" w:hAnsi="Cambria Math"/>
              </w:rPr>
              <m:t>λ</m:t>
            </m:r>
          </m:e>
          <m:sub>
            <m:r>
              <w:rPr>
                <w:rFonts w:ascii="Cambria Math" w:hAnsi="Cambria Math"/>
              </w:rPr>
              <m:t>t,j</m:t>
            </m:r>
          </m:sub>
          <m:sup>
            <m:r>
              <w:rPr>
                <w:rFonts w:ascii="Cambria Math" w:hAnsi="Cambria Math"/>
              </w:rPr>
              <m:t>1996</m:t>
            </m:r>
          </m:sup>
        </m:sSubSup>
      </m:oMath>
      <w:r w:rsidR="00C62819" w:rsidRPr="000531F4">
        <w:t>-1)</w:t>
      </w:r>
      <w:r w:rsidR="00C62819">
        <w:t> </w:t>
      </w:r>
      <w:r w:rsidR="00C62819" w:rsidRPr="000531F4">
        <w:t>×100</w:t>
      </w:r>
      <w:r w:rsidR="00C62819">
        <w:t xml:space="preserve"> (Sauer et al. 2017). Percent change after three generations can be directly interpreted under the IUCN Red List Criteria A2 and propagates uncertainty in these values. </w:t>
      </w:r>
    </w:p>
    <w:p w14:paraId="54A15296" w14:textId="3DDB47B6" w:rsidR="0006406C" w:rsidRDefault="0006406C" w:rsidP="00984865">
      <w:pPr>
        <w:spacing w:line="480" w:lineRule="auto"/>
        <w:ind w:firstLine="360"/>
      </w:pPr>
      <w:r w:rsidRPr="000531F4">
        <w:t>We attempted to fit more complex models using a multivariate normal distribution that allowed parameters</w:t>
      </w:r>
      <w:r>
        <w:t xml:space="preserve"> to</w:t>
      </w:r>
      <w:r w:rsidRPr="000531F4">
        <w:t xml:space="preserve"> </w:t>
      </w:r>
      <w:r>
        <w:t>include correlations</w:t>
      </w:r>
      <w:r w:rsidRPr="000531F4">
        <w:t xml:space="preserve"> among sites; however, these models did not adequately converge and were discarded from further consideration.</w:t>
      </w:r>
      <w:r>
        <w:t xml:space="preserve"> We also attempted to fit a model that included site and time as random factors; however, these results included several sites that did not meet our criteria from simulations</w:t>
      </w:r>
      <w:r w:rsidR="00947AEA">
        <w:t xml:space="preserve"> (online supplementary Figs. S8 and S9)</w:t>
      </w:r>
      <w:r w:rsidR="002A53F7">
        <w:t xml:space="preserve">. </w:t>
      </w:r>
      <w:r>
        <w:t xml:space="preserve">This analysis yielded similar results to those presented in the methods of this manuscript. </w:t>
      </w:r>
    </w:p>
    <w:p w14:paraId="7495166B" w14:textId="5F0EA7F9" w:rsidR="000531F4" w:rsidRDefault="000531F4" w:rsidP="000531F4">
      <w:pPr>
        <w:spacing w:line="480" w:lineRule="auto"/>
        <w:ind w:left="360" w:hanging="360"/>
        <w:rPr>
          <w:b/>
          <w:bCs/>
        </w:rPr>
      </w:pPr>
      <w:r w:rsidRPr="000531F4">
        <w:rPr>
          <w:b/>
          <w:bCs/>
        </w:rPr>
        <w:t>Literature Cited</w:t>
      </w:r>
    </w:p>
    <w:p w14:paraId="504EE089" w14:textId="19B61A5D" w:rsidR="0006406C" w:rsidRPr="0006406C" w:rsidRDefault="0006406C" w:rsidP="0006406C">
      <w:pPr>
        <w:spacing w:line="480" w:lineRule="auto"/>
        <w:ind w:left="360" w:hanging="360"/>
      </w:pPr>
      <w:proofErr w:type="spellStart"/>
      <w:r w:rsidRPr="00276448">
        <w:rPr>
          <w:b/>
          <w:bCs/>
        </w:rPr>
        <w:t>BirdLife</w:t>
      </w:r>
      <w:proofErr w:type="spellEnd"/>
      <w:r w:rsidRPr="00276448">
        <w:rPr>
          <w:b/>
          <w:bCs/>
        </w:rPr>
        <w:t xml:space="preserve"> International</w:t>
      </w:r>
      <w:r w:rsidR="00947AEA">
        <w:t xml:space="preserve"> (</w:t>
      </w:r>
      <w:r>
        <w:t>2020</w:t>
      </w:r>
      <w:r w:rsidR="00947AEA">
        <w:t>)</w:t>
      </w:r>
      <w:r>
        <w:t xml:space="preserve"> Species factsheet: </w:t>
      </w:r>
      <w:r w:rsidRPr="003921DD">
        <w:rPr>
          <w:i/>
        </w:rPr>
        <w:t xml:space="preserve">Bubo </w:t>
      </w:r>
      <w:proofErr w:type="spellStart"/>
      <w:r w:rsidRPr="003921DD">
        <w:rPr>
          <w:i/>
        </w:rPr>
        <w:t>scandiacus</w:t>
      </w:r>
      <w:proofErr w:type="spellEnd"/>
      <w:r>
        <w:t xml:space="preserve">, IUCN Red List for Birds. </w:t>
      </w:r>
      <w:hyperlink r:id="rId15" w:history="1">
        <w:r w:rsidRPr="00A369BA">
          <w:rPr>
            <w:rStyle w:val="Hyperlink"/>
          </w:rPr>
          <w:t>http://www.birdlife.org</w:t>
        </w:r>
      </w:hyperlink>
      <w:r>
        <w:t xml:space="preserve"> on 12/04/2020.</w:t>
      </w:r>
    </w:p>
    <w:p w14:paraId="1689F88A" w14:textId="4D14D354" w:rsidR="000531F4" w:rsidRPr="000531F4" w:rsidRDefault="000531F4" w:rsidP="000531F4">
      <w:pPr>
        <w:spacing w:line="480" w:lineRule="auto"/>
        <w:ind w:left="360" w:hanging="360"/>
      </w:pPr>
      <w:r w:rsidRPr="00276448">
        <w:rPr>
          <w:b/>
          <w:bCs/>
        </w:rPr>
        <w:t xml:space="preserve">Gelman A. </w:t>
      </w:r>
      <w:r w:rsidR="00903E34" w:rsidRPr="00276448">
        <w:rPr>
          <w:b/>
          <w:bCs/>
        </w:rPr>
        <w:t xml:space="preserve">and </w:t>
      </w:r>
      <w:r w:rsidR="00947AEA" w:rsidRPr="00276448">
        <w:rPr>
          <w:b/>
          <w:bCs/>
        </w:rPr>
        <w:t>Hill J.</w:t>
      </w:r>
      <w:r w:rsidR="00947AEA">
        <w:t xml:space="preserve"> (2</w:t>
      </w:r>
      <w:r w:rsidRPr="000531F4">
        <w:t>007</w:t>
      </w:r>
      <w:r w:rsidR="00947AEA">
        <w:t>)</w:t>
      </w:r>
      <w:r w:rsidRPr="000531F4">
        <w:t xml:space="preserve"> Data Analysis Using Regression and Multilevel/Hierarchical Models. Cambridge University Press.</w:t>
      </w:r>
    </w:p>
    <w:p w14:paraId="46108EBD" w14:textId="4380B828" w:rsidR="000531F4" w:rsidRPr="000531F4" w:rsidRDefault="000531F4" w:rsidP="000531F4">
      <w:pPr>
        <w:spacing w:line="480" w:lineRule="auto"/>
        <w:ind w:left="360" w:hanging="360"/>
      </w:pPr>
      <w:r w:rsidRPr="00276448">
        <w:rPr>
          <w:b/>
          <w:bCs/>
        </w:rPr>
        <w:t>Gelman A. and Rubin</w:t>
      </w:r>
      <w:r w:rsidR="00947AEA" w:rsidRPr="00276448">
        <w:rPr>
          <w:b/>
          <w:bCs/>
        </w:rPr>
        <w:t xml:space="preserve"> D.B.</w:t>
      </w:r>
      <w:r w:rsidRPr="000531F4">
        <w:t xml:space="preserve"> </w:t>
      </w:r>
      <w:r w:rsidR="00947AEA">
        <w:t>(</w:t>
      </w:r>
      <w:r w:rsidRPr="000531F4">
        <w:t>1992</w:t>
      </w:r>
      <w:r w:rsidR="00947AEA">
        <w:t>)</w:t>
      </w:r>
      <w:r w:rsidRPr="000531F4">
        <w:t xml:space="preserve"> Inference from iterative simulation using multiple sequences. </w:t>
      </w:r>
      <w:r w:rsidRPr="00903E34">
        <w:rPr>
          <w:i/>
          <w:iCs/>
        </w:rPr>
        <w:t>Statistical Science</w:t>
      </w:r>
      <w:r w:rsidRPr="000531F4">
        <w:t xml:space="preserve"> </w:t>
      </w:r>
      <w:r w:rsidRPr="004B26B1">
        <w:rPr>
          <w:b/>
          <w:bCs/>
        </w:rPr>
        <w:t>7</w:t>
      </w:r>
      <w:r w:rsidR="004B26B1">
        <w:t xml:space="preserve">, </w:t>
      </w:r>
      <w:r w:rsidRPr="000531F4">
        <w:t>457–472.</w:t>
      </w:r>
    </w:p>
    <w:p w14:paraId="2E45A222" w14:textId="7B32CB49" w:rsidR="00412A3E" w:rsidRDefault="00412A3E" w:rsidP="00412A3E">
      <w:pPr>
        <w:spacing w:line="480" w:lineRule="auto"/>
        <w:ind w:left="360" w:hanging="360"/>
      </w:pPr>
      <w:r w:rsidRPr="00276448">
        <w:rPr>
          <w:b/>
          <w:bCs/>
        </w:rPr>
        <w:t xml:space="preserve">Lande R., Engen S. and </w:t>
      </w:r>
      <w:proofErr w:type="spellStart"/>
      <w:r w:rsidRPr="00276448">
        <w:rPr>
          <w:b/>
          <w:bCs/>
        </w:rPr>
        <w:t>Saether</w:t>
      </w:r>
      <w:proofErr w:type="spellEnd"/>
      <w:r w:rsidRPr="00276448">
        <w:rPr>
          <w:b/>
          <w:bCs/>
        </w:rPr>
        <w:t xml:space="preserve"> B.E.</w:t>
      </w:r>
      <w:r w:rsidRPr="00412A3E">
        <w:t xml:space="preserve"> (2003) </w:t>
      </w:r>
      <w:r w:rsidRPr="004B26B1">
        <w:rPr>
          <w:iCs/>
        </w:rPr>
        <w:t>Stochastic population dynamics in ecology and conservation</w:t>
      </w:r>
      <w:r w:rsidRPr="00412A3E">
        <w:t>. Oxford University Press, USA.</w:t>
      </w:r>
    </w:p>
    <w:p w14:paraId="6362991D" w14:textId="065D8AE0" w:rsidR="000531F4" w:rsidRPr="000531F4" w:rsidRDefault="000531F4" w:rsidP="000531F4">
      <w:pPr>
        <w:spacing w:line="480" w:lineRule="auto"/>
        <w:ind w:left="360" w:hanging="360"/>
      </w:pPr>
      <w:r w:rsidRPr="00276448">
        <w:rPr>
          <w:b/>
          <w:bCs/>
          <w:lang w:val="nn-NO"/>
        </w:rPr>
        <w:lastRenderedPageBreak/>
        <w:t>NIMBLE Development Team</w:t>
      </w:r>
      <w:r w:rsidR="00947AEA" w:rsidRPr="00276448">
        <w:rPr>
          <w:b/>
          <w:bCs/>
          <w:lang w:val="nn-NO"/>
        </w:rPr>
        <w:t xml:space="preserve"> </w:t>
      </w:r>
      <w:r w:rsidR="00947AEA">
        <w:rPr>
          <w:lang w:val="nn-NO"/>
        </w:rPr>
        <w:t>(</w:t>
      </w:r>
      <w:r w:rsidRPr="000531F4">
        <w:rPr>
          <w:lang w:val="nn-NO"/>
        </w:rPr>
        <w:t>2019</w:t>
      </w:r>
      <w:r w:rsidR="00947AEA">
        <w:rPr>
          <w:lang w:val="nn-NO"/>
        </w:rPr>
        <w:t>)</w:t>
      </w:r>
      <w:r w:rsidRPr="000531F4">
        <w:rPr>
          <w:lang w:val="nn-NO"/>
        </w:rPr>
        <w:t xml:space="preserve"> NIMBLE: MCMC, </w:t>
      </w:r>
      <w:proofErr w:type="spellStart"/>
      <w:r w:rsidRPr="000531F4">
        <w:rPr>
          <w:lang w:val="nn-NO"/>
        </w:rPr>
        <w:t>Particle</w:t>
      </w:r>
      <w:proofErr w:type="spellEnd"/>
      <w:r w:rsidRPr="000531F4">
        <w:rPr>
          <w:lang w:val="nn-NO"/>
        </w:rPr>
        <w:t xml:space="preserve"> </w:t>
      </w:r>
      <w:proofErr w:type="spellStart"/>
      <w:r w:rsidRPr="000531F4">
        <w:rPr>
          <w:lang w:val="nn-NO"/>
        </w:rPr>
        <w:t>Filtering</w:t>
      </w:r>
      <w:proofErr w:type="spellEnd"/>
      <w:r w:rsidRPr="000531F4">
        <w:rPr>
          <w:lang w:val="nn-NO"/>
        </w:rPr>
        <w:t xml:space="preserve">, and </w:t>
      </w:r>
      <w:proofErr w:type="spellStart"/>
      <w:r w:rsidRPr="000531F4">
        <w:rPr>
          <w:lang w:val="nn-NO"/>
        </w:rPr>
        <w:t>Programmable</w:t>
      </w:r>
      <w:proofErr w:type="spellEnd"/>
      <w:r w:rsidRPr="000531F4">
        <w:rPr>
          <w:lang w:val="nn-NO"/>
        </w:rPr>
        <w:t xml:space="preserve"> </w:t>
      </w:r>
      <w:proofErr w:type="spellStart"/>
      <w:r w:rsidRPr="000531F4">
        <w:rPr>
          <w:lang w:val="nn-NO"/>
        </w:rPr>
        <w:t>Hierarchical</w:t>
      </w:r>
      <w:proofErr w:type="spellEnd"/>
      <w:r w:rsidRPr="000531F4">
        <w:rPr>
          <w:lang w:val="nn-NO"/>
        </w:rPr>
        <w:t xml:space="preserve"> </w:t>
      </w:r>
      <w:proofErr w:type="spellStart"/>
      <w:r w:rsidRPr="000531F4">
        <w:rPr>
          <w:lang w:val="nn-NO"/>
        </w:rPr>
        <w:t>Modeling</w:t>
      </w:r>
      <w:proofErr w:type="spellEnd"/>
      <w:r w:rsidRPr="000531F4">
        <w:rPr>
          <w:lang w:val="nn-NO"/>
        </w:rPr>
        <w:t>.</w:t>
      </w:r>
    </w:p>
    <w:p w14:paraId="5898CE0B" w14:textId="34A5AE3B" w:rsidR="000531F4" w:rsidRPr="000531F4" w:rsidRDefault="000531F4" w:rsidP="000531F4">
      <w:pPr>
        <w:spacing w:line="480" w:lineRule="auto"/>
        <w:ind w:left="360" w:hanging="360"/>
      </w:pPr>
      <w:r w:rsidRPr="00276448">
        <w:rPr>
          <w:b/>
          <w:bCs/>
        </w:rPr>
        <w:t>R Core Team</w:t>
      </w:r>
      <w:r w:rsidRPr="000531F4">
        <w:t xml:space="preserve"> </w:t>
      </w:r>
      <w:r w:rsidR="00947AEA">
        <w:t>(</w:t>
      </w:r>
      <w:r w:rsidRPr="000531F4">
        <w:t>2022</w:t>
      </w:r>
      <w:r w:rsidR="00947AEA">
        <w:t>)</w:t>
      </w:r>
      <w:r w:rsidRPr="000531F4">
        <w:t xml:space="preserve"> R: A language and environment for statistical computing. R Foundation for Statistical Computing, Vienna, Austria.</w:t>
      </w:r>
    </w:p>
    <w:p w14:paraId="79255409" w14:textId="2C4E9A18" w:rsidR="000531F4" w:rsidRDefault="000531F4" w:rsidP="000531F4">
      <w:pPr>
        <w:spacing w:line="480" w:lineRule="auto"/>
        <w:ind w:left="360" w:hanging="360"/>
      </w:pPr>
      <w:r w:rsidRPr="00276448">
        <w:rPr>
          <w:b/>
          <w:bCs/>
        </w:rPr>
        <w:t xml:space="preserve">Sauer J.R. </w:t>
      </w:r>
      <w:r w:rsidR="008D6196" w:rsidRPr="00276448">
        <w:rPr>
          <w:b/>
          <w:bCs/>
        </w:rPr>
        <w:t xml:space="preserve">and </w:t>
      </w:r>
      <w:r w:rsidRPr="00276448">
        <w:rPr>
          <w:b/>
          <w:bCs/>
        </w:rPr>
        <w:t>Link</w:t>
      </w:r>
      <w:r w:rsidR="00947AEA" w:rsidRPr="00276448">
        <w:rPr>
          <w:b/>
          <w:bCs/>
        </w:rPr>
        <w:t xml:space="preserve"> W.A</w:t>
      </w:r>
      <w:r w:rsidR="008D6196" w:rsidRPr="00276448">
        <w:rPr>
          <w:b/>
          <w:bCs/>
        </w:rPr>
        <w:t>.</w:t>
      </w:r>
      <w:r w:rsidR="008D6196">
        <w:t xml:space="preserve"> </w:t>
      </w:r>
      <w:r w:rsidR="00947AEA">
        <w:t>(</w:t>
      </w:r>
      <w:r w:rsidRPr="000531F4">
        <w:t>2011</w:t>
      </w:r>
      <w:r w:rsidR="00947AEA">
        <w:t>)</w:t>
      </w:r>
      <w:r w:rsidRPr="000531F4">
        <w:t xml:space="preserve"> Analysis of the North American Breeding Bird Survey Using Hierarchical Models. </w:t>
      </w:r>
      <w:r w:rsidRPr="000531F4">
        <w:rPr>
          <w:i/>
          <w:iCs/>
        </w:rPr>
        <w:t>The Auk</w:t>
      </w:r>
      <w:r w:rsidRPr="000531F4">
        <w:t xml:space="preserve"> </w:t>
      </w:r>
      <w:r w:rsidRPr="00176C86">
        <w:rPr>
          <w:b/>
          <w:bCs/>
        </w:rPr>
        <w:t>128</w:t>
      </w:r>
      <w:r w:rsidR="00176C86">
        <w:t>,</w:t>
      </w:r>
      <w:r w:rsidRPr="000531F4">
        <w:t xml:space="preserve"> 87–98. </w:t>
      </w:r>
      <w:r w:rsidR="008D6196" w:rsidRPr="000531F4">
        <w:t>D</w:t>
      </w:r>
      <w:r w:rsidRPr="000531F4">
        <w:t>oi</w:t>
      </w:r>
      <w:r w:rsidR="008D6196">
        <w:t>:</w:t>
      </w:r>
      <w:r w:rsidRPr="000531F4">
        <w:t>10.1525/auk.2010.09220</w:t>
      </w:r>
    </w:p>
    <w:p w14:paraId="6D984958" w14:textId="51270CF4" w:rsidR="00C62819" w:rsidRPr="000531F4" w:rsidRDefault="00C62819" w:rsidP="00C62819">
      <w:pPr>
        <w:spacing w:line="480" w:lineRule="auto"/>
        <w:ind w:left="360" w:hanging="360"/>
      </w:pPr>
      <w:r w:rsidRPr="00276448">
        <w:rPr>
          <w:b/>
          <w:bCs/>
        </w:rPr>
        <w:t>Sauer</w:t>
      </w:r>
      <w:r w:rsidR="00176C86" w:rsidRPr="00276448">
        <w:rPr>
          <w:b/>
          <w:bCs/>
        </w:rPr>
        <w:t xml:space="preserve"> </w:t>
      </w:r>
      <w:r w:rsidRPr="00276448">
        <w:rPr>
          <w:b/>
          <w:bCs/>
        </w:rPr>
        <w:t>J.R.,</w:t>
      </w:r>
      <w:r w:rsidR="00984865" w:rsidRPr="00276448">
        <w:rPr>
          <w:b/>
          <w:bCs/>
        </w:rPr>
        <w:t xml:space="preserve"> </w:t>
      </w:r>
      <w:proofErr w:type="spellStart"/>
      <w:r w:rsidRPr="00276448">
        <w:rPr>
          <w:b/>
          <w:bCs/>
        </w:rPr>
        <w:t>Pardieck</w:t>
      </w:r>
      <w:proofErr w:type="spellEnd"/>
      <w:r w:rsidR="00984865" w:rsidRPr="00276448">
        <w:rPr>
          <w:b/>
          <w:bCs/>
        </w:rPr>
        <w:t xml:space="preserve"> K.L.,</w:t>
      </w:r>
      <w:r w:rsidRPr="00276448">
        <w:rPr>
          <w:b/>
          <w:bCs/>
        </w:rPr>
        <w:t xml:space="preserve"> Ziolkowski Jr</w:t>
      </w:r>
      <w:r w:rsidR="00176C86" w:rsidRPr="00276448">
        <w:rPr>
          <w:b/>
          <w:bCs/>
        </w:rPr>
        <w:t xml:space="preserve"> </w:t>
      </w:r>
      <w:r w:rsidR="00984865" w:rsidRPr="00276448">
        <w:rPr>
          <w:b/>
          <w:bCs/>
        </w:rPr>
        <w:t>D.J.</w:t>
      </w:r>
      <w:r w:rsidRPr="00276448">
        <w:rPr>
          <w:b/>
          <w:bCs/>
        </w:rPr>
        <w:t>, Smith</w:t>
      </w:r>
      <w:r w:rsidR="00984865" w:rsidRPr="00276448">
        <w:rPr>
          <w:b/>
          <w:bCs/>
        </w:rPr>
        <w:t xml:space="preserve"> A.C.,</w:t>
      </w:r>
      <w:r w:rsidRPr="00276448">
        <w:rPr>
          <w:b/>
          <w:bCs/>
        </w:rPr>
        <w:t xml:space="preserve"> Hudson</w:t>
      </w:r>
      <w:r w:rsidR="00984865" w:rsidRPr="00276448">
        <w:rPr>
          <w:b/>
          <w:bCs/>
        </w:rPr>
        <w:t xml:space="preserve"> M.R., </w:t>
      </w:r>
      <w:r w:rsidRPr="00276448">
        <w:rPr>
          <w:b/>
          <w:bCs/>
        </w:rPr>
        <w:t>Rodriguez</w:t>
      </w:r>
      <w:r w:rsidR="00984865" w:rsidRPr="00276448">
        <w:rPr>
          <w:b/>
          <w:bCs/>
        </w:rPr>
        <w:t xml:space="preserve"> V.,</w:t>
      </w:r>
      <w:r w:rsidRPr="00276448">
        <w:rPr>
          <w:b/>
          <w:bCs/>
        </w:rPr>
        <w:t xml:space="preserve"> Berlanga </w:t>
      </w:r>
      <w:r w:rsidR="00984865" w:rsidRPr="00276448">
        <w:rPr>
          <w:b/>
          <w:bCs/>
        </w:rPr>
        <w:t xml:space="preserve">H., </w:t>
      </w:r>
      <w:r w:rsidRPr="00276448">
        <w:rPr>
          <w:b/>
          <w:bCs/>
        </w:rPr>
        <w:t>Niven</w:t>
      </w:r>
      <w:r w:rsidR="00984865" w:rsidRPr="00276448">
        <w:rPr>
          <w:b/>
          <w:bCs/>
        </w:rPr>
        <w:t xml:space="preserve"> D.K.</w:t>
      </w:r>
      <w:r w:rsidRPr="00276448">
        <w:rPr>
          <w:b/>
          <w:bCs/>
        </w:rPr>
        <w:t xml:space="preserve"> and Link</w:t>
      </w:r>
      <w:r w:rsidR="00984865" w:rsidRPr="00276448">
        <w:rPr>
          <w:b/>
          <w:bCs/>
        </w:rPr>
        <w:t xml:space="preserve"> W.A</w:t>
      </w:r>
      <w:r w:rsidRPr="00276448">
        <w:rPr>
          <w:b/>
          <w:bCs/>
        </w:rPr>
        <w:t>.</w:t>
      </w:r>
      <w:r>
        <w:t xml:space="preserve"> </w:t>
      </w:r>
      <w:r w:rsidR="00947AEA">
        <w:t>(</w:t>
      </w:r>
      <w:r>
        <w:t>2017</w:t>
      </w:r>
      <w:r w:rsidR="00947AEA">
        <w:t>)</w:t>
      </w:r>
      <w:r w:rsidRPr="006444CB">
        <w:t xml:space="preserve"> The first 50 years of the North American breeding bird survey. </w:t>
      </w:r>
      <w:r w:rsidRPr="00984865">
        <w:rPr>
          <w:i/>
        </w:rPr>
        <w:t>The Condor: Ornithological Applications</w:t>
      </w:r>
      <w:r w:rsidRPr="006444CB">
        <w:t xml:space="preserve"> </w:t>
      </w:r>
      <w:r w:rsidRPr="00176C86">
        <w:rPr>
          <w:b/>
          <w:bCs/>
        </w:rPr>
        <w:t>119</w:t>
      </w:r>
      <w:r w:rsidR="00176C86">
        <w:t xml:space="preserve">, </w:t>
      </w:r>
      <w:r w:rsidRPr="006444CB">
        <w:t>576</w:t>
      </w:r>
      <w:r w:rsidR="000228CB">
        <w:t>–</w:t>
      </w:r>
      <w:r w:rsidRPr="006444CB">
        <w:t>593.</w:t>
      </w:r>
    </w:p>
    <w:p w14:paraId="63F213CE" w14:textId="7492E30B" w:rsidR="00947AEA" w:rsidRDefault="000531F4" w:rsidP="00947AEA">
      <w:pPr>
        <w:spacing w:line="480" w:lineRule="auto"/>
        <w:ind w:left="360" w:hanging="360"/>
      </w:pPr>
      <w:r w:rsidRPr="00276448">
        <w:rPr>
          <w:b/>
          <w:bCs/>
        </w:rPr>
        <w:t xml:space="preserve">Schaub M. and </w:t>
      </w:r>
      <w:proofErr w:type="spellStart"/>
      <w:r w:rsidRPr="00276448">
        <w:rPr>
          <w:b/>
          <w:bCs/>
        </w:rPr>
        <w:t>Kery</w:t>
      </w:r>
      <w:proofErr w:type="spellEnd"/>
      <w:r w:rsidR="00947AEA" w:rsidRPr="00276448">
        <w:rPr>
          <w:b/>
          <w:bCs/>
        </w:rPr>
        <w:t xml:space="preserve"> M</w:t>
      </w:r>
      <w:r w:rsidRPr="00276448">
        <w:rPr>
          <w:b/>
          <w:bCs/>
        </w:rPr>
        <w:t>.</w:t>
      </w:r>
      <w:r w:rsidRPr="000531F4">
        <w:t xml:space="preserve"> </w:t>
      </w:r>
      <w:r w:rsidR="00947AEA">
        <w:t>(</w:t>
      </w:r>
      <w:r w:rsidRPr="000531F4">
        <w:t>2021</w:t>
      </w:r>
      <w:r w:rsidR="00947AEA">
        <w:t>)</w:t>
      </w:r>
      <w:r w:rsidRPr="000531F4">
        <w:t xml:space="preserve"> Integrated population models: theory and ecological applications with R and JAGS. Academic Press.</w:t>
      </w:r>
    </w:p>
    <w:p w14:paraId="20A7EEAA" w14:textId="799F2D59" w:rsidR="00947AEA" w:rsidRPr="00947AEA" w:rsidRDefault="00947AEA" w:rsidP="00947AEA">
      <w:pPr>
        <w:spacing w:line="480" w:lineRule="auto"/>
        <w:ind w:left="360" w:hanging="360"/>
      </w:pPr>
      <w:r w:rsidRPr="00DE4D54">
        <w:rPr>
          <w:b/>
          <w:bCs/>
          <w:color w:val="222222"/>
          <w:shd w:val="clear" w:color="auto" w:fill="FFFFFF"/>
        </w:rPr>
        <w:t>Therrien J.F., Gauthie</w:t>
      </w:r>
      <w:r w:rsidR="00176C86" w:rsidRPr="00DE4D54">
        <w:rPr>
          <w:b/>
          <w:bCs/>
          <w:color w:val="222222"/>
          <w:shd w:val="clear" w:color="auto" w:fill="FFFFFF"/>
        </w:rPr>
        <w:t>r</w:t>
      </w:r>
      <w:r w:rsidRPr="00DE4D54">
        <w:rPr>
          <w:b/>
          <w:bCs/>
          <w:color w:val="222222"/>
          <w:shd w:val="clear" w:color="auto" w:fill="FFFFFF"/>
        </w:rPr>
        <w:t xml:space="preserve"> G. and </w:t>
      </w:r>
      <w:proofErr w:type="spellStart"/>
      <w:r w:rsidRPr="00DE4D54">
        <w:rPr>
          <w:b/>
          <w:bCs/>
          <w:color w:val="222222"/>
          <w:shd w:val="clear" w:color="auto" w:fill="FFFFFF"/>
        </w:rPr>
        <w:t>Bêty</w:t>
      </w:r>
      <w:proofErr w:type="spellEnd"/>
      <w:r w:rsidRPr="00DE4D54">
        <w:rPr>
          <w:b/>
          <w:bCs/>
          <w:color w:val="222222"/>
          <w:shd w:val="clear" w:color="auto" w:fill="FFFFFF"/>
        </w:rPr>
        <w:t xml:space="preserve"> J.</w:t>
      </w:r>
      <w:r>
        <w:rPr>
          <w:color w:val="222222"/>
          <w:shd w:val="clear" w:color="auto" w:fill="FFFFFF"/>
        </w:rPr>
        <w:t xml:space="preserve"> (</w:t>
      </w:r>
      <w:r w:rsidRPr="00947AEA">
        <w:rPr>
          <w:color w:val="222222"/>
          <w:shd w:val="clear" w:color="auto" w:fill="FFFFFF"/>
        </w:rPr>
        <w:t>2012</w:t>
      </w:r>
      <w:r>
        <w:rPr>
          <w:color w:val="222222"/>
          <w:shd w:val="clear" w:color="auto" w:fill="FFFFFF"/>
        </w:rPr>
        <w:t xml:space="preserve">) </w:t>
      </w:r>
      <w:r w:rsidRPr="00947AEA">
        <w:rPr>
          <w:color w:val="222222"/>
          <w:shd w:val="clear" w:color="auto" w:fill="FFFFFF"/>
        </w:rPr>
        <w:t>Survival and reproduction of adult snowy owls tracked by satellite. </w:t>
      </w:r>
      <w:r w:rsidRPr="00947AEA">
        <w:rPr>
          <w:i/>
          <w:iCs/>
          <w:color w:val="222222"/>
          <w:shd w:val="clear" w:color="auto" w:fill="FFFFFF"/>
        </w:rPr>
        <w:t>The Journal of Wildlife Management</w:t>
      </w:r>
      <w:r w:rsidRPr="00947AEA">
        <w:rPr>
          <w:color w:val="222222"/>
          <w:shd w:val="clear" w:color="auto" w:fill="FFFFFF"/>
        </w:rPr>
        <w:t> </w:t>
      </w:r>
      <w:r w:rsidRPr="00176C86">
        <w:rPr>
          <w:b/>
          <w:bCs/>
          <w:iCs/>
          <w:color w:val="222222"/>
          <w:shd w:val="clear" w:color="auto" w:fill="FFFFFF"/>
        </w:rPr>
        <w:t>76</w:t>
      </w:r>
      <w:r w:rsidR="00176C86">
        <w:rPr>
          <w:color w:val="222222"/>
          <w:shd w:val="clear" w:color="auto" w:fill="FFFFFF"/>
        </w:rPr>
        <w:t xml:space="preserve">, </w:t>
      </w:r>
      <w:r w:rsidRPr="00947AEA">
        <w:rPr>
          <w:color w:val="222222"/>
          <w:shd w:val="clear" w:color="auto" w:fill="FFFFFF"/>
        </w:rPr>
        <w:t>1562</w:t>
      </w:r>
      <w:r>
        <w:rPr>
          <w:color w:val="222222"/>
          <w:shd w:val="clear" w:color="auto" w:fill="FFFFFF"/>
        </w:rPr>
        <w:softHyphen/>
        <w:t>–</w:t>
      </w:r>
      <w:r w:rsidRPr="00947AEA">
        <w:rPr>
          <w:color w:val="222222"/>
          <w:shd w:val="clear" w:color="auto" w:fill="FFFFFF"/>
        </w:rPr>
        <w:t>1567.</w:t>
      </w:r>
    </w:p>
    <w:p w14:paraId="6C499669" w14:textId="321E922D" w:rsidR="00F3179C" w:rsidRDefault="0006406C" w:rsidP="008F211C">
      <w:pPr>
        <w:spacing w:line="480" w:lineRule="auto"/>
        <w:ind w:left="360" w:hanging="360"/>
      </w:pPr>
      <w:r w:rsidRPr="00DE4D54">
        <w:rPr>
          <w:b/>
          <w:bCs/>
        </w:rPr>
        <w:t>Turek D</w:t>
      </w:r>
      <w:r w:rsidR="0080249C" w:rsidRPr="00DE4D54">
        <w:rPr>
          <w:b/>
          <w:bCs/>
        </w:rPr>
        <w:t>.</w:t>
      </w:r>
      <w:r w:rsidRPr="00DE4D54">
        <w:rPr>
          <w:b/>
          <w:bCs/>
        </w:rPr>
        <w:t xml:space="preserve">, de </w:t>
      </w:r>
      <w:proofErr w:type="spellStart"/>
      <w:r w:rsidRPr="00DE4D54">
        <w:rPr>
          <w:b/>
          <w:bCs/>
        </w:rPr>
        <w:t>Valpine</w:t>
      </w:r>
      <w:proofErr w:type="spellEnd"/>
      <w:r w:rsidRPr="00DE4D54">
        <w:rPr>
          <w:b/>
          <w:bCs/>
        </w:rPr>
        <w:t xml:space="preserve"> P</w:t>
      </w:r>
      <w:r w:rsidR="0080249C" w:rsidRPr="00DE4D54">
        <w:rPr>
          <w:b/>
          <w:bCs/>
        </w:rPr>
        <w:t>. and</w:t>
      </w:r>
      <w:r w:rsidRPr="00DE4D54">
        <w:rPr>
          <w:b/>
          <w:bCs/>
        </w:rPr>
        <w:t xml:space="preserve"> Paciorek C</w:t>
      </w:r>
      <w:r w:rsidR="0080249C" w:rsidRPr="00DE4D54">
        <w:rPr>
          <w:b/>
          <w:bCs/>
        </w:rPr>
        <w:t>.</w:t>
      </w:r>
      <w:r w:rsidRPr="008C33BA">
        <w:t xml:space="preserve"> (2023) _</w:t>
      </w:r>
      <w:proofErr w:type="spellStart"/>
      <w:r w:rsidRPr="008C33BA">
        <w:t>nimbleHMC</w:t>
      </w:r>
      <w:proofErr w:type="spellEnd"/>
      <w:r w:rsidRPr="008C33BA">
        <w:t xml:space="preserve">: Hamiltonian Monte Carlo and Other Gradient-Based MCMC Sampling Algorithms </w:t>
      </w:r>
      <w:proofErr w:type="gramStart"/>
      <w:r w:rsidRPr="008C33BA">
        <w:t>for  '</w:t>
      </w:r>
      <w:proofErr w:type="gramEnd"/>
      <w:r w:rsidRPr="008C33BA">
        <w:t>nimble'_. R package version 0.2.0.</w:t>
      </w:r>
      <w:bookmarkEnd w:id="0"/>
      <w:r w:rsidR="00F3179C">
        <w:br w:type="page"/>
      </w:r>
    </w:p>
    <w:p w14:paraId="10FEBED6" w14:textId="44CD122F" w:rsidR="004B6E51" w:rsidRDefault="00564C07" w:rsidP="00564C07">
      <w:pPr>
        <w:spacing w:line="480" w:lineRule="auto"/>
        <w:rPr>
          <w:b/>
          <w:bCs/>
        </w:rPr>
      </w:pPr>
      <w:r w:rsidRPr="00564C07">
        <w:rPr>
          <w:b/>
          <w:bCs/>
        </w:rPr>
        <w:lastRenderedPageBreak/>
        <w:t xml:space="preserve">Appendix </w:t>
      </w:r>
      <w:r w:rsidR="00D10290">
        <w:rPr>
          <w:b/>
          <w:bCs/>
        </w:rPr>
        <w:t>S</w:t>
      </w:r>
      <w:r w:rsidR="00B64062">
        <w:rPr>
          <w:b/>
          <w:bCs/>
        </w:rPr>
        <w:t>4</w:t>
      </w:r>
      <w:r w:rsidRPr="00564C07">
        <w:rPr>
          <w:b/>
          <w:bCs/>
        </w:rPr>
        <w:t xml:space="preserve">. Parameter estimates from analyses of population trends at five sites where </w:t>
      </w:r>
      <w:r w:rsidR="007F107A">
        <w:rPr>
          <w:b/>
          <w:bCs/>
        </w:rPr>
        <w:t>s</w:t>
      </w:r>
      <w:r w:rsidRPr="00564C07">
        <w:rPr>
          <w:b/>
          <w:bCs/>
        </w:rPr>
        <w:t xml:space="preserve">nowy </w:t>
      </w:r>
      <w:r w:rsidR="007F107A">
        <w:rPr>
          <w:b/>
          <w:bCs/>
        </w:rPr>
        <w:t>o</w:t>
      </w:r>
      <w:r w:rsidRPr="00564C07">
        <w:rPr>
          <w:b/>
          <w:bCs/>
        </w:rPr>
        <w:t>wls were monitored</w:t>
      </w:r>
      <w:r w:rsidR="00AF52B6">
        <w:rPr>
          <w:b/>
          <w:bCs/>
        </w:rPr>
        <w:t xml:space="preserve"> between 1988</w:t>
      </w:r>
      <w:r w:rsidR="00AF52B6">
        <w:rPr>
          <w:b/>
          <w:bCs/>
        </w:rPr>
        <w:softHyphen/>
        <w:t>–2020.</w:t>
      </w:r>
    </w:p>
    <w:p w14:paraId="575755BA" w14:textId="601199D3" w:rsidR="008F211C" w:rsidRDefault="008F211C" w:rsidP="008F211C">
      <w:pPr>
        <w:spacing w:line="480" w:lineRule="auto"/>
      </w:pPr>
      <w:r w:rsidRPr="008F211C">
        <w:t>We provided parameter estimates for trends at each site using both 80% and 95% highest density intervals (hereafter ‘HDIs’). We chose these levels because they are commonly used for management purposes (Miller et al. 2016, 2019</w:t>
      </w:r>
      <w:r w:rsidR="00176C86">
        <w:t>;</w:t>
      </w:r>
      <w:r w:rsidRPr="008F211C">
        <w:t xml:space="preserve"> </w:t>
      </w:r>
      <w:r w:rsidRPr="001F0714">
        <w:t>McClure et al</w:t>
      </w:r>
      <w:r w:rsidR="001F0714" w:rsidRPr="001F0714">
        <w:t>.</w:t>
      </w:r>
      <w:r w:rsidRPr="001F0714">
        <w:t xml:space="preserve"> 2023</w:t>
      </w:r>
      <w:r w:rsidR="00AF52B6">
        <w:t>b</w:t>
      </w:r>
      <w:r w:rsidRPr="008F211C">
        <w:t>). We considered parameter estimates to be biologically relevant when 80% HDIs excluded zero. We calculated the probability of direction (Makowski et al. 2019) as the proportion of iterations that were less than the null value (</w:t>
      </w:r>
      <w:r w:rsidRPr="008F211C">
        <w:rPr>
          <w:rFonts w:cstheme="minorHAnsi"/>
        </w:rPr>
        <w:t>λ</w:t>
      </w:r>
      <w:r w:rsidRPr="008F211C">
        <w:t xml:space="preserve"> = 1 or percent change = 0) to determine the probability that the population was declining. We designated the probability of decline (hereafter ‘pd’) to indicate a negative trend with values &gt; 0.90 </w:t>
      </w:r>
      <w:r w:rsidRPr="001F0714">
        <w:t>(</w:t>
      </w:r>
      <w:r w:rsidRPr="001F0714">
        <w:rPr>
          <w:lang w:val="en-CA"/>
        </w:rPr>
        <w:t>McClure et al. 202</w:t>
      </w:r>
      <w:r w:rsidR="001F0714" w:rsidRPr="001F0714">
        <w:rPr>
          <w:lang w:val="en-CA"/>
        </w:rPr>
        <w:t>3</w:t>
      </w:r>
      <w:r w:rsidR="00AF52B6">
        <w:rPr>
          <w:lang w:val="en-CA"/>
        </w:rPr>
        <w:t>b</w:t>
      </w:r>
      <w:r w:rsidRPr="001F0714">
        <w:t>).</w:t>
      </w:r>
      <w:r w:rsidRPr="008F211C">
        <w:t xml:space="preserve"> Data, metadata, and code for implementation are archived at</w:t>
      </w:r>
      <w:r w:rsidR="00412A3E">
        <w:rPr>
          <w:rFonts w:ascii="Helvetica" w:eastAsiaTheme="minorHAnsi" w:hAnsi="Helvetica" w:cs="Helvetica"/>
          <w:sz w:val="28"/>
          <w:szCs w:val="28"/>
        </w:rPr>
        <w:t> </w:t>
      </w:r>
      <w:hyperlink r:id="rId16" w:history="1">
        <w:r w:rsidR="00E8287E" w:rsidRPr="00E20E41">
          <w:rPr>
            <w:rStyle w:val="Hyperlink"/>
          </w:rPr>
          <w:t>https://github.</w:t>
        </w:r>
        <w:r w:rsidR="00E8287E" w:rsidRPr="00E20E41">
          <w:rPr>
            <w:rStyle w:val="Hyperlink"/>
          </w:rPr>
          <w:t>c</w:t>
        </w:r>
        <w:r w:rsidR="00E8287E" w:rsidRPr="00E20E41">
          <w:rPr>
            <w:rStyle w:val="Hyperlink"/>
          </w:rPr>
          <w:t>om/The-Peregrine-Fund/Snowy-Owl-Population-Trends</w:t>
        </w:r>
      </w:hyperlink>
      <w:r w:rsidR="00E8287E">
        <w:t xml:space="preserve"> </w:t>
      </w:r>
      <w:r w:rsidR="00D10290" w:rsidRPr="00412A3E">
        <w:t>and</w:t>
      </w:r>
      <w:r w:rsidR="00D10290">
        <w:t xml:space="preserve"> </w:t>
      </w:r>
      <w:r w:rsidRPr="008F211C">
        <w:t xml:space="preserve">accompanied by a full workflow at </w:t>
      </w:r>
      <w:hyperlink r:id="rId17" w:history="1">
        <w:r w:rsidR="00D10290" w:rsidRPr="00E20E41">
          <w:rPr>
            <w:rStyle w:val="Hyperlink"/>
          </w:rPr>
          <w:t>https://the</w:t>
        </w:r>
        <w:r w:rsidR="00D10290" w:rsidRPr="00E20E41">
          <w:rPr>
            <w:rStyle w:val="Hyperlink"/>
          </w:rPr>
          <w:t>-</w:t>
        </w:r>
        <w:r w:rsidR="00D10290" w:rsidRPr="00E20E41">
          <w:rPr>
            <w:rStyle w:val="Hyperlink"/>
          </w:rPr>
          <w:t>peregrine-fund.github.io/Snowy-Owl-Population-Trends/</w:t>
        </w:r>
      </w:hyperlink>
      <w:r w:rsidR="00D10290">
        <w:t xml:space="preserve">. </w:t>
      </w:r>
    </w:p>
    <w:p w14:paraId="52FD92AE" w14:textId="77777777" w:rsidR="008F211C" w:rsidRDefault="008F211C" w:rsidP="00564C07">
      <w:pPr>
        <w:spacing w:line="480" w:lineRule="auto"/>
        <w:rPr>
          <w:b/>
          <w:bCs/>
        </w:rPr>
      </w:pPr>
    </w:p>
    <w:p w14:paraId="553D09E5" w14:textId="08F83F2D" w:rsidR="00B64062" w:rsidRPr="00564C07" w:rsidRDefault="00B64062" w:rsidP="00B64062">
      <w:pPr>
        <w:spacing w:line="480" w:lineRule="auto"/>
        <w:rPr>
          <w:b/>
          <w:bCs/>
        </w:rPr>
      </w:pPr>
      <w:r w:rsidRPr="00C77DA0">
        <w:t xml:space="preserve">Table </w:t>
      </w:r>
      <w:r w:rsidR="00D10290">
        <w:t>S</w:t>
      </w:r>
      <w:r w:rsidRPr="00C77DA0">
        <w:t xml:space="preserve">3. </w:t>
      </w:r>
      <w:r w:rsidR="00E66AB4">
        <w:t xml:space="preserve">Abundance trends of </w:t>
      </w:r>
      <w:r w:rsidR="00163257">
        <w:t>s</w:t>
      </w:r>
      <w:r w:rsidR="00E66AB4">
        <w:t xml:space="preserve">nowy </w:t>
      </w:r>
      <w:r w:rsidR="00163257">
        <w:t>o</w:t>
      </w:r>
      <w:r w:rsidR="00E66AB4">
        <w:t>wl</w:t>
      </w:r>
      <w:r w:rsidR="00163257">
        <w:t>s</w:t>
      </w:r>
      <w:r w:rsidR="00E66AB4">
        <w:t xml:space="preserve"> at five sites. Parameter estimates are presented </w:t>
      </w:r>
      <w:r w:rsidRPr="00AF52B6">
        <w:t xml:space="preserve">on the log scale for a random factor of time among sites, mean abundance of each site (mu) </w:t>
      </w:r>
      <w:r w:rsidR="007E634B" w:rsidRPr="00AF52B6">
        <w:t>in</w:t>
      </w:r>
      <w:r w:rsidRPr="00AF52B6">
        <w:t xml:space="preserve"> 2004</w:t>
      </w:r>
      <w:r w:rsidRPr="00C77DA0">
        <w:t xml:space="preserve"> (i.e., the median year of time interval), linear trend over time (beta)</w:t>
      </w:r>
      <w:r>
        <w:t xml:space="preserve"> of each site</w:t>
      </w:r>
      <w:r w:rsidRPr="00C77DA0">
        <w:t>, and a parameter for the negative binomial distribution estimating the number of successes (</w:t>
      </w:r>
      <w:proofErr w:type="spellStart"/>
      <w:proofErr w:type="gramStart"/>
      <w:r w:rsidRPr="00C77DA0">
        <w:t>r.nb</w:t>
      </w:r>
      <w:proofErr w:type="spellEnd"/>
      <w:proofErr w:type="gramEnd"/>
      <w:r w:rsidRPr="00C77DA0">
        <w:t>)</w:t>
      </w:r>
      <w:r>
        <w:t xml:space="preserve"> of each site</w:t>
      </w:r>
      <w:r w:rsidRPr="00C77DA0">
        <w:t>. We provide median estimate</w:t>
      </w:r>
      <w:r>
        <w:t>s</w:t>
      </w:r>
      <w:r w:rsidRPr="00C77DA0">
        <w:t xml:space="preserve"> along with 80%</w:t>
      </w:r>
      <w:r>
        <w:t xml:space="preserve"> and </w:t>
      </w:r>
      <w:r w:rsidRPr="00C77DA0">
        <w:t>95</w:t>
      </w:r>
      <w:r w:rsidR="00D10290" w:rsidRPr="00C77DA0">
        <w:t>% highest</w:t>
      </w:r>
      <w:r w:rsidRPr="00C77DA0">
        <w:t xml:space="preserve"> density intervals (HDIs). We considered sites to have potentially significant population trends when </w:t>
      </w:r>
      <w:r>
        <w:t>probability of direction (pd) was greater than 0.90</w:t>
      </w:r>
      <w:r w:rsidRPr="00C77DA0">
        <w:t>.</w:t>
      </w:r>
    </w:p>
    <w:tbl>
      <w:tblPr>
        <w:tblW w:w="9360" w:type="dxa"/>
        <w:tblLook w:val="04A0" w:firstRow="1" w:lastRow="0" w:firstColumn="1" w:lastColumn="0" w:noHBand="0" w:noVBand="1"/>
      </w:tblPr>
      <w:tblGrid>
        <w:gridCol w:w="1536"/>
        <w:gridCol w:w="1276"/>
        <w:gridCol w:w="1176"/>
        <w:gridCol w:w="1176"/>
        <w:gridCol w:w="1176"/>
        <w:gridCol w:w="1176"/>
        <w:gridCol w:w="1176"/>
        <w:gridCol w:w="668"/>
      </w:tblGrid>
      <w:tr w:rsidR="00B64062" w:rsidRPr="008D4CB2" w14:paraId="5D390BDE" w14:textId="77777777" w:rsidTr="00AF52B6">
        <w:trPr>
          <w:trHeight w:val="290"/>
        </w:trPr>
        <w:tc>
          <w:tcPr>
            <w:tcW w:w="1536" w:type="dxa"/>
            <w:tcBorders>
              <w:top w:val="single" w:sz="4" w:space="0" w:color="auto"/>
              <w:left w:val="nil"/>
              <w:bottom w:val="single" w:sz="4" w:space="0" w:color="auto"/>
              <w:right w:val="nil"/>
            </w:tcBorders>
            <w:shd w:val="clear" w:color="auto" w:fill="auto"/>
            <w:noWrap/>
            <w:vAlign w:val="center"/>
          </w:tcPr>
          <w:p w14:paraId="21B1792D" w14:textId="77777777" w:rsidR="00B64062" w:rsidRPr="008D4CB2" w:rsidRDefault="00B64062" w:rsidP="00007699">
            <w:pPr>
              <w:rPr>
                <w:color w:val="000000"/>
              </w:rPr>
            </w:pPr>
            <w:r w:rsidRPr="008D4CB2">
              <w:rPr>
                <w:color w:val="000000"/>
              </w:rPr>
              <w:t>Site</w:t>
            </w:r>
          </w:p>
        </w:tc>
        <w:tc>
          <w:tcPr>
            <w:tcW w:w="1276" w:type="dxa"/>
            <w:tcBorders>
              <w:top w:val="single" w:sz="4" w:space="0" w:color="auto"/>
              <w:left w:val="nil"/>
              <w:bottom w:val="single" w:sz="4" w:space="0" w:color="auto"/>
              <w:right w:val="nil"/>
            </w:tcBorders>
            <w:shd w:val="clear" w:color="auto" w:fill="auto"/>
            <w:noWrap/>
            <w:vAlign w:val="center"/>
          </w:tcPr>
          <w:p w14:paraId="308264CD" w14:textId="77777777" w:rsidR="00B64062" w:rsidRPr="008D4CB2" w:rsidRDefault="00B64062" w:rsidP="00007699">
            <w:pPr>
              <w:rPr>
                <w:color w:val="000000"/>
              </w:rPr>
            </w:pPr>
            <w:r w:rsidRPr="008D4CB2">
              <w:rPr>
                <w:color w:val="000000"/>
              </w:rPr>
              <w:t>Parameter</w:t>
            </w:r>
          </w:p>
        </w:tc>
        <w:tc>
          <w:tcPr>
            <w:tcW w:w="1176" w:type="dxa"/>
            <w:tcBorders>
              <w:top w:val="single" w:sz="4" w:space="0" w:color="auto"/>
              <w:left w:val="nil"/>
              <w:bottom w:val="single" w:sz="4" w:space="0" w:color="auto"/>
              <w:right w:val="nil"/>
            </w:tcBorders>
            <w:shd w:val="clear" w:color="auto" w:fill="auto"/>
            <w:noWrap/>
            <w:vAlign w:val="center"/>
          </w:tcPr>
          <w:p w14:paraId="1561E1D2" w14:textId="77777777" w:rsidR="00B64062" w:rsidRPr="008D4CB2" w:rsidRDefault="00B64062" w:rsidP="00007699">
            <w:pPr>
              <w:jc w:val="center"/>
              <w:rPr>
                <w:color w:val="000000"/>
              </w:rPr>
            </w:pPr>
            <w:r w:rsidRPr="008D4CB2">
              <w:rPr>
                <w:color w:val="000000"/>
              </w:rPr>
              <w:t>Median</w:t>
            </w:r>
          </w:p>
        </w:tc>
        <w:tc>
          <w:tcPr>
            <w:tcW w:w="2352" w:type="dxa"/>
            <w:gridSpan w:val="2"/>
            <w:tcBorders>
              <w:top w:val="single" w:sz="4" w:space="0" w:color="auto"/>
              <w:left w:val="nil"/>
              <w:bottom w:val="single" w:sz="4" w:space="0" w:color="auto"/>
              <w:right w:val="nil"/>
            </w:tcBorders>
            <w:shd w:val="clear" w:color="auto" w:fill="auto"/>
            <w:noWrap/>
            <w:vAlign w:val="center"/>
          </w:tcPr>
          <w:p w14:paraId="6720E47E" w14:textId="77777777" w:rsidR="00B64062" w:rsidRPr="008D4CB2" w:rsidRDefault="00B64062" w:rsidP="00007699">
            <w:pPr>
              <w:jc w:val="center"/>
              <w:rPr>
                <w:color w:val="000000"/>
              </w:rPr>
            </w:pPr>
            <w:r>
              <w:rPr>
                <w:color w:val="000000"/>
              </w:rPr>
              <w:t>95% HDIs</w:t>
            </w:r>
          </w:p>
        </w:tc>
        <w:tc>
          <w:tcPr>
            <w:tcW w:w="2352" w:type="dxa"/>
            <w:gridSpan w:val="2"/>
            <w:tcBorders>
              <w:top w:val="single" w:sz="4" w:space="0" w:color="auto"/>
              <w:left w:val="nil"/>
              <w:bottom w:val="single" w:sz="4" w:space="0" w:color="auto"/>
              <w:right w:val="nil"/>
            </w:tcBorders>
            <w:shd w:val="clear" w:color="auto" w:fill="auto"/>
            <w:noWrap/>
            <w:vAlign w:val="center"/>
          </w:tcPr>
          <w:p w14:paraId="73EAA03E" w14:textId="77777777" w:rsidR="00B64062" w:rsidRPr="008D4CB2" w:rsidRDefault="00B64062" w:rsidP="00007699">
            <w:pPr>
              <w:jc w:val="center"/>
              <w:rPr>
                <w:color w:val="000000"/>
              </w:rPr>
            </w:pPr>
            <w:r>
              <w:rPr>
                <w:color w:val="000000"/>
              </w:rPr>
              <w:t>80% HDIs</w:t>
            </w:r>
          </w:p>
        </w:tc>
        <w:tc>
          <w:tcPr>
            <w:tcW w:w="668" w:type="dxa"/>
            <w:tcBorders>
              <w:top w:val="single" w:sz="4" w:space="0" w:color="auto"/>
              <w:left w:val="nil"/>
              <w:bottom w:val="single" w:sz="4" w:space="0" w:color="auto"/>
              <w:right w:val="nil"/>
            </w:tcBorders>
            <w:vAlign w:val="center"/>
          </w:tcPr>
          <w:p w14:paraId="0B126F00" w14:textId="77777777" w:rsidR="00B64062" w:rsidRDefault="00B64062" w:rsidP="00007699">
            <w:pPr>
              <w:jc w:val="center"/>
              <w:rPr>
                <w:color w:val="000000"/>
              </w:rPr>
            </w:pPr>
            <w:r>
              <w:rPr>
                <w:color w:val="000000"/>
              </w:rPr>
              <w:t>pd</w:t>
            </w:r>
          </w:p>
        </w:tc>
      </w:tr>
      <w:tr w:rsidR="00B64062" w:rsidRPr="008D4CB2" w14:paraId="6C7330A1" w14:textId="77777777" w:rsidTr="00AF52B6">
        <w:trPr>
          <w:trHeight w:val="290"/>
        </w:trPr>
        <w:tc>
          <w:tcPr>
            <w:tcW w:w="1536" w:type="dxa"/>
            <w:tcBorders>
              <w:left w:val="nil"/>
              <w:right w:val="nil"/>
            </w:tcBorders>
            <w:shd w:val="clear" w:color="auto" w:fill="auto"/>
            <w:noWrap/>
            <w:vAlign w:val="center"/>
          </w:tcPr>
          <w:p w14:paraId="70893EAE" w14:textId="77777777" w:rsidR="00B64062" w:rsidRPr="008D4CB2" w:rsidRDefault="00B64062" w:rsidP="00007699">
            <w:pPr>
              <w:rPr>
                <w:color w:val="000000"/>
              </w:rPr>
            </w:pPr>
            <w:r>
              <w:rPr>
                <w:color w:val="000000"/>
              </w:rPr>
              <w:t>All sites</w:t>
            </w:r>
          </w:p>
        </w:tc>
        <w:tc>
          <w:tcPr>
            <w:tcW w:w="1276" w:type="dxa"/>
            <w:tcBorders>
              <w:left w:val="nil"/>
              <w:right w:val="nil"/>
            </w:tcBorders>
            <w:shd w:val="clear" w:color="auto" w:fill="auto"/>
            <w:noWrap/>
            <w:vAlign w:val="center"/>
          </w:tcPr>
          <w:p w14:paraId="5C367CCA" w14:textId="77777777" w:rsidR="00B64062" w:rsidRPr="008D4CB2" w:rsidRDefault="00B64062" w:rsidP="00007699">
            <w:pPr>
              <w:rPr>
                <w:color w:val="000000"/>
              </w:rPr>
            </w:pPr>
            <w:proofErr w:type="spellStart"/>
            <w:proofErr w:type="gramStart"/>
            <w:r>
              <w:rPr>
                <w:color w:val="000000"/>
              </w:rPr>
              <w:t>sigma.time</w:t>
            </w:r>
            <w:proofErr w:type="spellEnd"/>
            <w:proofErr w:type="gramEnd"/>
          </w:p>
        </w:tc>
        <w:tc>
          <w:tcPr>
            <w:tcW w:w="1176" w:type="dxa"/>
            <w:tcBorders>
              <w:left w:val="nil"/>
              <w:right w:val="nil"/>
            </w:tcBorders>
            <w:shd w:val="clear" w:color="auto" w:fill="auto"/>
            <w:noWrap/>
          </w:tcPr>
          <w:p w14:paraId="315E3AA9" w14:textId="77777777" w:rsidR="00B64062" w:rsidRPr="00505512" w:rsidRDefault="00B64062" w:rsidP="00007699">
            <w:pPr>
              <w:jc w:val="center"/>
            </w:pPr>
            <w:r w:rsidRPr="003020E3">
              <w:t>1.92</w:t>
            </w:r>
          </w:p>
        </w:tc>
        <w:tc>
          <w:tcPr>
            <w:tcW w:w="1176" w:type="dxa"/>
            <w:tcBorders>
              <w:left w:val="nil"/>
              <w:right w:val="nil"/>
            </w:tcBorders>
            <w:shd w:val="clear" w:color="auto" w:fill="auto"/>
            <w:noWrap/>
          </w:tcPr>
          <w:p w14:paraId="06FD20BE" w14:textId="77777777" w:rsidR="00B64062" w:rsidRPr="00505512" w:rsidRDefault="00B64062" w:rsidP="00007699">
            <w:pPr>
              <w:jc w:val="center"/>
            </w:pPr>
            <w:r w:rsidRPr="003020E3">
              <w:t>0.79</w:t>
            </w:r>
          </w:p>
        </w:tc>
        <w:tc>
          <w:tcPr>
            <w:tcW w:w="1176" w:type="dxa"/>
            <w:tcBorders>
              <w:left w:val="nil"/>
              <w:right w:val="nil"/>
            </w:tcBorders>
            <w:shd w:val="clear" w:color="auto" w:fill="auto"/>
            <w:noWrap/>
          </w:tcPr>
          <w:p w14:paraId="37DDC71B" w14:textId="77777777" w:rsidR="00B64062" w:rsidRPr="00505512" w:rsidRDefault="00B64062" w:rsidP="00007699">
            <w:pPr>
              <w:jc w:val="center"/>
            </w:pPr>
            <w:r w:rsidRPr="003020E3">
              <w:t>3.43</w:t>
            </w:r>
          </w:p>
        </w:tc>
        <w:tc>
          <w:tcPr>
            <w:tcW w:w="1176" w:type="dxa"/>
            <w:tcBorders>
              <w:left w:val="nil"/>
              <w:right w:val="nil"/>
            </w:tcBorders>
            <w:shd w:val="clear" w:color="auto" w:fill="auto"/>
            <w:noWrap/>
          </w:tcPr>
          <w:p w14:paraId="522C257C" w14:textId="77777777" w:rsidR="00B64062" w:rsidRPr="00505512" w:rsidRDefault="00B64062" w:rsidP="00007699">
            <w:pPr>
              <w:jc w:val="center"/>
            </w:pPr>
            <w:r w:rsidRPr="003020E3">
              <w:t>1.08</w:t>
            </w:r>
          </w:p>
        </w:tc>
        <w:tc>
          <w:tcPr>
            <w:tcW w:w="1176" w:type="dxa"/>
            <w:tcBorders>
              <w:left w:val="nil"/>
              <w:right w:val="nil"/>
            </w:tcBorders>
            <w:shd w:val="clear" w:color="auto" w:fill="auto"/>
            <w:noWrap/>
          </w:tcPr>
          <w:p w14:paraId="02A6D540" w14:textId="77777777" w:rsidR="00B64062" w:rsidRPr="00505512" w:rsidRDefault="00B64062" w:rsidP="00007699">
            <w:pPr>
              <w:jc w:val="center"/>
            </w:pPr>
            <w:r w:rsidRPr="003020E3">
              <w:t>2.73</w:t>
            </w:r>
          </w:p>
        </w:tc>
        <w:tc>
          <w:tcPr>
            <w:tcW w:w="668" w:type="dxa"/>
            <w:tcBorders>
              <w:left w:val="nil"/>
              <w:right w:val="nil"/>
            </w:tcBorders>
          </w:tcPr>
          <w:p w14:paraId="554FAB80" w14:textId="77777777" w:rsidR="00B64062" w:rsidRPr="00E9173B" w:rsidRDefault="00B64062" w:rsidP="00007699">
            <w:pPr>
              <w:jc w:val="center"/>
            </w:pPr>
          </w:p>
        </w:tc>
      </w:tr>
      <w:tr w:rsidR="00B64062" w:rsidRPr="008D4CB2" w14:paraId="739F7DF6" w14:textId="77777777" w:rsidTr="00AF52B6">
        <w:trPr>
          <w:trHeight w:val="290"/>
        </w:trPr>
        <w:tc>
          <w:tcPr>
            <w:tcW w:w="1536" w:type="dxa"/>
            <w:tcBorders>
              <w:left w:val="nil"/>
              <w:bottom w:val="nil"/>
              <w:right w:val="nil"/>
            </w:tcBorders>
            <w:shd w:val="clear" w:color="auto" w:fill="auto"/>
            <w:noWrap/>
            <w:vAlign w:val="center"/>
            <w:hideMark/>
          </w:tcPr>
          <w:p w14:paraId="1A1D8D3F" w14:textId="77777777" w:rsidR="00B64062" w:rsidRPr="008D4CB2" w:rsidRDefault="00B64062" w:rsidP="00007699">
            <w:pPr>
              <w:rPr>
                <w:color w:val="000000"/>
              </w:rPr>
            </w:pPr>
            <w:r w:rsidRPr="008D4CB2">
              <w:rPr>
                <w:color w:val="000000"/>
              </w:rPr>
              <w:t>Bylot Island Core</w:t>
            </w:r>
          </w:p>
        </w:tc>
        <w:tc>
          <w:tcPr>
            <w:tcW w:w="1276" w:type="dxa"/>
            <w:tcBorders>
              <w:left w:val="nil"/>
              <w:bottom w:val="nil"/>
              <w:right w:val="nil"/>
            </w:tcBorders>
            <w:shd w:val="clear" w:color="auto" w:fill="auto"/>
            <w:noWrap/>
            <w:vAlign w:val="center"/>
            <w:hideMark/>
          </w:tcPr>
          <w:p w14:paraId="7AC06DFE" w14:textId="77777777" w:rsidR="00B64062" w:rsidRPr="008D4CB2" w:rsidRDefault="00B64062" w:rsidP="00007699">
            <w:pPr>
              <w:rPr>
                <w:color w:val="000000"/>
              </w:rPr>
            </w:pPr>
            <w:r w:rsidRPr="008D4CB2">
              <w:rPr>
                <w:color w:val="000000"/>
              </w:rPr>
              <w:t>mu</w:t>
            </w:r>
          </w:p>
        </w:tc>
        <w:tc>
          <w:tcPr>
            <w:tcW w:w="1176" w:type="dxa"/>
            <w:tcBorders>
              <w:left w:val="nil"/>
              <w:bottom w:val="nil"/>
              <w:right w:val="nil"/>
            </w:tcBorders>
            <w:shd w:val="clear" w:color="auto" w:fill="auto"/>
            <w:noWrap/>
            <w:hideMark/>
          </w:tcPr>
          <w:p w14:paraId="4348ADBF" w14:textId="77777777" w:rsidR="00B64062" w:rsidRPr="008D4CB2" w:rsidRDefault="00B64062" w:rsidP="00007699">
            <w:pPr>
              <w:jc w:val="center"/>
              <w:rPr>
                <w:color w:val="000000"/>
              </w:rPr>
            </w:pPr>
            <w:r w:rsidRPr="003020E3">
              <w:t>1.46</w:t>
            </w:r>
          </w:p>
        </w:tc>
        <w:tc>
          <w:tcPr>
            <w:tcW w:w="1176" w:type="dxa"/>
            <w:tcBorders>
              <w:left w:val="nil"/>
              <w:bottom w:val="nil"/>
              <w:right w:val="nil"/>
            </w:tcBorders>
            <w:shd w:val="clear" w:color="auto" w:fill="auto"/>
            <w:noWrap/>
            <w:hideMark/>
          </w:tcPr>
          <w:p w14:paraId="563E579F" w14:textId="77777777" w:rsidR="00B64062" w:rsidRPr="008D4CB2" w:rsidRDefault="00B64062" w:rsidP="00007699">
            <w:pPr>
              <w:jc w:val="center"/>
              <w:rPr>
                <w:color w:val="000000"/>
              </w:rPr>
            </w:pPr>
            <w:r w:rsidRPr="003020E3">
              <w:t>0.28</w:t>
            </w:r>
          </w:p>
        </w:tc>
        <w:tc>
          <w:tcPr>
            <w:tcW w:w="1176" w:type="dxa"/>
            <w:tcBorders>
              <w:left w:val="nil"/>
              <w:bottom w:val="nil"/>
              <w:right w:val="nil"/>
            </w:tcBorders>
            <w:shd w:val="clear" w:color="auto" w:fill="auto"/>
            <w:noWrap/>
            <w:hideMark/>
          </w:tcPr>
          <w:p w14:paraId="30B4436F" w14:textId="77777777" w:rsidR="00B64062" w:rsidRPr="008D4CB2" w:rsidRDefault="00B64062" w:rsidP="00007699">
            <w:pPr>
              <w:jc w:val="center"/>
              <w:rPr>
                <w:color w:val="000000"/>
              </w:rPr>
            </w:pPr>
            <w:r w:rsidRPr="003020E3">
              <w:t>2.73</w:t>
            </w:r>
          </w:p>
        </w:tc>
        <w:tc>
          <w:tcPr>
            <w:tcW w:w="1176" w:type="dxa"/>
            <w:tcBorders>
              <w:left w:val="nil"/>
              <w:bottom w:val="nil"/>
              <w:right w:val="nil"/>
            </w:tcBorders>
            <w:shd w:val="clear" w:color="auto" w:fill="auto"/>
            <w:noWrap/>
            <w:hideMark/>
          </w:tcPr>
          <w:p w14:paraId="0E8BB68B" w14:textId="77777777" w:rsidR="00B64062" w:rsidRPr="008D4CB2" w:rsidRDefault="00B64062" w:rsidP="00007699">
            <w:pPr>
              <w:jc w:val="center"/>
              <w:rPr>
                <w:color w:val="000000"/>
              </w:rPr>
            </w:pPr>
            <w:r w:rsidRPr="003020E3">
              <w:t>0.76</w:t>
            </w:r>
          </w:p>
        </w:tc>
        <w:tc>
          <w:tcPr>
            <w:tcW w:w="1176" w:type="dxa"/>
            <w:tcBorders>
              <w:left w:val="nil"/>
              <w:bottom w:val="nil"/>
              <w:right w:val="nil"/>
            </w:tcBorders>
            <w:shd w:val="clear" w:color="auto" w:fill="auto"/>
            <w:noWrap/>
            <w:hideMark/>
          </w:tcPr>
          <w:p w14:paraId="20E6B556" w14:textId="77777777" w:rsidR="00B64062" w:rsidRPr="008D4CB2" w:rsidRDefault="00B64062" w:rsidP="00007699">
            <w:pPr>
              <w:jc w:val="center"/>
              <w:rPr>
                <w:color w:val="000000"/>
              </w:rPr>
            </w:pPr>
            <w:r w:rsidRPr="003020E3">
              <w:t>2.22</w:t>
            </w:r>
          </w:p>
        </w:tc>
        <w:tc>
          <w:tcPr>
            <w:tcW w:w="668" w:type="dxa"/>
            <w:tcBorders>
              <w:left w:val="nil"/>
              <w:bottom w:val="nil"/>
              <w:right w:val="nil"/>
            </w:tcBorders>
          </w:tcPr>
          <w:p w14:paraId="4DC7589E" w14:textId="77777777" w:rsidR="00B64062" w:rsidRPr="00E9173B" w:rsidRDefault="00B64062" w:rsidP="00007699">
            <w:pPr>
              <w:jc w:val="center"/>
            </w:pPr>
          </w:p>
        </w:tc>
      </w:tr>
      <w:tr w:rsidR="00B64062" w:rsidRPr="008D4CB2" w14:paraId="40FA66B5" w14:textId="77777777" w:rsidTr="00AF52B6">
        <w:trPr>
          <w:trHeight w:val="290"/>
        </w:trPr>
        <w:tc>
          <w:tcPr>
            <w:tcW w:w="1536" w:type="dxa"/>
            <w:tcBorders>
              <w:top w:val="nil"/>
              <w:left w:val="nil"/>
              <w:bottom w:val="nil"/>
              <w:right w:val="nil"/>
            </w:tcBorders>
            <w:shd w:val="clear" w:color="auto" w:fill="auto"/>
            <w:noWrap/>
            <w:vAlign w:val="center"/>
          </w:tcPr>
          <w:p w14:paraId="48B03B08" w14:textId="77777777" w:rsidR="00B64062" w:rsidRPr="008D4CB2" w:rsidRDefault="00B64062" w:rsidP="00007699">
            <w:pPr>
              <w:rPr>
                <w:color w:val="000000"/>
              </w:rPr>
            </w:pPr>
          </w:p>
        </w:tc>
        <w:tc>
          <w:tcPr>
            <w:tcW w:w="1276" w:type="dxa"/>
            <w:tcBorders>
              <w:top w:val="nil"/>
              <w:left w:val="nil"/>
              <w:bottom w:val="nil"/>
              <w:right w:val="nil"/>
            </w:tcBorders>
            <w:shd w:val="clear" w:color="auto" w:fill="auto"/>
            <w:noWrap/>
            <w:vAlign w:val="center"/>
            <w:hideMark/>
          </w:tcPr>
          <w:p w14:paraId="2BD574B4" w14:textId="77777777" w:rsidR="00B64062" w:rsidRPr="008D4CB2" w:rsidRDefault="00B64062" w:rsidP="00007699">
            <w:pPr>
              <w:rPr>
                <w:color w:val="000000"/>
              </w:rPr>
            </w:pPr>
            <w:r w:rsidRPr="008D4CB2">
              <w:rPr>
                <w:color w:val="000000"/>
              </w:rPr>
              <w:t>beta</w:t>
            </w:r>
          </w:p>
        </w:tc>
        <w:tc>
          <w:tcPr>
            <w:tcW w:w="1176" w:type="dxa"/>
            <w:tcBorders>
              <w:top w:val="nil"/>
              <w:left w:val="nil"/>
              <w:bottom w:val="nil"/>
              <w:right w:val="nil"/>
            </w:tcBorders>
            <w:shd w:val="clear" w:color="auto" w:fill="auto"/>
            <w:noWrap/>
            <w:hideMark/>
          </w:tcPr>
          <w:p w14:paraId="36EAEC37" w14:textId="77777777" w:rsidR="00B64062" w:rsidRPr="008D4CB2" w:rsidRDefault="00B64062" w:rsidP="00007699">
            <w:pPr>
              <w:jc w:val="center"/>
              <w:rPr>
                <w:color w:val="000000"/>
              </w:rPr>
            </w:pPr>
            <w:r w:rsidRPr="003020E3">
              <w:t>0.12</w:t>
            </w:r>
          </w:p>
        </w:tc>
        <w:tc>
          <w:tcPr>
            <w:tcW w:w="1176" w:type="dxa"/>
            <w:tcBorders>
              <w:top w:val="nil"/>
              <w:left w:val="nil"/>
              <w:bottom w:val="nil"/>
              <w:right w:val="nil"/>
            </w:tcBorders>
            <w:shd w:val="clear" w:color="auto" w:fill="auto"/>
            <w:noWrap/>
            <w:hideMark/>
          </w:tcPr>
          <w:p w14:paraId="6D74D71D" w14:textId="77777777" w:rsidR="00B64062" w:rsidRPr="008D4CB2" w:rsidRDefault="00B64062" w:rsidP="00007699">
            <w:pPr>
              <w:jc w:val="center"/>
              <w:rPr>
                <w:color w:val="000000"/>
              </w:rPr>
            </w:pPr>
            <w:r w:rsidRPr="003020E3">
              <w:t>-1.93</w:t>
            </w:r>
          </w:p>
        </w:tc>
        <w:tc>
          <w:tcPr>
            <w:tcW w:w="1176" w:type="dxa"/>
            <w:tcBorders>
              <w:top w:val="nil"/>
              <w:left w:val="nil"/>
              <w:bottom w:val="nil"/>
              <w:right w:val="nil"/>
            </w:tcBorders>
            <w:shd w:val="clear" w:color="auto" w:fill="auto"/>
            <w:noWrap/>
            <w:hideMark/>
          </w:tcPr>
          <w:p w14:paraId="366D6B46" w14:textId="77777777" w:rsidR="00B64062" w:rsidRPr="008D4CB2" w:rsidRDefault="00B64062" w:rsidP="00007699">
            <w:pPr>
              <w:jc w:val="center"/>
              <w:rPr>
                <w:color w:val="000000"/>
              </w:rPr>
            </w:pPr>
            <w:r w:rsidRPr="003020E3">
              <w:t>2.13</w:t>
            </w:r>
          </w:p>
        </w:tc>
        <w:tc>
          <w:tcPr>
            <w:tcW w:w="1176" w:type="dxa"/>
            <w:tcBorders>
              <w:top w:val="nil"/>
              <w:left w:val="nil"/>
              <w:bottom w:val="nil"/>
              <w:right w:val="nil"/>
            </w:tcBorders>
            <w:shd w:val="clear" w:color="auto" w:fill="auto"/>
            <w:noWrap/>
            <w:hideMark/>
          </w:tcPr>
          <w:p w14:paraId="1EB91A19" w14:textId="77777777" w:rsidR="00B64062" w:rsidRPr="008D4CB2" w:rsidRDefault="00B64062" w:rsidP="00007699">
            <w:pPr>
              <w:jc w:val="center"/>
              <w:rPr>
                <w:color w:val="000000"/>
              </w:rPr>
            </w:pPr>
            <w:r w:rsidRPr="003020E3">
              <w:t>-1.23</w:t>
            </w:r>
          </w:p>
        </w:tc>
        <w:tc>
          <w:tcPr>
            <w:tcW w:w="1176" w:type="dxa"/>
            <w:tcBorders>
              <w:top w:val="nil"/>
              <w:left w:val="nil"/>
              <w:bottom w:val="nil"/>
              <w:right w:val="nil"/>
            </w:tcBorders>
            <w:shd w:val="clear" w:color="auto" w:fill="auto"/>
            <w:noWrap/>
            <w:hideMark/>
          </w:tcPr>
          <w:p w14:paraId="3E2AF75D" w14:textId="77777777" w:rsidR="00B64062" w:rsidRPr="008D4CB2" w:rsidRDefault="00B64062" w:rsidP="00007699">
            <w:pPr>
              <w:jc w:val="center"/>
              <w:rPr>
                <w:color w:val="000000"/>
              </w:rPr>
            </w:pPr>
            <w:r w:rsidRPr="003020E3">
              <w:t>1.33</w:t>
            </w:r>
          </w:p>
        </w:tc>
        <w:tc>
          <w:tcPr>
            <w:tcW w:w="668" w:type="dxa"/>
            <w:tcBorders>
              <w:top w:val="nil"/>
              <w:left w:val="nil"/>
              <w:bottom w:val="nil"/>
              <w:right w:val="nil"/>
            </w:tcBorders>
          </w:tcPr>
          <w:p w14:paraId="1160932A" w14:textId="77777777" w:rsidR="00B64062" w:rsidRPr="00E9173B" w:rsidRDefault="00B64062" w:rsidP="00007699">
            <w:pPr>
              <w:jc w:val="center"/>
            </w:pPr>
            <w:r w:rsidRPr="003020E3">
              <w:t>0.55</w:t>
            </w:r>
          </w:p>
        </w:tc>
      </w:tr>
      <w:tr w:rsidR="00B64062" w:rsidRPr="008D4CB2" w14:paraId="6099BDBF" w14:textId="77777777" w:rsidTr="00AF52B6">
        <w:trPr>
          <w:trHeight w:val="290"/>
        </w:trPr>
        <w:tc>
          <w:tcPr>
            <w:tcW w:w="1536" w:type="dxa"/>
            <w:tcBorders>
              <w:top w:val="nil"/>
              <w:left w:val="nil"/>
              <w:bottom w:val="nil"/>
              <w:right w:val="nil"/>
            </w:tcBorders>
            <w:shd w:val="clear" w:color="auto" w:fill="auto"/>
            <w:noWrap/>
            <w:vAlign w:val="center"/>
          </w:tcPr>
          <w:p w14:paraId="61430D49" w14:textId="77777777" w:rsidR="00B64062" w:rsidRPr="008D4CB2" w:rsidRDefault="00B64062" w:rsidP="00007699">
            <w:pPr>
              <w:rPr>
                <w:color w:val="000000"/>
              </w:rPr>
            </w:pPr>
          </w:p>
        </w:tc>
        <w:tc>
          <w:tcPr>
            <w:tcW w:w="1276" w:type="dxa"/>
            <w:tcBorders>
              <w:top w:val="nil"/>
              <w:left w:val="nil"/>
              <w:bottom w:val="nil"/>
              <w:right w:val="nil"/>
            </w:tcBorders>
            <w:shd w:val="clear" w:color="auto" w:fill="auto"/>
            <w:noWrap/>
            <w:vAlign w:val="center"/>
            <w:hideMark/>
          </w:tcPr>
          <w:p w14:paraId="64619A0F" w14:textId="77777777" w:rsidR="00B64062" w:rsidRPr="008D4CB2" w:rsidRDefault="00B64062" w:rsidP="00007699">
            <w:pPr>
              <w:rPr>
                <w:color w:val="000000"/>
              </w:rPr>
            </w:pPr>
            <w:proofErr w:type="spellStart"/>
            <w:proofErr w:type="gramStart"/>
            <w:r w:rsidRPr="008D4CB2">
              <w:rPr>
                <w:color w:val="000000"/>
              </w:rPr>
              <w:t>r</w:t>
            </w:r>
            <w:r>
              <w:rPr>
                <w:color w:val="000000"/>
              </w:rPr>
              <w:t>.nb</w:t>
            </w:r>
            <w:proofErr w:type="spellEnd"/>
            <w:proofErr w:type="gramEnd"/>
          </w:p>
        </w:tc>
        <w:tc>
          <w:tcPr>
            <w:tcW w:w="1176" w:type="dxa"/>
            <w:tcBorders>
              <w:top w:val="nil"/>
              <w:left w:val="nil"/>
              <w:bottom w:val="nil"/>
              <w:right w:val="nil"/>
            </w:tcBorders>
            <w:shd w:val="clear" w:color="auto" w:fill="auto"/>
            <w:noWrap/>
            <w:hideMark/>
          </w:tcPr>
          <w:p w14:paraId="0F602AE9" w14:textId="77777777" w:rsidR="00B64062" w:rsidRPr="008D4CB2" w:rsidRDefault="00B64062" w:rsidP="00007699">
            <w:pPr>
              <w:jc w:val="center"/>
              <w:rPr>
                <w:color w:val="000000"/>
              </w:rPr>
            </w:pPr>
            <w:r w:rsidRPr="003020E3">
              <w:t>0.46</w:t>
            </w:r>
          </w:p>
        </w:tc>
        <w:tc>
          <w:tcPr>
            <w:tcW w:w="1176" w:type="dxa"/>
            <w:tcBorders>
              <w:top w:val="nil"/>
              <w:left w:val="nil"/>
              <w:bottom w:val="nil"/>
              <w:right w:val="nil"/>
            </w:tcBorders>
            <w:shd w:val="clear" w:color="auto" w:fill="auto"/>
            <w:noWrap/>
            <w:hideMark/>
          </w:tcPr>
          <w:p w14:paraId="775AF0FA" w14:textId="77777777" w:rsidR="00B64062" w:rsidRPr="008D4CB2" w:rsidRDefault="00B64062" w:rsidP="00007699">
            <w:pPr>
              <w:jc w:val="center"/>
              <w:rPr>
                <w:color w:val="000000"/>
              </w:rPr>
            </w:pPr>
            <w:r w:rsidRPr="003020E3">
              <w:t>0.21</w:t>
            </w:r>
          </w:p>
        </w:tc>
        <w:tc>
          <w:tcPr>
            <w:tcW w:w="1176" w:type="dxa"/>
            <w:tcBorders>
              <w:top w:val="nil"/>
              <w:left w:val="nil"/>
              <w:bottom w:val="nil"/>
              <w:right w:val="nil"/>
            </w:tcBorders>
            <w:shd w:val="clear" w:color="auto" w:fill="auto"/>
            <w:noWrap/>
            <w:hideMark/>
          </w:tcPr>
          <w:p w14:paraId="76DB99D5" w14:textId="77777777" w:rsidR="00B64062" w:rsidRPr="008D4CB2" w:rsidRDefault="00B64062" w:rsidP="00007699">
            <w:pPr>
              <w:jc w:val="center"/>
              <w:rPr>
                <w:color w:val="000000"/>
              </w:rPr>
            </w:pPr>
            <w:r w:rsidRPr="003020E3">
              <w:t>0.77</w:t>
            </w:r>
          </w:p>
        </w:tc>
        <w:tc>
          <w:tcPr>
            <w:tcW w:w="1176" w:type="dxa"/>
            <w:tcBorders>
              <w:top w:val="nil"/>
              <w:left w:val="nil"/>
              <w:bottom w:val="nil"/>
              <w:right w:val="nil"/>
            </w:tcBorders>
            <w:shd w:val="clear" w:color="auto" w:fill="auto"/>
            <w:noWrap/>
            <w:hideMark/>
          </w:tcPr>
          <w:p w14:paraId="61A979B0" w14:textId="77777777" w:rsidR="00B64062" w:rsidRPr="008D4CB2" w:rsidRDefault="00B64062" w:rsidP="00007699">
            <w:pPr>
              <w:jc w:val="center"/>
              <w:rPr>
                <w:color w:val="000000"/>
              </w:rPr>
            </w:pPr>
            <w:r w:rsidRPr="003020E3">
              <w:t>0.28</w:t>
            </w:r>
          </w:p>
        </w:tc>
        <w:tc>
          <w:tcPr>
            <w:tcW w:w="1176" w:type="dxa"/>
            <w:tcBorders>
              <w:top w:val="nil"/>
              <w:left w:val="nil"/>
              <w:bottom w:val="nil"/>
              <w:right w:val="nil"/>
            </w:tcBorders>
            <w:shd w:val="clear" w:color="auto" w:fill="auto"/>
            <w:noWrap/>
            <w:hideMark/>
          </w:tcPr>
          <w:p w14:paraId="3DAE31C6" w14:textId="77777777" w:rsidR="00B64062" w:rsidRPr="008D4CB2" w:rsidRDefault="00B64062" w:rsidP="00007699">
            <w:pPr>
              <w:jc w:val="center"/>
              <w:rPr>
                <w:color w:val="000000"/>
              </w:rPr>
            </w:pPr>
            <w:r w:rsidRPr="003020E3">
              <w:t>0.63</w:t>
            </w:r>
          </w:p>
        </w:tc>
        <w:tc>
          <w:tcPr>
            <w:tcW w:w="668" w:type="dxa"/>
            <w:tcBorders>
              <w:top w:val="nil"/>
              <w:left w:val="nil"/>
              <w:bottom w:val="nil"/>
              <w:right w:val="nil"/>
            </w:tcBorders>
          </w:tcPr>
          <w:p w14:paraId="5EB854CA" w14:textId="77777777" w:rsidR="00B64062" w:rsidRPr="00E9173B" w:rsidRDefault="00B64062" w:rsidP="00007699">
            <w:pPr>
              <w:jc w:val="center"/>
            </w:pPr>
          </w:p>
        </w:tc>
      </w:tr>
      <w:tr w:rsidR="00B64062" w:rsidRPr="008D4CB2" w14:paraId="57FD259D" w14:textId="77777777" w:rsidTr="00AF52B6">
        <w:trPr>
          <w:trHeight w:val="290"/>
        </w:trPr>
        <w:tc>
          <w:tcPr>
            <w:tcW w:w="1536" w:type="dxa"/>
            <w:tcBorders>
              <w:top w:val="nil"/>
              <w:left w:val="nil"/>
              <w:bottom w:val="nil"/>
              <w:right w:val="nil"/>
            </w:tcBorders>
            <w:shd w:val="clear" w:color="auto" w:fill="auto"/>
            <w:noWrap/>
            <w:vAlign w:val="center"/>
          </w:tcPr>
          <w:p w14:paraId="0511259A" w14:textId="77777777" w:rsidR="00B64062" w:rsidRPr="008D4CB2" w:rsidRDefault="00B64062" w:rsidP="00007699">
            <w:pPr>
              <w:rPr>
                <w:color w:val="000000"/>
              </w:rPr>
            </w:pPr>
            <w:r w:rsidRPr="008D4CB2">
              <w:rPr>
                <w:color w:val="000000"/>
              </w:rPr>
              <w:t>Fennoscandia</w:t>
            </w:r>
          </w:p>
        </w:tc>
        <w:tc>
          <w:tcPr>
            <w:tcW w:w="1276" w:type="dxa"/>
            <w:tcBorders>
              <w:top w:val="nil"/>
              <w:left w:val="nil"/>
              <w:bottom w:val="nil"/>
              <w:right w:val="nil"/>
            </w:tcBorders>
            <w:shd w:val="clear" w:color="auto" w:fill="auto"/>
            <w:noWrap/>
            <w:vAlign w:val="center"/>
          </w:tcPr>
          <w:p w14:paraId="7DDC36EB" w14:textId="77777777" w:rsidR="00B64062" w:rsidRPr="008D4CB2" w:rsidRDefault="00B64062" w:rsidP="00007699">
            <w:pPr>
              <w:rPr>
                <w:color w:val="000000"/>
              </w:rPr>
            </w:pPr>
            <w:r w:rsidRPr="008D4CB2">
              <w:rPr>
                <w:color w:val="000000"/>
              </w:rPr>
              <w:t>mu</w:t>
            </w:r>
          </w:p>
        </w:tc>
        <w:tc>
          <w:tcPr>
            <w:tcW w:w="1176" w:type="dxa"/>
            <w:tcBorders>
              <w:top w:val="nil"/>
              <w:left w:val="nil"/>
              <w:bottom w:val="nil"/>
              <w:right w:val="nil"/>
            </w:tcBorders>
            <w:shd w:val="clear" w:color="auto" w:fill="auto"/>
            <w:noWrap/>
          </w:tcPr>
          <w:p w14:paraId="0433DB7F" w14:textId="77777777" w:rsidR="00B64062" w:rsidRPr="008D4CB2" w:rsidRDefault="00B64062" w:rsidP="00007699">
            <w:pPr>
              <w:jc w:val="center"/>
              <w:rPr>
                <w:color w:val="000000"/>
              </w:rPr>
            </w:pPr>
            <w:r w:rsidRPr="003020E3">
              <w:t>2.78</w:t>
            </w:r>
          </w:p>
        </w:tc>
        <w:tc>
          <w:tcPr>
            <w:tcW w:w="1176" w:type="dxa"/>
            <w:tcBorders>
              <w:top w:val="nil"/>
              <w:left w:val="nil"/>
              <w:bottom w:val="nil"/>
              <w:right w:val="nil"/>
            </w:tcBorders>
            <w:shd w:val="clear" w:color="auto" w:fill="auto"/>
            <w:noWrap/>
          </w:tcPr>
          <w:p w14:paraId="54785002" w14:textId="77777777" w:rsidR="00B64062" w:rsidRPr="008D4CB2" w:rsidRDefault="00B64062" w:rsidP="00007699">
            <w:pPr>
              <w:jc w:val="center"/>
              <w:rPr>
                <w:color w:val="000000"/>
              </w:rPr>
            </w:pPr>
            <w:r w:rsidRPr="003020E3">
              <w:t>2.04</w:t>
            </w:r>
          </w:p>
        </w:tc>
        <w:tc>
          <w:tcPr>
            <w:tcW w:w="1176" w:type="dxa"/>
            <w:tcBorders>
              <w:top w:val="nil"/>
              <w:left w:val="nil"/>
              <w:bottom w:val="nil"/>
              <w:right w:val="nil"/>
            </w:tcBorders>
            <w:shd w:val="clear" w:color="auto" w:fill="auto"/>
            <w:noWrap/>
          </w:tcPr>
          <w:p w14:paraId="26A23166" w14:textId="77777777" w:rsidR="00B64062" w:rsidRPr="008D4CB2" w:rsidRDefault="00B64062" w:rsidP="00007699">
            <w:pPr>
              <w:jc w:val="center"/>
              <w:rPr>
                <w:color w:val="000000"/>
              </w:rPr>
            </w:pPr>
            <w:r w:rsidRPr="003020E3">
              <w:t>3.69</w:t>
            </w:r>
          </w:p>
        </w:tc>
        <w:tc>
          <w:tcPr>
            <w:tcW w:w="1176" w:type="dxa"/>
            <w:tcBorders>
              <w:top w:val="nil"/>
              <w:left w:val="nil"/>
              <w:bottom w:val="nil"/>
              <w:right w:val="nil"/>
            </w:tcBorders>
            <w:shd w:val="clear" w:color="auto" w:fill="auto"/>
            <w:noWrap/>
          </w:tcPr>
          <w:p w14:paraId="374DD346" w14:textId="77777777" w:rsidR="00B64062" w:rsidRPr="008D4CB2" w:rsidRDefault="00B64062" w:rsidP="00007699">
            <w:pPr>
              <w:jc w:val="center"/>
              <w:rPr>
                <w:color w:val="000000"/>
              </w:rPr>
            </w:pPr>
            <w:r w:rsidRPr="003020E3">
              <w:t>2.25</w:t>
            </w:r>
          </w:p>
        </w:tc>
        <w:tc>
          <w:tcPr>
            <w:tcW w:w="1176" w:type="dxa"/>
            <w:tcBorders>
              <w:top w:val="nil"/>
              <w:left w:val="nil"/>
              <w:bottom w:val="nil"/>
              <w:right w:val="nil"/>
            </w:tcBorders>
            <w:shd w:val="clear" w:color="auto" w:fill="auto"/>
            <w:noWrap/>
          </w:tcPr>
          <w:p w14:paraId="3FAEE744" w14:textId="77777777" w:rsidR="00B64062" w:rsidRPr="008D4CB2" w:rsidRDefault="00B64062" w:rsidP="00007699">
            <w:pPr>
              <w:jc w:val="center"/>
              <w:rPr>
                <w:color w:val="000000"/>
              </w:rPr>
            </w:pPr>
            <w:r w:rsidRPr="003020E3">
              <w:t>3.27</w:t>
            </w:r>
          </w:p>
        </w:tc>
        <w:tc>
          <w:tcPr>
            <w:tcW w:w="668" w:type="dxa"/>
            <w:tcBorders>
              <w:top w:val="nil"/>
              <w:left w:val="nil"/>
              <w:bottom w:val="nil"/>
              <w:right w:val="nil"/>
            </w:tcBorders>
          </w:tcPr>
          <w:p w14:paraId="33EAF671" w14:textId="77777777" w:rsidR="00B64062" w:rsidRPr="00E9173B" w:rsidRDefault="00B64062" w:rsidP="00007699">
            <w:pPr>
              <w:jc w:val="center"/>
            </w:pPr>
          </w:p>
        </w:tc>
      </w:tr>
      <w:tr w:rsidR="00B64062" w:rsidRPr="008D4CB2" w14:paraId="756B60D3" w14:textId="77777777" w:rsidTr="00AF52B6">
        <w:trPr>
          <w:trHeight w:val="290"/>
        </w:trPr>
        <w:tc>
          <w:tcPr>
            <w:tcW w:w="1536" w:type="dxa"/>
            <w:tcBorders>
              <w:top w:val="nil"/>
              <w:left w:val="nil"/>
              <w:bottom w:val="nil"/>
              <w:right w:val="nil"/>
            </w:tcBorders>
            <w:shd w:val="clear" w:color="auto" w:fill="auto"/>
            <w:noWrap/>
            <w:vAlign w:val="center"/>
          </w:tcPr>
          <w:p w14:paraId="2598ECB3" w14:textId="77777777" w:rsidR="00B64062" w:rsidRPr="008D4CB2" w:rsidRDefault="00B64062" w:rsidP="00007699">
            <w:pPr>
              <w:rPr>
                <w:color w:val="000000"/>
              </w:rPr>
            </w:pPr>
          </w:p>
        </w:tc>
        <w:tc>
          <w:tcPr>
            <w:tcW w:w="1276" w:type="dxa"/>
            <w:tcBorders>
              <w:top w:val="nil"/>
              <w:left w:val="nil"/>
              <w:bottom w:val="nil"/>
              <w:right w:val="nil"/>
            </w:tcBorders>
            <w:shd w:val="clear" w:color="auto" w:fill="auto"/>
            <w:noWrap/>
            <w:vAlign w:val="center"/>
          </w:tcPr>
          <w:p w14:paraId="76BD61BF" w14:textId="77777777" w:rsidR="00B64062" w:rsidRPr="000443BD" w:rsidRDefault="00B64062" w:rsidP="00007699">
            <w:pPr>
              <w:rPr>
                <w:color w:val="000000"/>
              </w:rPr>
            </w:pPr>
            <w:r w:rsidRPr="000443BD">
              <w:rPr>
                <w:color w:val="000000"/>
              </w:rPr>
              <w:t>beta</w:t>
            </w:r>
          </w:p>
        </w:tc>
        <w:tc>
          <w:tcPr>
            <w:tcW w:w="1176" w:type="dxa"/>
            <w:tcBorders>
              <w:top w:val="nil"/>
              <w:left w:val="nil"/>
              <w:bottom w:val="nil"/>
              <w:right w:val="nil"/>
            </w:tcBorders>
            <w:shd w:val="clear" w:color="auto" w:fill="auto"/>
            <w:noWrap/>
          </w:tcPr>
          <w:p w14:paraId="5A5BCA9B" w14:textId="77777777" w:rsidR="00B64062" w:rsidRPr="008D4CB2" w:rsidRDefault="00B64062" w:rsidP="00007699">
            <w:pPr>
              <w:jc w:val="center"/>
              <w:rPr>
                <w:color w:val="000000"/>
              </w:rPr>
            </w:pPr>
            <w:r w:rsidRPr="003020E3">
              <w:t>0.66</w:t>
            </w:r>
          </w:p>
        </w:tc>
        <w:tc>
          <w:tcPr>
            <w:tcW w:w="1176" w:type="dxa"/>
            <w:tcBorders>
              <w:top w:val="nil"/>
              <w:left w:val="nil"/>
              <w:bottom w:val="nil"/>
              <w:right w:val="nil"/>
            </w:tcBorders>
            <w:shd w:val="clear" w:color="auto" w:fill="auto"/>
            <w:noWrap/>
          </w:tcPr>
          <w:p w14:paraId="0E787DA5" w14:textId="77777777" w:rsidR="00B64062" w:rsidRPr="008D4CB2" w:rsidRDefault="00B64062" w:rsidP="00007699">
            <w:pPr>
              <w:jc w:val="center"/>
              <w:rPr>
                <w:color w:val="000000"/>
              </w:rPr>
            </w:pPr>
            <w:r w:rsidRPr="003020E3">
              <w:t>-0.48</w:t>
            </w:r>
          </w:p>
        </w:tc>
        <w:tc>
          <w:tcPr>
            <w:tcW w:w="1176" w:type="dxa"/>
            <w:tcBorders>
              <w:top w:val="nil"/>
              <w:left w:val="nil"/>
              <w:bottom w:val="nil"/>
              <w:right w:val="nil"/>
            </w:tcBorders>
            <w:shd w:val="clear" w:color="auto" w:fill="auto"/>
            <w:noWrap/>
          </w:tcPr>
          <w:p w14:paraId="3F78D48B" w14:textId="77777777" w:rsidR="00B64062" w:rsidRPr="008D4CB2" w:rsidRDefault="00B64062" w:rsidP="00007699">
            <w:pPr>
              <w:jc w:val="center"/>
              <w:rPr>
                <w:color w:val="000000"/>
              </w:rPr>
            </w:pPr>
            <w:r w:rsidRPr="003020E3">
              <w:t>1.81</w:t>
            </w:r>
          </w:p>
        </w:tc>
        <w:tc>
          <w:tcPr>
            <w:tcW w:w="1176" w:type="dxa"/>
            <w:tcBorders>
              <w:top w:val="nil"/>
              <w:left w:val="nil"/>
              <w:bottom w:val="nil"/>
              <w:right w:val="nil"/>
            </w:tcBorders>
            <w:shd w:val="clear" w:color="auto" w:fill="auto"/>
            <w:noWrap/>
          </w:tcPr>
          <w:p w14:paraId="197EBBC7" w14:textId="77777777" w:rsidR="00B64062" w:rsidRPr="008D4CB2" w:rsidRDefault="00B64062" w:rsidP="00007699">
            <w:pPr>
              <w:jc w:val="center"/>
              <w:rPr>
                <w:color w:val="000000"/>
              </w:rPr>
            </w:pPr>
            <w:r w:rsidRPr="003020E3">
              <w:t>-0.06</w:t>
            </w:r>
          </w:p>
        </w:tc>
        <w:tc>
          <w:tcPr>
            <w:tcW w:w="1176" w:type="dxa"/>
            <w:tcBorders>
              <w:top w:val="nil"/>
              <w:left w:val="nil"/>
              <w:bottom w:val="nil"/>
              <w:right w:val="nil"/>
            </w:tcBorders>
            <w:shd w:val="clear" w:color="auto" w:fill="auto"/>
            <w:noWrap/>
          </w:tcPr>
          <w:p w14:paraId="2DF68E9F" w14:textId="77777777" w:rsidR="00B64062" w:rsidRPr="008D4CB2" w:rsidRDefault="00B64062" w:rsidP="00007699">
            <w:pPr>
              <w:jc w:val="center"/>
              <w:rPr>
                <w:color w:val="000000"/>
              </w:rPr>
            </w:pPr>
            <w:r w:rsidRPr="003020E3">
              <w:t>1.36</w:t>
            </w:r>
          </w:p>
        </w:tc>
        <w:tc>
          <w:tcPr>
            <w:tcW w:w="668" w:type="dxa"/>
            <w:tcBorders>
              <w:top w:val="nil"/>
              <w:left w:val="nil"/>
              <w:bottom w:val="nil"/>
              <w:right w:val="nil"/>
            </w:tcBorders>
          </w:tcPr>
          <w:p w14:paraId="66CA2E9E" w14:textId="77777777" w:rsidR="00B64062" w:rsidRPr="00E9173B" w:rsidRDefault="00B64062" w:rsidP="00007699">
            <w:pPr>
              <w:jc w:val="center"/>
            </w:pPr>
            <w:r w:rsidRPr="003020E3">
              <w:t>0.88</w:t>
            </w:r>
          </w:p>
        </w:tc>
      </w:tr>
      <w:tr w:rsidR="00B64062" w:rsidRPr="008D4CB2" w14:paraId="281A8635" w14:textId="77777777" w:rsidTr="00AF52B6">
        <w:trPr>
          <w:trHeight w:val="290"/>
        </w:trPr>
        <w:tc>
          <w:tcPr>
            <w:tcW w:w="1536" w:type="dxa"/>
            <w:tcBorders>
              <w:top w:val="nil"/>
              <w:left w:val="nil"/>
              <w:bottom w:val="nil"/>
              <w:right w:val="nil"/>
            </w:tcBorders>
            <w:shd w:val="clear" w:color="auto" w:fill="auto"/>
            <w:noWrap/>
            <w:vAlign w:val="center"/>
          </w:tcPr>
          <w:p w14:paraId="336E8167" w14:textId="77777777" w:rsidR="00B64062" w:rsidRPr="008D4CB2" w:rsidRDefault="00B64062" w:rsidP="00007699">
            <w:pPr>
              <w:rPr>
                <w:color w:val="000000"/>
              </w:rPr>
            </w:pPr>
          </w:p>
        </w:tc>
        <w:tc>
          <w:tcPr>
            <w:tcW w:w="1276" w:type="dxa"/>
            <w:tcBorders>
              <w:top w:val="nil"/>
              <w:left w:val="nil"/>
              <w:bottom w:val="nil"/>
              <w:right w:val="nil"/>
            </w:tcBorders>
            <w:shd w:val="clear" w:color="auto" w:fill="auto"/>
            <w:noWrap/>
            <w:vAlign w:val="center"/>
          </w:tcPr>
          <w:p w14:paraId="316724E9" w14:textId="77777777" w:rsidR="00B64062" w:rsidRPr="008D4CB2" w:rsidRDefault="00B64062" w:rsidP="00007699">
            <w:pPr>
              <w:rPr>
                <w:color w:val="000000"/>
              </w:rPr>
            </w:pPr>
            <w:proofErr w:type="spellStart"/>
            <w:proofErr w:type="gramStart"/>
            <w:r w:rsidRPr="008D4CB2">
              <w:rPr>
                <w:color w:val="000000"/>
              </w:rPr>
              <w:t>r</w:t>
            </w:r>
            <w:r>
              <w:rPr>
                <w:color w:val="000000"/>
              </w:rPr>
              <w:t>.nb</w:t>
            </w:r>
            <w:proofErr w:type="spellEnd"/>
            <w:proofErr w:type="gramEnd"/>
          </w:p>
        </w:tc>
        <w:tc>
          <w:tcPr>
            <w:tcW w:w="1176" w:type="dxa"/>
            <w:tcBorders>
              <w:top w:val="nil"/>
              <w:left w:val="nil"/>
              <w:bottom w:val="nil"/>
              <w:right w:val="nil"/>
            </w:tcBorders>
            <w:shd w:val="clear" w:color="auto" w:fill="auto"/>
            <w:noWrap/>
          </w:tcPr>
          <w:p w14:paraId="5CFFC5FA" w14:textId="77777777" w:rsidR="00B64062" w:rsidRPr="008D4CB2" w:rsidRDefault="00B64062" w:rsidP="00007699">
            <w:pPr>
              <w:jc w:val="center"/>
              <w:rPr>
                <w:color w:val="000000"/>
              </w:rPr>
            </w:pPr>
            <w:r w:rsidRPr="003020E3">
              <w:t>0.14</w:t>
            </w:r>
          </w:p>
        </w:tc>
        <w:tc>
          <w:tcPr>
            <w:tcW w:w="1176" w:type="dxa"/>
            <w:tcBorders>
              <w:top w:val="nil"/>
              <w:left w:val="nil"/>
              <w:bottom w:val="nil"/>
              <w:right w:val="nil"/>
            </w:tcBorders>
            <w:shd w:val="clear" w:color="auto" w:fill="auto"/>
            <w:noWrap/>
          </w:tcPr>
          <w:p w14:paraId="5B5ADEA9" w14:textId="77777777" w:rsidR="00B64062" w:rsidRPr="008D4CB2" w:rsidRDefault="00B64062" w:rsidP="00007699">
            <w:pPr>
              <w:jc w:val="center"/>
              <w:rPr>
                <w:color w:val="000000"/>
              </w:rPr>
            </w:pPr>
            <w:r w:rsidRPr="003020E3">
              <w:t>0.04</w:t>
            </w:r>
          </w:p>
        </w:tc>
        <w:tc>
          <w:tcPr>
            <w:tcW w:w="1176" w:type="dxa"/>
            <w:tcBorders>
              <w:top w:val="nil"/>
              <w:left w:val="nil"/>
              <w:bottom w:val="nil"/>
              <w:right w:val="nil"/>
            </w:tcBorders>
            <w:shd w:val="clear" w:color="auto" w:fill="auto"/>
            <w:noWrap/>
          </w:tcPr>
          <w:p w14:paraId="481CE73D" w14:textId="77777777" w:rsidR="00B64062" w:rsidRPr="008D4CB2" w:rsidRDefault="00B64062" w:rsidP="00007699">
            <w:pPr>
              <w:jc w:val="center"/>
              <w:rPr>
                <w:color w:val="000000"/>
              </w:rPr>
            </w:pPr>
            <w:r w:rsidRPr="003020E3">
              <w:t>0.28</w:t>
            </w:r>
          </w:p>
        </w:tc>
        <w:tc>
          <w:tcPr>
            <w:tcW w:w="1176" w:type="dxa"/>
            <w:tcBorders>
              <w:top w:val="nil"/>
              <w:left w:val="nil"/>
              <w:bottom w:val="nil"/>
              <w:right w:val="nil"/>
            </w:tcBorders>
            <w:shd w:val="clear" w:color="auto" w:fill="auto"/>
            <w:noWrap/>
          </w:tcPr>
          <w:p w14:paraId="17DFF3F1" w14:textId="77777777" w:rsidR="00B64062" w:rsidRPr="008D4CB2" w:rsidRDefault="00B64062" w:rsidP="00007699">
            <w:pPr>
              <w:jc w:val="center"/>
              <w:rPr>
                <w:color w:val="000000"/>
              </w:rPr>
            </w:pPr>
            <w:r w:rsidRPr="003020E3">
              <w:t>0.05</w:t>
            </w:r>
          </w:p>
        </w:tc>
        <w:tc>
          <w:tcPr>
            <w:tcW w:w="1176" w:type="dxa"/>
            <w:tcBorders>
              <w:top w:val="nil"/>
              <w:left w:val="nil"/>
              <w:bottom w:val="nil"/>
              <w:right w:val="nil"/>
            </w:tcBorders>
            <w:shd w:val="clear" w:color="auto" w:fill="auto"/>
            <w:noWrap/>
          </w:tcPr>
          <w:p w14:paraId="059E23CB" w14:textId="77777777" w:rsidR="00B64062" w:rsidRPr="008D4CB2" w:rsidRDefault="00B64062" w:rsidP="00007699">
            <w:pPr>
              <w:jc w:val="center"/>
              <w:rPr>
                <w:color w:val="000000"/>
              </w:rPr>
            </w:pPr>
            <w:r w:rsidRPr="003020E3">
              <w:t>0.21</w:t>
            </w:r>
          </w:p>
        </w:tc>
        <w:tc>
          <w:tcPr>
            <w:tcW w:w="668" w:type="dxa"/>
            <w:tcBorders>
              <w:top w:val="nil"/>
              <w:left w:val="nil"/>
              <w:bottom w:val="nil"/>
              <w:right w:val="nil"/>
            </w:tcBorders>
          </w:tcPr>
          <w:p w14:paraId="1ECFE1EA" w14:textId="77777777" w:rsidR="00B64062" w:rsidRPr="00E9173B" w:rsidRDefault="00B64062" w:rsidP="00007699">
            <w:pPr>
              <w:jc w:val="center"/>
            </w:pPr>
          </w:p>
        </w:tc>
      </w:tr>
      <w:tr w:rsidR="00B64062" w:rsidRPr="008D4CB2" w14:paraId="1C5F600C" w14:textId="77777777" w:rsidTr="00AF52B6">
        <w:trPr>
          <w:trHeight w:val="290"/>
        </w:trPr>
        <w:tc>
          <w:tcPr>
            <w:tcW w:w="1536" w:type="dxa"/>
            <w:tcBorders>
              <w:top w:val="nil"/>
              <w:left w:val="nil"/>
              <w:bottom w:val="nil"/>
              <w:right w:val="nil"/>
            </w:tcBorders>
            <w:shd w:val="clear" w:color="auto" w:fill="auto"/>
            <w:noWrap/>
            <w:vAlign w:val="center"/>
            <w:hideMark/>
          </w:tcPr>
          <w:p w14:paraId="1C9B5B93" w14:textId="77777777" w:rsidR="00B64062" w:rsidRPr="008D4CB2" w:rsidRDefault="00B64062" w:rsidP="00007699">
            <w:pPr>
              <w:rPr>
                <w:color w:val="000000"/>
              </w:rPr>
            </w:pPr>
            <w:proofErr w:type="spellStart"/>
            <w:r w:rsidRPr="008D4CB2">
              <w:rPr>
                <w:color w:val="000000"/>
              </w:rPr>
              <w:t>Karupelv</w:t>
            </w:r>
            <w:proofErr w:type="spellEnd"/>
            <w:r w:rsidRPr="008D4CB2">
              <w:rPr>
                <w:color w:val="000000"/>
              </w:rPr>
              <w:t xml:space="preserve"> Valley</w:t>
            </w:r>
          </w:p>
        </w:tc>
        <w:tc>
          <w:tcPr>
            <w:tcW w:w="1276" w:type="dxa"/>
            <w:tcBorders>
              <w:top w:val="nil"/>
              <w:left w:val="nil"/>
              <w:bottom w:val="nil"/>
              <w:right w:val="nil"/>
            </w:tcBorders>
            <w:shd w:val="clear" w:color="auto" w:fill="auto"/>
            <w:noWrap/>
            <w:vAlign w:val="center"/>
            <w:hideMark/>
          </w:tcPr>
          <w:p w14:paraId="0F14D259" w14:textId="77777777" w:rsidR="00B64062" w:rsidRPr="008D4CB2" w:rsidRDefault="00B64062" w:rsidP="00007699">
            <w:pPr>
              <w:rPr>
                <w:color w:val="000000"/>
              </w:rPr>
            </w:pPr>
            <w:r w:rsidRPr="008D4CB2">
              <w:rPr>
                <w:color w:val="000000"/>
              </w:rPr>
              <w:t>mu</w:t>
            </w:r>
          </w:p>
        </w:tc>
        <w:tc>
          <w:tcPr>
            <w:tcW w:w="1176" w:type="dxa"/>
            <w:tcBorders>
              <w:top w:val="nil"/>
              <w:left w:val="nil"/>
              <w:bottom w:val="nil"/>
              <w:right w:val="nil"/>
            </w:tcBorders>
            <w:shd w:val="clear" w:color="auto" w:fill="auto"/>
            <w:noWrap/>
            <w:hideMark/>
          </w:tcPr>
          <w:p w14:paraId="2CD65FCC" w14:textId="77777777" w:rsidR="00B64062" w:rsidRPr="008D4CB2" w:rsidRDefault="00B64062" w:rsidP="00007699">
            <w:pPr>
              <w:jc w:val="center"/>
              <w:rPr>
                <w:color w:val="000000"/>
              </w:rPr>
            </w:pPr>
            <w:r w:rsidRPr="003020E3">
              <w:t>0.58</w:t>
            </w:r>
          </w:p>
        </w:tc>
        <w:tc>
          <w:tcPr>
            <w:tcW w:w="1176" w:type="dxa"/>
            <w:tcBorders>
              <w:top w:val="nil"/>
              <w:left w:val="nil"/>
              <w:bottom w:val="nil"/>
              <w:right w:val="nil"/>
            </w:tcBorders>
            <w:shd w:val="clear" w:color="auto" w:fill="auto"/>
            <w:noWrap/>
            <w:hideMark/>
          </w:tcPr>
          <w:p w14:paraId="3725E92E" w14:textId="77777777" w:rsidR="00B64062" w:rsidRPr="008D4CB2" w:rsidRDefault="00B64062" w:rsidP="00007699">
            <w:pPr>
              <w:jc w:val="center"/>
              <w:rPr>
                <w:color w:val="000000"/>
              </w:rPr>
            </w:pPr>
            <w:r w:rsidRPr="003020E3">
              <w:t>-0.49</w:t>
            </w:r>
          </w:p>
        </w:tc>
        <w:tc>
          <w:tcPr>
            <w:tcW w:w="1176" w:type="dxa"/>
            <w:tcBorders>
              <w:top w:val="nil"/>
              <w:left w:val="nil"/>
              <w:bottom w:val="nil"/>
              <w:right w:val="nil"/>
            </w:tcBorders>
            <w:shd w:val="clear" w:color="auto" w:fill="auto"/>
            <w:noWrap/>
            <w:hideMark/>
          </w:tcPr>
          <w:p w14:paraId="446F5BE8" w14:textId="77777777" w:rsidR="00B64062" w:rsidRPr="008D4CB2" w:rsidRDefault="00B64062" w:rsidP="00007699">
            <w:pPr>
              <w:jc w:val="center"/>
              <w:rPr>
                <w:color w:val="000000"/>
              </w:rPr>
            </w:pPr>
            <w:r w:rsidRPr="003020E3">
              <w:t>1.86</w:t>
            </w:r>
          </w:p>
        </w:tc>
        <w:tc>
          <w:tcPr>
            <w:tcW w:w="1176" w:type="dxa"/>
            <w:tcBorders>
              <w:top w:val="nil"/>
              <w:left w:val="nil"/>
              <w:bottom w:val="nil"/>
              <w:right w:val="nil"/>
            </w:tcBorders>
            <w:shd w:val="clear" w:color="auto" w:fill="auto"/>
            <w:noWrap/>
            <w:hideMark/>
          </w:tcPr>
          <w:p w14:paraId="7F25B715" w14:textId="77777777" w:rsidR="00B64062" w:rsidRPr="008D4CB2" w:rsidRDefault="00B64062" w:rsidP="00007699">
            <w:pPr>
              <w:jc w:val="center"/>
              <w:rPr>
                <w:color w:val="000000"/>
              </w:rPr>
            </w:pPr>
            <w:r w:rsidRPr="003020E3">
              <w:t>-0.12</w:t>
            </w:r>
          </w:p>
        </w:tc>
        <w:tc>
          <w:tcPr>
            <w:tcW w:w="1176" w:type="dxa"/>
            <w:tcBorders>
              <w:top w:val="nil"/>
              <w:left w:val="nil"/>
              <w:bottom w:val="nil"/>
              <w:right w:val="nil"/>
            </w:tcBorders>
            <w:shd w:val="clear" w:color="auto" w:fill="auto"/>
            <w:noWrap/>
            <w:hideMark/>
          </w:tcPr>
          <w:p w14:paraId="64ED9EBB" w14:textId="77777777" w:rsidR="00B64062" w:rsidRPr="008D4CB2" w:rsidRDefault="00B64062" w:rsidP="00007699">
            <w:pPr>
              <w:jc w:val="center"/>
              <w:rPr>
                <w:color w:val="000000"/>
              </w:rPr>
            </w:pPr>
            <w:r w:rsidRPr="003020E3">
              <w:t>1.32</w:t>
            </w:r>
          </w:p>
        </w:tc>
        <w:tc>
          <w:tcPr>
            <w:tcW w:w="668" w:type="dxa"/>
            <w:tcBorders>
              <w:top w:val="nil"/>
              <w:left w:val="nil"/>
              <w:bottom w:val="nil"/>
              <w:right w:val="nil"/>
            </w:tcBorders>
          </w:tcPr>
          <w:p w14:paraId="0AEF60C0" w14:textId="77777777" w:rsidR="00B64062" w:rsidRPr="00E9173B" w:rsidRDefault="00B64062" w:rsidP="00007699">
            <w:pPr>
              <w:jc w:val="center"/>
            </w:pPr>
          </w:p>
        </w:tc>
      </w:tr>
      <w:tr w:rsidR="00B64062" w:rsidRPr="008D4CB2" w14:paraId="0FC70543" w14:textId="77777777" w:rsidTr="00AF52B6">
        <w:trPr>
          <w:trHeight w:val="290"/>
        </w:trPr>
        <w:tc>
          <w:tcPr>
            <w:tcW w:w="1536" w:type="dxa"/>
            <w:tcBorders>
              <w:top w:val="nil"/>
              <w:left w:val="nil"/>
              <w:bottom w:val="nil"/>
              <w:right w:val="nil"/>
            </w:tcBorders>
            <w:shd w:val="clear" w:color="auto" w:fill="auto"/>
            <w:noWrap/>
            <w:vAlign w:val="center"/>
          </w:tcPr>
          <w:p w14:paraId="11F46BFA" w14:textId="77777777" w:rsidR="00B64062" w:rsidRPr="00F5666F" w:rsidRDefault="00B64062" w:rsidP="00007699">
            <w:pPr>
              <w:rPr>
                <w:b/>
                <w:bCs/>
                <w:color w:val="000000"/>
              </w:rPr>
            </w:pPr>
          </w:p>
        </w:tc>
        <w:tc>
          <w:tcPr>
            <w:tcW w:w="1276" w:type="dxa"/>
            <w:tcBorders>
              <w:top w:val="nil"/>
              <w:left w:val="nil"/>
              <w:bottom w:val="nil"/>
              <w:right w:val="nil"/>
            </w:tcBorders>
            <w:shd w:val="clear" w:color="auto" w:fill="auto"/>
            <w:noWrap/>
            <w:vAlign w:val="center"/>
            <w:hideMark/>
          </w:tcPr>
          <w:p w14:paraId="68DF1176" w14:textId="77777777" w:rsidR="00B64062" w:rsidRPr="00F5666F" w:rsidRDefault="00B64062" w:rsidP="00007699">
            <w:pPr>
              <w:rPr>
                <w:b/>
                <w:bCs/>
                <w:color w:val="000000"/>
              </w:rPr>
            </w:pPr>
            <w:r w:rsidRPr="008D4CB2">
              <w:rPr>
                <w:color w:val="000000"/>
              </w:rPr>
              <w:t>beta</w:t>
            </w:r>
          </w:p>
        </w:tc>
        <w:tc>
          <w:tcPr>
            <w:tcW w:w="1176" w:type="dxa"/>
            <w:tcBorders>
              <w:top w:val="nil"/>
              <w:left w:val="nil"/>
              <w:bottom w:val="nil"/>
              <w:right w:val="nil"/>
            </w:tcBorders>
            <w:shd w:val="clear" w:color="auto" w:fill="auto"/>
            <w:noWrap/>
            <w:hideMark/>
          </w:tcPr>
          <w:p w14:paraId="50ADCC2F" w14:textId="77777777" w:rsidR="00B64062" w:rsidRPr="00F5666F" w:rsidRDefault="00B64062" w:rsidP="00007699">
            <w:pPr>
              <w:jc w:val="center"/>
              <w:rPr>
                <w:b/>
                <w:bCs/>
                <w:color w:val="000000"/>
              </w:rPr>
            </w:pPr>
            <w:r w:rsidRPr="003020E3">
              <w:t>-0.56</w:t>
            </w:r>
          </w:p>
        </w:tc>
        <w:tc>
          <w:tcPr>
            <w:tcW w:w="1176" w:type="dxa"/>
            <w:tcBorders>
              <w:top w:val="nil"/>
              <w:left w:val="nil"/>
              <w:bottom w:val="nil"/>
              <w:right w:val="nil"/>
            </w:tcBorders>
            <w:shd w:val="clear" w:color="auto" w:fill="auto"/>
            <w:noWrap/>
            <w:hideMark/>
          </w:tcPr>
          <w:p w14:paraId="367F0BA1" w14:textId="77777777" w:rsidR="00B64062" w:rsidRPr="00F5666F" w:rsidRDefault="00B64062" w:rsidP="00007699">
            <w:pPr>
              <w:jc w:val="center"/>
              <w:rPr>
                <w:b/>
                <w:bCs/>
                <w:color w:val="000000"/>
              </w:rPr>
            </w:pPr>
            <w:r w:rsidRPr="003020E3">
              <w:t>-2.19</w:t>
            </w:r>
          </w:p>
        </w:tc>
        <w:tc>
          <w:tcPr>
            <w:tcW w:w="1176" w:type="dxa"/>
            <w:tcBorders>
              <w:top w:val="nil"/>
              <w:left w:val="nil"/>
              <w:bottom w:val="nil"/>
              <w:right w:val="nil"/>
            </w:tcBorders>
            <w:shd w:val="clear" w:color="auto" w:fill="auto"/>
            <w:noWrap/>
            <w:hideMark/>
          </w:tcPr>
          <w:p w14:paraId="42EDF030" w14:textId="77777777" w:rsidR="00B64062" w:rsidRPr="00F5666F" w:rsidRDefault="00B64062" w:rsidP="00007699">
            <w:pPr>
              <w:jc w:val="center"/>
              <w:rPr>
                <w:b/>
                <w:bCs/>
                <w:color w:val="000000"/>
              </w:rPr>
            </w:pPr>
            <w:r w:rsidRPr="003020E3">
              <w:t>1.03</w:t>
            </w:r>
          </w:p>
        </w:tc>
        <w:tc>
          <w:tcPr>
            <w:tcW w:w="1176" w:type="dxa"/>
            <w:tcBorders>
              <w:top w:val="nil"/>
              <w:left w:val="nil"/>
              <w:bottom w:val="nil"/>
              <w:right w:val="nil"/>
            </w:tcBorders>
            <w:shd w:val="clear" w:color="auto" w:fill="auto"/>
            <w:noWrap/>
            <w:hideMark/>
          </w:tcPr>
          <w:p w14:paraId="3D242CF7" w14:textId="77777777" w:rsidR="00B64062" w:rsidRPr="00F5666F" w:rsidRDefault="00B64062" w:rsidP="00007699">
            <w:pPr>
              <w:jc w:val="center"/>
              <w:rPr>
                <w:b/>
                <w:bCs/>
                <w:color w:val="000000"/>
              </w:rPr>
            </w:pPr>
            <w:r w:rsidRPr="003020E3">
              <w:t>-1.56</w:t>
            </w:r>
          </w:p>
        </w:tc>
        <w:tc>
          <w:tcPr>
            <w:tcW w:w="1176" w:type="dxa"/>
            <w:tcBorders>
              <w:top w:val="nil"/>
              <w:left w:val="nil"/>
              <w:bottom w:val="nil"/>
              <w:right w:val="nil"/>
            </w:tcBorders>
            <w:shd w:val="clear" w:color="auto" w:fill="auto"/>
            <w:noWrap/>
            <w:hideMark/>
          </w:tcPr>
          <w:p w14:paraId="2FDDDD2B" w14:textId="77777777" w:rsidR="00B64062" w:rsidRPr="00F5666F" w:rsidRDefault="00B64062" w:rsidP="00007699">
            <w:pPr>
              <w:jc w:val="center"/>
              <w:rPr>
                <w:b/>
                <w:bCs/>
                <w:color w:val="000000"/>
              </w:rPr>
            </w:pPr>
            <w:r w:rsidRPr="003020E3">
              <w:t>0.41</w:t>
            </w:r>
          </w:p>
        </w:tc>
        <w:tc>
          <w:tcPr>
            <w:tcW w:w="668" w:type="dxa"/>
            <w:tcBorders>
              <w:top w:val="nil"/>
              <w:left w:val="nil"/>
              <w:bottom w:val="nil"/>
              <w:right w:val="nil"/>
            </w:tcBorders>
          </w:tcPr>
          <w:p w14:paraId="6D7A8180" w14:textId="77777777" w:rsidR="00B64062" w:rsidRPr="00E9173B" w:rsidRDefault="00B64062" w:rsidP="00007699">
            <w:pPr>
              <w:jc w:val="center"/>
            </w:pPr>
            <w:r w:rsidRPr="003020E3">
              <w:t>0.77</w:t>
            </w:r>
          </w:p>
        </w:tc>
      </w:tr>
      <w:tr w:rsidR="00B64062" w:rsidRPr="008D4CB2" w14:paraId="7CF698C6" w14:textId="77777777" w:rsidTr="00AF52B6">
        <w:trPr>
          <w:trHeight w:val="290"/>
        </w:trPr>
        <w:tc>
          <w:tcPr>
            <w:tcW w:w="1536" w:type="dxa"/>
            <w:tcBorders>
              <w:top w:val="nil"/>
              <w:left w:val="nil"/>
              <w:bottom w:val="nil"/>
              <w:right w:val="nil"/>
            </w:tcBorders>
            <w:shd w:val="clear" w:color="auto" w:fill="auto"/>
            <w:noWrap/>
            <w:vAlign w:val="center"/>
          </w:tcPr>
          <w:p w14:paraId="61219542" w14:textId="77777777" w:rsidR="00B64062" w:rsidRPr="008D4CB2" w:rsidRDefault="00B64062" w:rsidP="00007699">
            <w:pPr>
              <w:rPr>
                <w:color w:val="000000"/>
              </w:rPr>
            </w:pPr>
          </w:p>
        </w:tc>
        <w:tc>
          <w:tcPr>
            <w:tcW w:w="1276" w:type="dxa"/>
            <w:tcBorders>
              <w:top w:val="nil"/>
              <w:left w:val="nil"/>
              <w:bottom w:val="nil"/>
              <w:right w:val="nil"/>
            </w:tcBorders>
            <w:shd w:val="clear" w:color="auto" w:fill="auto"/>
            <w:noWrap/>
            <w:vAlign w:val="center"/>
            <w:hideMark/>
          </w:tcPr>
          <w:p w14:paraId="6067EE79" w14:textId="77777777" w:rsidR="00B64062" w:rsidRPr="008D4CB2" w:rsidRDefault="00B64062" w:rsidP="00007699">
            <w:pPr>
              <w:rPr>
                <w:color w:val="000000"/>
              </w:rPr>
            </w:pPr>
            <w:proofErr w:type="spellStart"/>
            <w:proofErr w:type="gramStart"/>
            <w:r w:rsidRPr="008D4CB2">
              <w:rPr>
                <w:color w:val="000000"/>
              </w:rPr>
              <w:t>r</w:t>
            </w:r>
            <w:r>
              <w:rPr>
                <w:color w:val="000000"/>
              </w:rPr>
              <w:t>.nb</w:t>
            </w:r>
            <w:proofErr w:type="spellEnd"/>
            <w:proofErr w:type="gramEnd"/>
          </w:p>
        </w:tc>
        <w:tc>
          <w:tcPr>
            <w:tcW w:w="1176" w:type="dxa"/>
            <w:tcBorders>
              <w:top w:val="nil"/>
              <w:left w:val="nil"/>
              <w:bottom w:val="nil"/>
              <w:right w:val="nil"/>
            </w:tcBorders>
            <w:shd w:val="clear" w:color="auto" w:fill="auto"/>
            <w:noWrap/>
            <w:hideMark/>
          </w:tcPr>
          <w:p w14:paraId="0E348E92" w14:textId="77777777" w:rsidR="00B64062" w:rsidRPr="008D4CB2" w:rsidRDefault="00B64062" w:rsidP="00007699">
            <w:pPr>
              <w:jc w:val="center"/>
              <w:rPr>
                <w:color w:val="000000"/>
              </w:rPr>
            </w:pPr>
            <w:r w:rsidRPr="003020E3">
              <w:t>0.15</w:t>
            </w:r>
          </w:p>
        </w:tc>
        <w:tc>
          <w:tcPr>
            <w:tcW w:w="1176" w:type="dxa"/>
            <w:tcBorders>
              <w:top w:val="nil"/>
              <w:left w:val="nil"/>
              <w:bottom w:val="nil"/>
              <w:right w:val="nil"/>
            </w:tcBorders>
            <w:shd w:val="clear" w:color="auto" w:fill="auto"/>
            <w:noWrap/>
            <w:hideMark/>
          </w:tcPr>
          <w:p w14:paraId="114E3F20" w14:textId="77777777" w:rsidR="00B64062" w:rsidRPr="008D4CB2" w:rsidRDefault="00B64062" w:rsidP="00007699">
            <w:pPr>
              <w:jc w:val="center"/>
              <w:rPr>
                <w:color w:val="000000"/>
              </w:rPr>
            </w:pPr>
            <w:r w:rsidRPr="003020E3">
              <w:t>0.04</w:t>
            </w:r>
          </w:p>
        </w:tc>
        <w:tc>
          <w:tcPr>
            <w:tcW w:w="1176" w:type="dxa"/>
            <w:tcBorders>
              <w:top w:val="nil"/>
              <w:left w:val="nil"/>
              <w:bottom w:val="nil"/>
              <w:right w:val="nil"/>
            </w:tcBorders>
            <w:shd w:val="clear" w:color="auto" w:fill="auto"/>
            <w:noWrap/>
            <w:hideMark/>
          </w:tcPr>
          <w:p w14:paraId="01D85811" w14:textId="77777777" w:rsidR="00B64062" w:rsidRPr="008D4CB2" w:rsidRDefault="00B64062" w:rsidP="00007699">
            <w:pPr>
              <w:jc w:val="center"/>
              <w:rPr>
                <w:color w:val="000000"/>
              </w:rPr>
            </w:pPr>
            <w:r w:rsidRPr="003020E3">
              <w:t>0.29</w:t>
            </w:r>
          </w:p>
        </w:tc>
        <w:tc>
          <w:tcPr>
            <w:tcW w:w="1176" w:type="dxa"/>
            <w:tcBorders>
              <w:top w:val="nil"/>
              <w:left w:val="nil"/>
              <w:bottom w:val="nil"/>
              <w:right w:val="nil"/>
            </w:tcBorders>
            <w:shd w:val="clear" w:color="auto" w:fill="auto"/>
            <w:noWrap/>
            <w:hideMark/>
          </w:tcPr>
          <w:p w14:paraId="63B72272" w14:textId="77777777" w:rsidR="00B64062" w:rsidRPr="008D4CB2" w:rsidRDefault="00B64062" w:rsidP="00007699">
            <w:pPr>
              <w:jc w:val="center"/>
              <w:rPr>
                <w:color w:val="000000"/>
              </w:rPr>
            </w:pPr>
            <w:r w:rsidRPr="003020E3">
              <w:t>0.07</w:t>
            </w:r>
          </w:p>
        </w:tc>
        <w:tc>
          <w:tcPr>
            <w:tcW w:w="1176" w:type="dxa"/>
            <w:tcBorders>
              <w:top w:val="nil"/>
              <w:left w:val="nil"/>
              <w:bottom w:val="nil"/>
              <w:right w:val="nil"/>
            </w:tcBorders>
            <w:shd w:val="clear" w:color="auto" w:fill="auto"/>
            <w:noWrap/>
            <w:hideMark/>
          </w:tcPr>
          <w:p w14:paraId="03B157F2" w14:textId="77777777" w:rsidR="00B64062" w:rsidRPr="008D4CB2" w:rsidRDefault="00B64062" w:rsidP="00007699">
            <w:pPr>
              <w:jc w:val="center"/>
              <w:rPr>
                <w:color w:val="000000"/>
              </w:rPr>
            </w:pPr>
            <w:r w:rsidRPr="003020E3">
              <w:t>0.22</w:t>
            </w:r>
          </w:p>
        </w:tc>
        <w:tc>
          <w:tcPr>
            <w:tcW w:w="668" w:type="dxa"/>
            <w:tcBorders>
              <w:top w:val="nil"/>
              <w:left w:val="nil"/>
              <w:bottom w:val="nil"/>
              <w:right w:val="nil"/>
            </w:tcBorders>
          </w:tcPr>
          <w:p w14:paraId="458791F1" w14:textId="77777777" w:rsidR="00B64062" w:rsidRPr="00E9173B" w:rsidRDefault="00B64062" w:rsidP="00007699">
            <w:pPr>
              <w:jc w:val="center"/>
            </w:pPr>
          </w:p>
        </w:tc>
      </w:tr>
      <w:tr w:rsidR="00B64062" w:rsidRPr="008D4CB2" w14:paraId="46B542A1" w14:textId="77777777" w:rsidTr="00AF52B6">
        <w:trPr>
          <w:trHeight w:val="290"/>
        </w:trPr>
        <w:tc>
          <w:tcPr>
            <w:tcW w:w="1536" w:type="dxa"/>
            <w:tcBorders>
              <w:top w:val="nil"/>
              <w:left w:val="nil"/>
              <w:bottom w:val="nil"/>
              <w:right w:val="nil"/>
            </w:tcBorders>
            <w:shd w:val="clear" w:color="auto" w:fill="auto"/>
            <w:noWrap/>
            <w:vAlign w:val="center"/>
            <w:hideMark/>
          </w:tcPr>
          <w:p w14:paraId="1B4FD60C" w14:textId="77777777" w:rsidR="00B64062" w:rsidRPr="008D4CB2" w:rsidRDefault="00B64062" w:rsidP="00007699">
            <w:pPr>
              <w:rPr>
                <w:color w:val="000000"/>
              </w:rPr>
            </w:pPr>
            <w:proofErr w:type="spellStart"/>
            <w:r w:rsidRPr="008D4CB2">
              <w:rPr>
                <w:color w:val="000000"/>
              </w:rPr>
              <w:t>Utqiagvik</w:t>
            </w:r>
            <w:proofErr w:type="spellEnd"/>
          </w:p>
        </w:tc>
        <w:tc>
          <w:tcPr>
            <w:tcW w:w="1276" w:type="dxa"/>
            <w:tcBorders>
              <w:top w:val="nil"/>
              <w:left w:val="nil"/>
              <w:bottom w:val="nil"/>
              <w:right w:val="nil"/>
            </w:tcBorders>
            <w:shd w:val="clear" w:color="auto" w:fill="auto"/>
            <w:noWrap/>
            <w:vAlign w:val="center"/>
            <w:hideMark/>
          </w:tcPr>
          <w:p w14:paraId="60D35669" w14:textId="77777777" w:rsidR="00B64062" w:rsidRPr="008D4CB2" w:rsidRDefault="00B64062" w:rsidP="00007699">
            <w:pPr>
              <w:rPr>
                <w:color w:val="000000"/>
              </w:rPr>
            </w:pPr>
            <w:r w:rsidRPr="008D4CB2">
              <w:rPr>
                <w:color w:val="000000"/>
              </w:rPr>
              <w:t>mu</w:t>
            </w:r>
          </w:p>
        </w:tc>
        <w:tc>
          <w:tcPr>
            <w:tcW w:w="1176" w:type="dxa"/>
            <w:tcBorders>
              <w:top w:val="nil"/>
              <w:left w:val="nil"/>
              <w:bottom w:val="nil"/>
              <w:right w:val="nil"/>
            </w:tcBorders>
            <w:shd w:val="clear" w:color="auto" w:fill="auto"/>
            <w:noWrap/>
            <w:hideMark/>
          </w:tcPr>
          <w:p w14:paraId="26A6E1FF" w14:textId="77777777" w:rsidR="00B64062" w:rsidRPr="008D4CB2" w:rsidRDefault="00B64062" w:rsidP="00007699">
            <w:pPr>
              <w:jc w:val="center"/>
              <w:rPr>
                <w:color w:val="000000"/>
              </w:rPr>
            </w:pPr>
            <w:r w:rsidRPr="003020E3">
              <w:t>2.51</w:t>
            </w:r>
          </w:p>
        </w:tc>
        <w:tc>
          <w:tcPr>
            <w:tcW w:w="1176" w:type="dxa"/>
            <w:tcBorders>
              <w:top w:val="nil"/>
              <w:left w:val="nil"/>
              <w:bottom w:val="nil"/>
              <w:right w:val="nil"/>
            </w:tcBorders>
            <w:shd w:val="clear" w:color="auto" w:fill="auto"/>
            <w:noWrap/>
            <w:hideMark/>
          </w:tcPr>
          <w:p w14:paraId="6B38C408" w14:textId="77777777" w:rsidR="00B64062" w:rsidRPr="008D4CB2" w:rsidRDefault="00B64062" w:rsidP="00007699">
            <w:pPr>
              <w:jc w:val="center"/>
              <w:rPr>
                <w:color w:val="000000"/>
              </w:rPr>
            </w:pPr>
            <w:r w:rsidRPr="003020E3">
              <w:t>1.94</w:t>
            </w:r>
          </w:p>
        </w:tc>
        <w:tc>
          <w:tcPr>
            <w:tcW w:w="1176" w:type="dxa"/>
            <w:tcBorders>
              <w:top w:val="nil"/>
              <w:left w:val="nil"/>
              <w:bottom w:val="nil"/>
              <w:right w:val="nil"/>
            </w:tcBorders>
            <w:shd w:val="clear" w:color="auto" w:fill="auto"/>
            <w:noWrap/>
            <w:hideMark/>
          </w:tcPr>
          <w:p w14:paraId="7BC56349" w14:textId="77777777" w:rsidR="00B64062" w:rsidRPr="008D4CB2" w:rsidRDefault="00B64062" w:rsidP="00007699">
            <w:pPr>
              <w:jc w:val="center"/>
              <w:rPr>
                <w:color w:val="000000"/>
              </w:rPr>
            </w:pPr>
            <w:r w:rsidRPr="003020E3">
              <w:t>3.16</w:t>
            </w:r>
          </w:p>
        </w:tc>
        <w:tc>
          <w:tcPr>
            <w:tcW w:w="1176" w:type="dxa"/>
            <w:tcBorders>
              <w:top w:val="nil"/>
              <w:left w:val="nil"/>
              <w:bottom w:val="nil"/>
              <w:right w:val="nil"/>
            </w:tcBorders>
            <w:shd w:val="clear" w:color="auto" w:fill="auto"/>
            <w:noWrap/>
            <w:hideMark/>
          </w:tcPr>
          <w:p w14:paraId="5E7ED570" w14:textId="77777777" w:rsidR="00B64062" w:rsidRPr="008D4CB2" w:rsidRDefault="00B64062" w:rsidP="00007699">
            <w:pPr>
              <w:jc w:val="center"/>
              <w:rPr>
                <w:color w:val="000000"/>
              </w:rPr>
            </w:pPr>
            <w:r w:rsidRPr="003020E3">
              <w:t>2.10</w:t>
            </w:r>
          </w:p>
        </w:tc>
        <w:tc>
          <w:tcPr>
            <w:tcW w:w="1176" w:type="dxa"/>
            <w:tcBorders>
              <w:top w:val="nil"/>
              <w:left w:val="nil"/>
              <w:bottom w:val="nil"/>
              <w:right w:val="nil"/>
            </w:tcBorders>
            <w:shd w:val="clear" w:color="auto" w:fill="auto"/>
            <w:noWrap/>
            <w:hideMark/>
          </w:tcPr>
          <w:p w14:paraId="42CF1582" w14:textId="77777777" w:rsidR="00B64062" w:rsidRPr="008D4CB2" w:rsidRDefault="00B64062" w:rsidP="00007699">
            <w:pPr>
              <w:jc w:val="center"/>
              <w:rPr>
                <w:color w:val="000000"/>
              </w:rPr>
            </w:pPr>
            <w:r w:rsidRPr="003020E3">
              <w:t>2.89</w:t>
            </w:r>
          </w:p>
        </w:tc>
        <w:tc>
          <w:tcPr>
            <w:tcW w:w="668" w:type="dxa"/>
            <w:tcBorders>
              <w:top w:val="nil"/>
              <w:left w:val="nil"/>
              <w:bottom w:val="nil"/>
              <w:right w:val="nil"/>
            </w:tcBorders>
          </w:tcPr>
          <w:p w14:paraId="1D7904AE" w14:textId="77777777" w:rsidR="00B64062" w:rsidRPr="00E9173B" w:rsidRDefault="00B64062" w:rsidP="00007699">
            <w:pPr>
              <w:jc w:val="center"/>
            </w:pPr>
          </w:p>
        </w:tc>
      </w:tr>
      <w:tr w:rsidR="00B64062" w:rsidRPr="008D4CB2" w14:paraId="504D90E6" w14:textId="77777777" w:rsidTr="00AF52B6">
        <w:trPr>
          <w:trHeight w:val="290"/>
        </w:trPr>
        <w:tc>
          <w:tcPr>
            <w:tcW w:w="1536" w:type="dxa"/>
            <w:tcBorders>
              <w:top w:val="nil"/>
              <w:left w:val="nil"/>
              <w:right w:val="nil"/>
            </w:tcBorders>
            <w:shd w:val="clear" w:color="auto" w:fill="auto"/>
            <w:noWrap/>
            <w:vAlign w:val="center"/>
          </w:tcPr>
          <w:p w14:paraId="32C9F5E7" w14:textId="77777777" w:rsidR="00B64062" w:rsidRPr="008D4CB2" w:rsidRDefault="00B64062" w:rsidP="00007699">
            <w:pPr>
              <w:rPr>
                <w:color w:val="000000"/>
              </w:rPr>
            </w:pPr>
          </w:p>
        </w:tc>
        <w:tc>
          <w:tcPr>
            <w:tcW w:w="1276" w:type="dxa"/>
            <w:tcBorders>
              <w:top w:val="nil"/>
              <w:left w:val="nil"/>
              <w:right w:val="nil"/>
            </w:tcBorders>
            <w:shd w:val="clear" w:color="auto" w:fill="auto"/>
            <w:noWrap/>
            <w:vAlign w:val="center"/>
            <w:hideMark/>
          </w:tcPr>
          <w:p w14:paraId="08EB697A" w14:textId="77777777" w:rsidR="00B64062" w:rsidRPr="000443BD" w:rsidRDefault="00B64062" w:rsidP="00007699">
            <w:pPr>
              <w:rPr>
                <w:color w:val="000000"/>
              </w:rPr>
            </w:pPr>
            <w:r w:rsidRPr="000443BD">
              <w:rPr>
                <w:color w:val="000000"/>
              </w:rPr>
              <w:t>beta</w:t>
            </w:r>
          </w:p>
        </w:tc>
        <w:tc>
          <w:tcPr>
            <w:tcW w:w="1176" w:type="dxa"/>
            <w:tcBorders>
              <w:top w:val="nil"/>
              <w:left w:val="nil"/>
              <w:right w:val="nil"/>
            </w:tcBorders>
            <w:shd w:val="clear" w:color="auto" w:fill="auto"/>
            <w:noWrap/>
            <w:hideMark/>
          </w:tcPr>
          <w:p w14:paraId="4A3A1688" w14:textId="77777777" w:rsidR="00B64062" w:rsidRPr="008D4CB2" w:rsidRDefault="00B64062" w:rsidP="00007699">
            <w:pPr>
              <w:jc w:val="center"/>
              <w:rPr>
                <w:color w:val="000000"/>
              </w:rPr>
            </w:pPr>
            <w:r w:rsidRPr="003020E3">
              <w:t>-0.74</w:t>
            </w:r>
          </w:p>
        </w:tc>
        <w:tc>
          <w:tcPr>
            <w:tcW w:w="1176" w:type="dxa"/>
            <w:tcBorders>
              <w:top w:val="nil"/>
              <w:left w:val="nil"/>
              <w:right w:val="nil"/>
            </w:tcBorders>
            <w:shd w:val="clear" w:color="auto" w:fill="auto"/>
            <w:noWrap/>
            <w:hideMark/>
          </w:tcPr>
          <w:p w14:paraId="317F3580" w14:textId="77777777" w:rsidR="00B64062" w:rsidRPr="008D4CB2" w:rsidRDefault="00B64062" w:rsidP="00007699">
            <w:pPr>
              <w:jc w:val="center"/>
              <w:rPr>
                <w:color w:val="000000"/>
              </w:rPr>
            </w:pPr>
            <w:r w:rsidRPr="003020E3">
              <w:t>-1.86</w:t>
            </w:r>
          </w:p>
        </w:tc>
        <w:tc>
          <w:tcPr>
            <w:tcW w:w="1176" w:type="dxa"/>
            <w:tcBorders>
              <w:top w:val="nil"/>
              <w:left w:val="nil"/>
              <w:right w:val="nil"/>
            </w:tcBorders>
            <w:shd w:val="clear" w:color="auto" w:fill="auto"/>
            <w:noWrap/>
            <w:hideMark/>
          </w:tcPr>
          <w:p w14:paraId="78343E06" w14:textId="77777777" w:rsidR="00B64062" w:rsidRPr="008D4CB2" w:rsidRDefault="00B64062" w:rsidP="00007699">
            <w:pPr>
              <w:jc w:val="center"/>
              <w:rPr>
                <w:color w:val="000000"/>
              </w:rPr>
            </w:pPr>
            <w:r w:rsidRPr="003020E3">
              <w:t>0.41</w:t>
            </w:r>
          </w:p>
        </w:tc>
        <w:tc>
          <w:tcPr>
            <w:tcW w:w="1176" w:type="dxa"/>
            <w:tcBorders>
              <w:top w:val="nil"/>
              <w:left w:val="nil"/>
              <w:right w:val="nil"/>
            </w:tcBorders>
            <w:shd w:val="clear" w:color="auto" w:fill="auto"/>
            <w:noWrap/>
            <w:hideMark/>
          </w:tcPr>
          <w:p w14:paraId="073C53CF" w14:textId="77777777" w:rsidR="00B64062" w:rsidRPr="008D4CB2" w:rsidRDefault="00B64062" w:rsidP="00007699">
            <w:pPr>
              <w:jc w:val="center"/>
              <w:rPr>
                <w:color w:val="000000"/>
              </w:rPr>
            </w:pPr>
            <w:r w:rsidRPr="003020E3">
              <w:t>-1.50</w:t>
            </w:r>
          </w:p>
        </w:tc>
        <w:tc>
          <w:tcPr>
            <w:tcW w:w="1176" w:type="dxa"/>
            <w:tcBorders>
              <w:top w:val="nil"/>
              <w:left w:val="nil"/>
              <w:right w:val="nil"/>
            </w:tcBorders>
            <w:shd w:val="clear" w:color="auto" w:fill="auto"/>
            <w:noWrap/>
            <w:hideMark/>
          </w:tcPr>
          <w:p w14:paraId="3067E7C5" w14:textId="77777777" w:rsidR="00B64062" w:rsidRPr="008D4CB2" w:rsidRDefault="00B64062" w:rsidP="00007699">
            <w:pPr>
              <w:jc w:val="center"/>
              <w:rPr>
                <w:color w:val="000000"/>
              </w:rPr>
            </w:pPr>
            <w:r w:rsidRPr="003020E3">
              <w:t>-0.04</w:t>
            </w:r>
          </w:p>
        </w:tc>
        <w:tc>
          <w:tcPr>
            <w:tcW w:w="668" w:type="dxa"/>
            <w:tcBorders>
              <w:top w:val="nil"/>
              <w:left w:val="nil"/>
              <w:right w:val="nil"/>
            </w:tcBorders>
          </w:tcPr>
          <w:p w14:paraId="1D33338E" w14:textId="77777777" w:rsidR="00B64062" w:rsidRPr="00E9173B" w:rsidRDefault="00B64062" w:rsidP="00007699">
            <w:pPr>
              <w:jc w:val="center"/>
            </w:pPr>
            <w:r w:rsidRPr="003020E3">
              <w:t>0.91</w:t>
            </w:r>
          </w:p>
        </w:tc>
      </w:tr>
      <w:tr w:rsidR="00B64062" w:rsidRPr="008D4CB2" w14:paraId="5E815F87" w14:textId="77777777" w:rsidTr="00AF52B6">
        <w:trPr>
          <w:trHeight w:val="290"/>
        </w:trPr>
        <w:tc>
          <w:tcPr>
            <w:tcW w:w="1536" w:type="dxa"/>
            <w:tcBorders>
              <w:top w:val="nil"/>
              <w:left w:val="nil"/>
              <w:right w:val="nil"/>
            </w:tcBorders>
            <w:shd w:val="clear" w:color="auto" w:fill="auto"/>
            <w:noWrap/>
            <w:vAlign w:val="center"/>
          </w:tcPr>
          <w:p w14:paraId="4ABC97E1" w14:textId="77777777" w:rsidR="00B64062" w:rsidRPr="008D4CB2" w:rsidRDefault="00B64062" w:rsidP="00007699">
            <w:pPr>
              <w:rPr>
                <w:color w:val="000000"/>
              </w:rPr>
            </w:pPr>
          </w:p>
        </w:tc>
        <w:tc>
          <w:tcPr>
            <w:tcW w:w="1276" w:type="dxa"/>
            <w:tcBorders>
              <w:top w:val="nil"/>
              <w:left w:val="nil"/>
              <w:right w:val="nil"/>
            </w:tcBorders>
            <w:shd w:val="clear" w:color="auto" w:fill="auto"/>
            <w:noWrap/>
            <w:vAlign w:val="center"/>
            <w:hideMark/>
          </w:tcPr>
          <w:p w14:paraId="401B61CA" w14:textId="77777777" w:rsidR="00B64062" w:rsidRPr="008D4CB2" w:rsidRDefault="00B64062" w:rsidP="00007699">
            <w:pPr>
              <w:rPr>
                <w:color w:val="000000"/>
              </w:rPr>
            </w:pPr>
            <w:proofErr w:type="spellStart"/>
            <w:proofErr w:type="gramStart"/>
            <w:r w:rsidRPr="008D4CB2">
              <w:rPr>
                <w:color w:val="000000"/>
              </w:rPr>
              <w:t>r</w:t>
            </w:r>
            <w:r>
              <w:rPr>
                <w:color w:val="000000"/>
              </w:rPr>
              <w:t>.nb</w:t>
            </w:r>
            <w:proofErr w:type="spellEnd"/>
            <w:proofErr w:type="gramEnd"/>
          </w:p>
        </w:tc>
        <w:tc>
          <w:tcPr>
            <w:tcW w:w="1176" w:type="dxa"/>
            <w:tcBorders>
              <w:top w:val="nil"/>
              <w:left w:val="nil"/>
              <w:right w:val="nil"/>
            </w:tcBorders>
            <w:shd w:val="clear" w:color="auto" w:fill="auto"/>
            <w:noWrap/>
            <w:hideMark/>
          </w:tcPr>
          <w:p w14:paraId="75834E0F" w14:textId="77777777" w:rsidR="00B64062" w:rsidRPr="008D4CB2" w:rsidRDefault="00B64062" w:rsidP="00007699">
            <w:pPr>
              <w:jc w:val="center"/>
              <w:rPr>
                <w:color w:val="000000"/>
              </w:rPr>
            </w:pPr>
            <w:r w:rsidRPr="003020E3">
              <w:t>0.17</w:t>
            </w:r>
          </w:p>
        </w:tc>
        <w:tc>
          <w:tcPr>
            <w:tcW w:w="1176" w:type="dxa"/>
            <w:tcBorders>
              <w:top w:val="nil"/>
              <w:left w:val="nil"/>
              <w:right w:val="nil"/>
            </w:tcBorders>
            <w:shd w:val="clear" w:color="auto" w:fill="auto"/>
            <w:noWrap/>
            <w:hideMark/>
          </w:tcPr>
          <w:p w14:paraId="495680D2" w14:textId="77777777" w:rsidR="00B64062" w:rsidRPr="008D4CB2" w:rsidRDefault="00B64062" w:rsidP="00007699">
            <w:pPr>
              <w:jc w:val="center"/>
              <w:rPr>
                <w:color w:val="000000"/>
              </w:rPr>
            </w:pPr>
            <w:r w:rsidRPr="003020E3">
              <w:t>0.01</w:t>
            </w:r>
          </w:p>
        </w:tc>
        <w:tc>
          <w:tcPr>
            <w:tcW w:w="1176" w:type="dxa"/>
            <w:tcBorders>
              <w:top w:val="nil"/>
              <w:left w:val="nil"/>
              <w:right w:val="nil"/>
            </w:tcBorders>
            <w:shd w:val="clear" w:color="auto" w:fill="auto"/>
            <w:noWrap/>
            <w:hideMark/>
          </w:tcPr>
          <w:p w14:paraId="1698DD5F" w14:textId="77777777" w:rsidR="00B64062" w:rsidRPr="008D4CB2" w:rsidRDefault="00B64062" w:rsidP="00007699">
            <w:pPr>
              <w:jc w:val="center"/>
              <w:rPr>
                <w:color w:val="000000"/>
              </w:rPr>
            </w:pPr>
            <w:r w:rsidRPr="003020E3">
              <w:t>0.52</w:t>
            </w:r>
          </w:p>
        </w:tc>
        <w:tc>
          <w:tcPr>
            <w:tcW w:w="1176" w:type="dxa"/>
            <w:tcBorders>
              <w:top w:val="nil"/>
              <w:left w:val="nil"/>
              <w:right w:val="nil"/>
            </w:tcBorders>
            <w:shd w:val="clear" w:color="auto" w:fill="auto"/>
            <w:noWrap/>
            <w:hideMark/>
          </w:tcPr>
          <w:p w14:paraId="01713A44" w14:textId="77777777" w:rsidR="00B64062" w:rsidRPr="008D4CB2" w:rsidRDefault="00B64062" w:rsidP="00007699">
            <w:pPr>
              <w:jc w:val="center"/>
              <w:rPr>
                <w:color w:val="000000"/>
              </w:rPr>
            </w:pPr>
            <w:r w:rsidRPr="003020E3">
              <w:t>0.02</w:t>
            </w:r>
          </w:p>
        </w:tc>
        <w:tc>
          <w:tcPr>
            <w:tcW w:w="1176" w:type="dxa"/>
            <w:tcBorders>
              <w:top w:val="nil"/>
              <w:left w:val="nil"/>
              <w:right w:val="nil"/>
            </w:tcBorders>
            <w:shd w:val="clear" w:color="auto" w:fill="auto"/>
            <w:noWrap/>
            <w:hideMark/>
          </w:tcPr>
          <w:p w14:paraId="6FD4F162" w14:textId="77777777" w:rsidR="00B64062" w:rsidRPr="008D4CB2" w:rsidRDefault="00B64062" w:rsidP="00007699">
            <w:pPr>
              <w:jc w:val="center"/>
              <w:rPr>
                <w:color w:val="000000"/>
              </w:rPr>
            </w:pPr>
            <w:r w:rsidRPr="003020E3">
              <w:t>0.34</w:t>
            </w:r>
          </w:p>
        </w:tc>
        <w:tc>
          <w:tcPr>
            <w:tcW w:w="668" w:type="dxa"/>
            <w:tcBorders>
              <w:top w:val="nil"/>
              <w:left w:val="nil"/>
              <w:right w:val="nil"/>
            </w:tcBorders>
          </w:tcPr>
          <w:p w14:paraId="573D1CA9" w14:textId="77777777" w:rsidR="00B64062" w:rsidRPr="00E9173B" w:rsidRDefault="00B64062" w:rsidP="00007699">
            <w:pPr>
              <w:jc w:val="center"/>
            </w:pPr>
          </w:p>
        </w:tc>
      </w:tr>
      <w:tr w:rsidR="00B64062" w:rsidRPr="008D4CB2" w14:paraId="713C08CC" w14:textId="77777777" w:rsidTr="00AF52B6">
        <w:trPr>
          <w:trHeight w:val="290"/>
        </w:trPr>
        <w:tc>
          <w:tcPr>
            <w:tcW w:w="1536" w:type="dxa"/>
            <w:tcBorders>
              <w:top w:val="nil"/>
              <w:left w:val="nil"/>
              <w:bottom w:val="nil"/>
              <w:right w:val="nil"/>
            </w:tcBorders>
            <w:shd w:val="clear" w:color="auto" w:fill="auto"/>
            <w:noWrap/>
            <w:vAlign w:val="center"/>
          </w:tcPr>
          <w:p w14:paraId="243A999B" w14:textId="77777777" w:rsidR="00B64062" w:rsidRPr="008D4CB2" w:rsidRDefault="00B64062" w:rsidP="00007699">
            <w:pPr>
              <w:rPr>
                <w:color w:val="000000"/>
              </w:rPr>
            </w:pPr>
            <w:r>
              <w:rPr>
                <w:color w:val="000000"/>
              </w:rPr>
              <w:t>Wrangel Island</w:t>
            </w:r>
          </w:p>
        </w:tc>
        <w:tc>
          <w:tcPr>
            <w:tcW w:w="1276" w:type="dxa"/>
            <w:tcBorders>
              <w:top w:val="nil"/>
              <w:left w:val="nil"/>
              <w:bottom w:val="nil"/>
              <w:right w:val="nil"/>
            </w:tcBorders>
            <w:shd w:val="clear" w:color="auto" w:fill="auto"/>
            <w:noWrap/>
            <w:vAlign w:val="center"/>
          </w:tcPr>
          <w:p w14:paraId="7723A7CC" w14:textId="77777777" w:rsidR="00B64062" w:rsidRPr="008D4CB2" w:rsidRDefault="00B64062" w:rsidP="00007699">
            <w:pPr>
              <w:rPr>
                <w:color w:val="000000"/>
              </w:rPr>
            </w:pPr>
            <w:r w:rsidRPr="008D4CB2">
              <w:rPr>
                <w:color w:val="000000"/>
              </w:rPr>
              <w:t>mu</w:t>
            </w:r>
          </w:p>
        </w:tc>
        <w:tc>
          <w:tcPr>
            <w:tcW w:w="1176" w:type="dxa"/>
            <w:tcBorders>
              <w:top w:val="nil"/>
              <w:left w:val="nil"/>
              <w:bottom w:val="nil"/>
              <w:right w:val="nil"/>
            </w:tcBorders>
            <w:shd w:val="clear" w:color="auto" w:fill="auto"/>
            <w:noWrap/>
          </w:tcPr>
          <w:p w14:paraId="2DE92ACE" w14:textId="77777777" w:rsidR="00B64062" w:rsidRPr="008D4CB2" w:rsidRDefault="00B64062" w:rsidP="00007699">
            <w:pPr>
              <w:jc w:val="center"/>
              <w:rPr>
                <w:color w:val="000000"/>
              </w:rPr>
            </w:pPr>
            <w:r w:rsidRPr="003020E3">
              <w:t>4.10</w:t>
            </w:r>
          </w:p>
        </w:tc>
        <w:tc>
          <w:tcPr>
            <w:tcW w:w="1176" w:type="dxa"/>
            <w:tcBorders>
              <w:top w:val="nil"/>
              <w:left w:val="nil"/>
              <w:bottom w:val="nil"/>
              <w:right w:val="nil"/>
            </w:tcBorders>
            <w:shd w:val="clear" w:color="auto" w:fill="auto"/>
            <w:noWrap/>
          </w:tcPr>
          <w:p w14:paraId="651BF7AD" w14:textId="77777777" w:rsidR="00B64062" w:rsidRPr="008D4CB2" w:rsidRDefault="00B64062" w:rsidP="00007699">
            <w:pPr>
              <w:jc w:val="center"/>
              <w:rPr>
                <w:color w:val="000000"/>
              </w:rPr>
            </w:pPr>
            <w:r w:rsidRPr="003020E3">
              <w:t>3.71</w:t>
            </w:r>
          </w:p>
        </w:tc>
        <w:tc>
          <w:tcPr>
            <w:tcW w:w="1176" w:type="dxa"/>
            <w:tcBorders>
              <w:top w:val="nil"/>
              <w:left w:val="nil"/>
              <w:bottom w:val="nil"/>
              <w:right w:val="nil"/>
            </w:tcBorders>
            <w:shd w:val="clear" w:color="auto" w:fill="auto"/>
            <w:noWrap/>
          </w:tcPr>
          <w:p w14:paraId="7CF995B0" w14:textId="77777777" w:rsidR="00B64062" w:rsidRPr="008D4CB2" w:rsidRDefault="00B64062" w:rsidP="00007699">
            <w:pPr>
              <w:jc w:val="center"/>
              <w:rPr>
                <w:color w:val="000000"/>
              </w:rPr>
            </w:pPr>
            <w:r w:rsidRPr="003020E3">
              <w:t>4.57</w:t>
            </w:r>
          </w:p>
        </w:tc>
        <w:tc>
          <w:tcPr>
            <w:tcW w:w="1176" w:type="dxa"/>
            <w:tcBorders>
              <w:top w:val="nil"/>
              <w:left w:val="nil"/>
              <w:bottom w:val="nil"/>
              <w:right w:val="nil"/>
            </w:tcBorders>
            <w:shd w:val="clear" w:color="auto" w:fill="auto"/>
            <w:noWrap/>
          </w:tcPr>
          <w:p w14:paraId="0DF08C15" w14:textId="77777777" w:rsidR="00B64062" w:rsidRPr="008D4CB2" w:rsidRDefault="00B64062" w:rsidP="00007699">
            <w:pPr>
              <w:jc w:val="center"/>
              <w:rPr>
                <w:color w:val="000000"/>
              </w:rPr>
            </w:pPr>
            <w:r w:rsidRPr="003020E3">
              <w:t>3.83</w:t>
            </w:r>
          </w:p>
        </w:tc>
        <w:tc>
          <w:tcPr>
            <w:tcW w:w="1176" w:type="dxa"/>
            <w:tcBorders>
              <w:top w:val="nil"/>
              <w:left w:val="nil"/>
              <w:bottom w:val="nil"/>
              <w:right w:val="nil"/>
            </w:tcBorders>
            <w:shd w:val="clear" w:color="auto" w:fill="auto"/>
            <w:noWrap/>
          </w:tcPr>
          <w:p w14:paraId="603AC0F1" w14:textId="77777777" w:rsidR="00B64062" w:rsidRPr="008D4CB2" w:rsidRDefault="00B64062" w:rsidP="00007699">
            <w:pPr>
              <w:jc w:val="center"/>
              <w:rPr>
                <w:color w:val="000000"/>
              </w:rPr>
            </w:pPr>
            <w:r w:rsidRPr="003020E3">
              <w:t>4.39</w:t>
            </w:r>
          </w:p>
        </w:tc>
        <w:tc>
          <w:tcPr>
            <w:tcW w:w="668" w:type="dxa"/>
            <w:tcBorders>
              <w:top w:val="nil"/>
              <w:left w:val="nil"/>
              <w:bottom w:val="nil"/>
              <w:right w:val="nil"/>
            </w:tcBorders>
          </w:tcPr>
          <w:p w14:paraId="4908CA0C" w14:textId="77777777" w:rsidR="00B64062" w:rsidRPr="00E9173B" w:rsidRDefault="00B64062" w:rsidP="00007699">
            <w:pPr>
              <w:jc w:val="center"/>
            </w:pPr>
          </w:p>
        </w:tc>
      </w:tr>
      <w:tr w:rsidR="00B64062" w:rsidRPr="008D4CB2" w14:paraId="2DBB5B3B" w14:textId="77777777" w:rsidTr="00AF52B6">
        <w:trPr>
          <w:trHeight w:val="290"/>
        </w:trPr>
        <w:tc>
          <w:tcPr>
            <w:tcW w:w="1536" w:type="dxa"/>
            <w:tcBorders>
              <w:top w:val="nil"/>
              <w:left w:val="nil"/>
              <w:right w:val="nil"/>
            </w:tcBorders>
            <w:shd w:val="clear" w:color="auto" w:fill="auto"/>
            <w:noWrap/>
            <w:vAlign w:val="center"/>
          </w:tcPr>
          <w:p w14:paraId="272A5D2B" w14:textId="77777777" w:rsidR="00B64062" w:rsidRPr="00F5666F" w:rsidRDefault="00B64062" w:rsidP="00007699">
            <w:pPr>
              <w:rPr>
                <w:b/>
                <w:bCs/>
                <w:color w:val="000000"/>
              </w:rPr>
            </w:pPr>
          </w:p>
        </w:tc>
        <w:tc>
          <w:tcPr>
            <w:tcW w:w="1276" w:type="dxa"/>
            <w:tcBorders>
              <w:top w:val="nil"/>
              <w:left w:val="nil"/>
              <w:right w:val="nil"/>
            </w:tcBorders>
            <w:shd w:val="clear" w:color="auto" w:fill="auto"/>
            <w:noWrap/>
            <w:vAlign w:val="center"/>
          </w:tcPr>
          <w:p w14:paraId="1F44F332" w14:textId="77777777" w:rsidR="00B64062" w:rsidRPr="00F5666F" w:rsidRDefault="00B64062" w:rsidP="00007699">
            <w:pPr>
              <w:rPr>
                <w:b/>
                <w:bCs/>
                <w:color w:val="000000"/>
              </w:rPr>
            </w:pPr>
            <w:r w:rsidRPr="008D4CB2">
              <w:rPr>
                <w:color w:val="000000"/>
              </w:rPr>
              <w:t>beta</w:t>
            </w:r>
          </w:p>
        </w:tc>
        <w:tc>
          <w:tcPr>
            <w:tcW w:w="1176" w:type="dxa"/>
            <w:tcBorders>
              <w:top w:val="nil"/>
              <w:left w:val="nil"/>
              <w:right w:val="nil"/>
            </w:tcBorders>
            <w:shd w:val="clear" w:color="auto" w:fill="auto"/>
            <w:noWrap/>
          </w:tcPr>
          <w:p w14:paraId="33327DF6" w14:textId="77777777" w:rsidR="00B64062" w:rsidRPr="00F5666F" w:rsidRDefault="00B64062" w:rsidP="00007699">
            <w:pPr>
              <w:jc w:val="center"/>
              <w:rPr>
                <w:b/>
                <w:bCs/>
                <w:color w:val="000000"/>
              </w:rPr>
            </w:pPr>
            <w:r w:rsidRPr="003020E3">
              <w:t>-0.04</w:t>
            </w:r>
          </w:p>
        </w:tc>
        <w:tc>
          <w:tcPr>
            <w:tcW w:w="1176" w:type="dxa"/>
            <w:tcBorders>
              <w:top w:val="nil"/>
              <w:left w:val="nil"/>
              <w:right w:val="nil"/>
            </w:tcBorders>
            <w:shd w:val="clear" w:color="auto" w:fill="auto"/>
            <w:noWrap/>
          </w:tcPr>
          <w:p w14:paraId="33171412" w14:textId="77777777" w:rsidR="00B64062" w:rsidRPr="00F5666F" w:rsidRDefault="00B64062" w:rsidP="00007699">
            <w:pPr>
              <w:jc w:val="center"/>
              <w:rPr>
                <w:b/>
                <w:bCs/>
                <w:color w:val="000000"/>
              </w:rPr>
            </w:pPr>
            <w:r w:rsidRPr="003020E3">
              <w:t>-0.93</w:t>
            </w:r>
          </w:p>
        </w:tc>
        <w:tc>
          <w:tcPr>
            <w:tcW w:w="1176" w:type="dxa"/>
            <w:tcBorders>
              <w:top w:val="nil"/>
              <w:left w:val="nil"/>
              <w:right w:val="nil"/>
            </w:tcBorders>
            <w:shd w:val="clear" w:color="auto" w:fill="auto"/>
            <w:noWrap/>
          </w:tcPr>
          <w:p w14:paraId="1769B7E1" w14:textId="77777777" w:rsidR="00B64062" w:rsidRPr="00F5666F" w:rsidRDefault="00B64062" w:rsidP="00007699">
            <w:pPr>
              <w:jc w:val="center"/>
              <w:rPr>
                <w:b/>
                <w:bCs/>
                <w:color w:val="000000"/>
              </w:rPr>
            </w:pPr>
            <w:r w:rsidRPr="003020E3">
              <w:t>0.89</w:t>
            </w:r>
          </w:p>
        </w:tc>
        <w:tc>
          <w:tcPr>
            <w:tcW w:w="1176" w:type="dxa"/>
            <w:tcBorders>
              <w:top w:val="nil"/>
              <w:left w:val="nil"/>
              <w:right w:val="nil"/>
            </w:tcBorders>
            <w:shd w:val="clear" w:color="auto" w:fill="auto"/>
            <w:noWrap/>
          </w:tcPr>
          <w:p w14:paraId="4DBFF533" w14:textId="77777777" w:rsidR="00B64062" w:rsidRPr="00F5666F" w:rsidRDefault="00B64062" w:rsidP="00007699">
            <w:pPr>
              <w:jc w:val="center"/>
              <w:rPr>
                <w:b/>
                <w:bCs/>
                <w:color w:val="000000"/>
              </w:rPr>
            </w:pPr>
            <w:r w:rsidRPr="003020E3">
              <w:t>-0.60</w:t>
            </w:r>
          </w:p>
        </w:tc>
        <w:tc>
          <w:tcPr>
            <w:tcW w:w="1176" w:type="dxa"/>
            <w:tcBorders>
              <w:top w:val="nil"/>
              <w:left w:val="nil"/>
              <w:right w:val="nil"/>
            </w:tcBorders>
            <w:shd w:val="clear" w:color="auto" w:fill="auto"/>
            <w:noWrap/>
          </w:tcPr>
          <w:p w14:paraId="582E83C9" w14:textId="77777777" w:rsidR="00B64062" w:rsidRPr="00F5666F" w:rsidRDefault="00B64062" w:rsidP="00007699">
            <w:pPr>
              <w:jc w:val="center"/>
              <w:rPr>
                <w:b/>
                <w:bCs/>
                <w:color w:val="000000"/>
              </w:rPr>
            </w:pPr>
            <w:r w:rsidRPr="003020E3">
              <w:t>0.56</w:t>
            </w:r>
          </w:p>
        </w:tc>
        <w:tc>
          <w:tcPr>
            <w:tcW w:w="668" w:type="dxa"/>
            <w:tcBorders>
              <w:top w:val="nil"/>
              <w:left w:val="nil"/>
              <w:right w:val="nil"/>
            </w:tcBorders>
          </w:tcPr>
          <w:p w14:paraId="0B82A332" w14:textId="77777777" w:rsidR="00B64062" w:rsidRPr="00E9173B" w:rsidRDefault="00B64062" w:rsidP="00007699">
            <w:pPr>
              <w:jc w:val="center"/>
            </w:pPr>
            <w:r w:rsidRPr="003020E3">
              <w:t>0.53</w:t>
            </w:r>
          </w:p>
        </w:tc>
      </w:tr>
      <w:tr w:rsidR="00B64062" w:rsidRPr="008D4CB2" w14:paraId="0A7986D2" w14:textId="77777777" w:rsidTr="00AF52B6">
        <w:trPr>
          <w:trHeight w:val="290"/>
        </w:trPr>
        <w:tc>
          <w:tcPr>
            <w:tcW w:w="1536" w:type="dxa"/>
            <w:tcBorders>
              <w:top w:val="nil"/>
              <w:left w:val="nil"/>
              <w:bottom w:val="single" w:sz="4" w:space="0" w:color="auto"/>
              <w:right w:val="nil"/>
            </w:tcBorders>
            <w:shd w:val="clear" w:color="auto" w:fill="auto"/>
            <w:noWrap/>
            <w:vAlign w:val="center"/>
          </w:tcPr>
          <w:p w14:paraId="07A7A467" w14:textId="77777777" w:rsidR="00B64062" w:rsidRPr="008D4CB2" w:rsidRDefault="00B64062" w:rsidP="00007699">
            <w:pPr>
              <w:rPr>
                <w:color w:val="000000"/>
              </w:rPr>
            </w:pPr>
          </w:p>
        </w:tc>
        <w:tc>
          <w:tcPr>
            <w:tcW w:w="1276" w:type="dxa"/>
            <w:tcBorders>
              <w:top w:val="nil"/>
              <w:left w:val="nil"/>
              <w:bottom w:val="single" w:sz="4" w:space="0" w:color="auto"/>
              <w:right w:val="nil"/>
            </w:tcBorders>
            <w:shd w:val="clear" w:color="auto" w:fill="auto"/>
            <w:noWrap/>
            <w:vAlign w:val="center"/>
          </w:tcPr>
          <w:p w14:paraId="455ABF36" w14:textId="77777777" w:rsidR="00B64062" w:rsidRPr="008D4CB2" w:rsidRDefault="00B64062" w:rsidP="00007699">
            <w:pPr>
              <w:rPr>
                <w:color w:val="000000"/>
              </w:rPr>
            </w:pPr>
            <w:proofErr w:type="spellStart"/>
            <w:proofErr w:type="gramStart"/>
            <w:r w:rsidRPr="008D4CB2">
              <w:rPr>
                <w:color w:val="000000"/>
              </w:rPr>
              <w:t>r</w:t>
            </w:r>
            <w:r>
              <w:rPr>
                <w:color w:val="000000"/>
              </w:rPr>
              <w:t>.nb</w:t>
            </w:r>
            <w:proofErr w:type="spellEnd"/>
            <w:proofErr w:type="gramEnd"/>
          </w:p>
        </w:tc>
        <w:tc>
          <w:tcPr>
            <w:tcW w:w="1176" w:type="dxa"/>
            <w:tcBorders>
              <w:top w:val="nil"/>
              <w:left w:val="nil"/>
              <w:bottom w:val="single" w:sz="4" w:space="0" w:color="auto"/>
              <w:right w:val="nil"/>
            </w:tcBorders>
            <w:shd w:val="clear" w:color="auto" w:fill="auto"/>
            <w:noWrap/>
          </w:tcPr>
          <w:p w14:paraId="45665282" w14:textId="77777777" w:rsidR="00B64062" w:rsidRPr="008D4CB2" w:rsidRDefault="00B64062" w:rsidP="00007699">
            <w:pPr>
              <w:jc w:val="center"/>
              <w:rPr>
                <w:color w:val="000000"/>
              </w:rPr>
            </w:pPr>
            <w:r w:rsidRPr="003020E3">
              <w:t>0.61</w:t>
            </w:r>
          </w:p>
        </w:tc>
        <w:tc>
          <w:tcPr>
            <w:tcW w:w="1176" w:type="dxa"/>
            <w:tcBorders>
              <w:top w:val="nil"/>
              <w:left w:val="nil"/>
              <w:bottom w:val="single" w:sz="4" w:space="0" w:color="auto"/>
              <w:right w:val="nil"/>
            </w:tcBorders>
            <w:shd w:val="clear" w:color="auto" w:fill="auto"/>
            <w:noWrap/>
          </w:tcPr>
          <w:p w14:paraId="0178218B" w14:textId="77777777" w:rsidR="00B64062" w:rsidRPr="008D4CB2" w:rsidRDefault="00B64062" w:rsidP="00007699">
            <w:pPr>
              <w:jc w:val="center"/>
              <w:rPr>
                <w:color w:val="000000"/>
              </w:rPr>
            </w:pPr>
            <w:r w:rsidRPr="003020E3">
              <w:t>0.24</w:t>
            </w:r>
          </w:p>
        </w:tc>
        <w:tc>
          <w:tcPr>
            <w:tcW w:w="1176" w:type="dxa"/>
            <w:tcBorders>
              <w:top w:val="nil"/>
              <w:left w:val="nil"/>
              <w:bottom w:val="single" w:sz="4" w:space="0" w:color="auto"/>
              <w:right w:val="nil"/>
            </w:tcBorders>
            <w:shd w:val="clear" w:color="auto" w:fill="auto"/>
            <w:noWrap/>
          </w:tcPr>
          <w:p w14:paraId="78AB7C94" w14:textId="77777777" w:rsidR="00B64062" w:rsidRPr="008D4CB2" w:rsidRDefault="00B64062" w:rsidP="00007699">
            <w:pPr>
              <w:jc w:val="center"/>
              <w:rPr>
                <w:color w:val="000000"/>
              </w:rPr>
            </w:pPr>
            <w:r w:rsidRPr="003020E3">
              <w:t>1.21</w:t>
            </w:r>
          </w:p>
        </w:tc>
        <w:tc>
          <w:tcPr>
            <w:tcW w:w="1176" w:type="dxa"/>
            <w:tcBorders>
              <w:top w:val="nil"/>
              <w:left w:val="nil"/>
              <w:bottom w:val="single" w:sz="4" w:space="0" w:color="auto"/>
              <w:right w:val="nil"/>
            </w:tcBorders>
            <w:shd w:val="clear" w:color="auto" w:fill="auto"/>
            <w:noWrap/>
          </w:tcPr>
          <w:p w14:paraId="65D7249D" w14:textId="77777777" w:rsidR="00B64062" w:rsidRPr="008D4CB2" w:rsidRDefault="00B64062" w:rsidP="00007699">
            <w:pPr>
              <w:jc w:val="center"/>
              <w:rPr>
                <w:color w:val="000000"/>
              </w:rPr>
            </w:pPr>
            <w:r w:rsidRPr="003020E3">
              <w:t>0.30</w:t>
            </w:r>
          </w:p>
        </w:tc>
        <w:tc>
          <w:tcPr>
            <w:tcW w:w="1176" w:type="dxa"/>
            <w:tcBorders>
              <w:top w:val="nil"/>
              <w:left w:val="nil"/>
              <w:bottom w:val="single" w:sz="4" w:space="0" w:color="auto"/>
              <w:right w:val="nil"/>
            </w:tcBorders>
            <w:shd w:val="clear" w:color="auto" w:fill="auto"/>
            <w:noWrap/>
          </w:tcPr>
          <w:p w14:paraId="09A4812B" w14:textId="77777777" w:rsidR="00B64062" w:rsidRPr="008D4CB2" w:rsidRDefault="00B64062" w:rsidP="00007699">
            <w:pPr>
              <w:jc w:val="center"/>
              <w:rPr>
                <w:color w:val="000000"/>
              </w:rPr>
            </w:pPr>
            <w:r w:rsidRPr="003020E3">
              <w:t>0.90</w:t>
            </w:r>
          </w:p>
        </w:tc>
        <w:tc>
          <w:tcPr>
            <w:tcW w:w="668" w:type="dxa"/>
            <w:tcBorders>
              <w:top w:val="nil"/>
              <w:left w:val="nil"/>
              <w:bottom w:val="single" w:sz="4" w:space="0" w:color="auto"/>
              <w:right w:val="nil"/>
            </w:tcBorders>
          </w:tcPr>
          <w:p w14:paraId="06FBF1D7" w14:textId="77777777" w:rsidR="00B64062" w:rsidRPr="00E9173B" w:rsidRDefault="00B64062" w:rsidP="00007699">
            <w:pPr>
              <w:jc w:val="center"/>
            </w:pPr>
          </w:p>
        </w:tc>
      </w:tr>
      <w:tr w:rsidR="00B64062" w:rsidRPr="008D4CB2" w14:paraId="192C8B98" w14:textId="77777777" w:rsidTr="00AF52B6">
        <w:trPr>
          <w:trHeight w:val="290"/>
        </w:trPr>
        <w:tc>
          <w:tcPr>
            <w:tcW w:w="1536" w:type="dxa"/>
            <w:tcBorders>
              <w:top w:val="single" w:sz="4" w:space="0" w:color="auto"/>
              <w:left w:val="nil"/>
              <w:right w:val="nil"/>
            </w:tcBorders>
            <w:shd w:val="clear" w:color="auto" w:fill="auto"/>
            <w:noWrap/>
            <w:vAlign w:val="center"/>
          </w:tcPr>
          <w:p w14:paraId="7335E53A" w14:textId="77777777" w:rsidR="00B64062" w:rsidRPr="008D4CB2" w:rsidRDefault="00B64062" w:rsidP="00007699">
            <w:pPr>
              <w:rPr>
                <w:color w:val="000000"/>
              </w:rPr>
            </w:pPr>
          </w:p>
        </w:tc>
        <w:tc>
          <w:tcPr>
            <w:tcW w:w="1276" w:type="dxa"/>
            <w:tcBorders>
              <w:top w:val="single" w:sz="4" w:space="0" w:color="auto"/>
              <w:left w:val="nil"/>
              <w:right w:val="nil"/>
            </w:tcBorders>
            <w:shd w:val="clear" w:color="auto" w:fill="auto"/>
            <w:noWrap/>
            <w:vAlign w:val="center"/>
          </w:tcPr>
          <w:p w14:paraId="75A7D216" w14:textId="77777777" w:rsidR="00B64062" w:rsidRPr="008D4CB2" w:rsidRDefault="00B64062" w:rsidP="00007699">
            <w:pPr>
              <w:rPr>
                <w:color w:val="000000"/>
              </w:rPr>
            </w:pPr>
          </w:p>
        </w:tc>
        <w:tc>
          <w:tcPr>
            <w:tcW w:w="1176" w:type="dxa"/>
            <w:tcBorders>
              <w:top w:val="single" w:sz="4" w:space="0" w:color="auto"/>
              <w:left w:val="nil"/>
              <w:right w:val="nil"/>
            </w:tcBorders>
            <w:shd w:val="clear" w:color="auto" w:fill="auto"/>
            <w:noWrap/>
            <w:vAlign w:val="center"/>
          </w:tcPr>
          <w:p w14:paraId="4233851C" w14:textId="77777777" w:rsidR="00B64062" w:rsidRPr="008D4CB2" w:rsidRDefault="00B64062" w:rsidP="00007699">
            <w:pPr>
              <w:jc w:val="center"/>
              <w:rPr>
                <w:color w:val="000000"/>
              </w:rPr>
            </w:pPr>
          </w:p>
        </w:tc>
        <w:tc>
          <w:tcPr>
            <w:tcW w:w="2352" w:type="dxa"/>
            <w:gridSpan w:val="2"/>
            <w:tcBorders>
              <w:top w:val="single" w:sz="4" w:space="0" w:color="auto"/>
              <w:left w:val="nil"/>
              <w:right w:val="nil"/>
            </w:tcBorders>
            <w:shd w:val="clear" w:color="auto" w:fill="auto"/>
            <w:noWrap/>
            <w:vAlign w:val="center"/>
          </w:tcPr>
          <w:p w14:paraId="4D866B66" w14:textId="77777777" w:rsidR="00B64062" w:rsidRPr="008D4CB2" w:rsidRDefault="00B64062" w:rsidP="00007699">
            <w:pPr>
              <w:jc w:val="center"/>
              <w:rPr>
                <w:color w:val="000000"/>
              </w:rPr>
            </w:pPr>
          </w:p>
        </w:tc>
        <w:tc>
          <w:tcPr>
            <w:tcW w:w="2352" w:type="dxa"/>
            <w:gridSpan w:val="2"/>
            <w:tcBorders>
              <w:top w:val="single" w:sz="4" w:space="0" w:color="auto"/>
              <w:left w:val="nil"/>
              <w:right w:val="nil"/>
            </w:tcBorders>
            <w:shd w:val="clear" w:color="auto" w:fill="auto"/>
            <w:noWrap/>
            <w:vAlign w:val="center"/>
          </w:tcPr>
          <w:p w14:paraId="38D2F4EF" w14:textId="77777777" w:rsidR="00B64062" w:rsidRPr="008D4CB2" w:rsidRDefault="00B64062" w:rsidP="00007699">
            <w:pPr>
              <w:jc w:val="center"/>
              <w:rPr>
                <w:color w:val="000000"/>
              </w:rPr>
            </w:pPr>
          </w:p>
        </w:tc>
        <w:tc>
          <w:tcPr>
            <w:tcW w:w="668" w:type="dxa"/>
            <w:tcBorders>
              <w:top w:val="single" w:sz="4" w:space="0" w:color="auto"/>
              <w:left w:val="nil"/>
              <w:right w:val="nil"/>
            </w:tcBorders>
          </w:tcPr>
          <w:p w14:paraId="100B363D" w14:textId="77777777" w:rsidR="00B64062" w:rsidRPr="008D4CB2" w:rsidRDefault="00B64062" w:rsidP="00007699">
            <w:pPr>
              <w:jc w:val="center"/>
              <w:rPr>
                <w:color w:val="000000"/>
              </w:rPr>
            </w:pPr>
          </w:p>
        </w:tc>
      </w:tr>
    </w:tbl>
    <w:p w14:paraId="3026E9C9" w14:textId="77777777" w:rsidR="00AF52B6" w:rsidRDefault="00AF52B6" w:rsidP="00AF52B6">
      <w:pPr>
        <w:spacing w:line="480" w:lineRule="auto"/>
        <w:ind w:left="360" w:hanging="360"/>
        <w:rPr>
          <w:b/>
          <w:bCs/>
        </w:rPr>
      </w:pPr>
      <w:r w:rsidRPr="000531F4">
        <w:rPr>
          <w:b/>
          <w:bCs/>
        </w:rPr>
        <w:t>Literature Cited</w:t>
      </w:r>
    </w:p>
    <w:p w14:paraId="625F3ECC" w14:textId="07542248" w:rsidR="00AF52B6" w:rsidRDefault="00AF52B6" w:rsidP="00AF52B6">
      <w:pPr>
        <w:spacing w:line="480" w:lineRule="auto"/>
        <w:ind w:left="360" w:hanging="360"/>
      </w:pPr>
      <w:r w:rsidRPr="00DE4D54">
        <w:rPr>
          <w:b/>
          <w:bCs/>
        </w:rPr>
        <w:t>Makowski D., Ben-Shachar</w:t>
      </w:r>
      <w:r w:rsidR="0080249C" w:rsidRPr="00DE4D54">
        <w:rPr>
          <w:b/>
          <w:bCs/>
        </w:rPr>
        <w:t xml:space="preserve"> M.S.</w:t>
      </w:r>
      <w:r w:rsidRPr="00DE4D54">
        <w:rPr>
          <w:b/>
          <w:bCs/>
        </w:rPr>
        <w:t xml:space="preserve"> and </w:t>
      </w:r>
      <w:proofErr w:type="spellStart"/>
      <w:r w:rsidRPr="00DE4D54">
        <w:rPr>
          <w:b/>
          <w:bCs/>
        </w:rPr>
        <w:t>Lüdecke</w:t>
      </w:r>
      <w:proofErr w:type="spellEnd"/>
      <w:r w:rsidR="0080249C" w:rsidRPr="00DE4D54">
        <w:rPr>
          <w:b/>
          <w:bCs/>
        </w:rPr>
        <w:t xml:space="preserve"> D.</w:t>
      </w:r>
      <w:r w:rsidR="0080249C">
        <w:t xml:space="preserve"> (</w:t>
      </w:r>
      <w:r w:rsidRPr="000531F4">
        <w:t>2019</w:t>
      </w:r>
      <w:r w:rsidR="0080249C">
        <w:t>)</w:t>
      </w:r>
      <w:r w:rsidRPr="000531F4">
        <w:t xml:space="preserve"> </w:t>
      </w:r>
      <w:proofErr w:type="spellStart"/>
      <w:r w:rsidRPr="000531F4">
        <w:t>bayestestR</w:t>
      </w:r>
      <w:proofErr w:type="spellEnd"/>
      <w:r w:rsidRPr="000531F4">
        <w:t>: Describing effects and their uncertainty, existence</w:t>
      </w:r>
      <w:r>
        <w:t xml:space="preserve"> </w:t>
      </w:r>
      <w:r w:rsidRPr="000531F4">
        <w:t xml:space="preserve">and significance within the Bayesian framework. </w:t>
      </w:r>
      <w:r w:rsidRPr="00903E34">
        <w:rPr>
          <w:i/>
          <w:iCs/>
        </w:rPr>
        <w:t>Journal of Open-Source Software</w:t>
      </w:r>
      <w:r w:rsidRPr="000531F4">
        <w:t xml:space="preserve"> </w:t>
      </w:r>
      <w:r w:rsidRPr="002E72DF">
        <w:rPr>
          <w:b/>
          <w:bCs/>
        </w:rPr>
        <w:t>4</w:t>
      </w:r>
      <w:r w:rsidR="002E72DF">
        <w:t xml:space="preserve">, </w:t>
      </w:r>
      <w:r w:rsidRPr="000531F4">
        <w:t>1541.</w:t>
      </w:r>
    </w:p>
    <w:p w14:paraId="5725CA3E" w14:textId="6BD9FAE1" w:rsidR="00AF52B6" w:rsidRPr="000531F4" w:rsidRDefault="00AF52B6" w:rsidP="00AF52B6">
      <w:pPr>
        <w:spacing w:line="480" w:lineRule="auto"/>
        <w:ind w:left="360" w:hanging="360"/>
        <w:contextualSpacing/>
      </w:pPr>
      <w:r w:rsidRPr="00DE4D54">
        <w:rPr>
          <w:b/>
          <w:bCs/>
        </w:rPr>
        <w:t>McClure C.J.W., Rolek</w:t>
      </w:r>
      <w:r w:rsidR="0080249C" w:rsidRPr="00DE4D54">
        <w:rPr>
          <w:b/>
          <w:bCs/>
        </w:rPr>
        <w:t xml:space="preserve"> B.W.</w:t>
      </w:r>
      <w:r w:rsidRPr="00DE4D54">
        <w:rPr>
          <w:b/>
          <w:bCs/>
        </w:rPr>
        <w:t xml:space="preserve"> and Fleischer</w:t>
      </w:r>
      <w:r w:rsidR="0080249C" w:rsidRPr="00DE4D54">
        <w:rPr>
          <w:b/>
          <w:bCs/>
        </w:rPr>
        <w:t xml:space="preserve"> J.</w:t>
      </w:r>
      <w:r>
        <w:t xml:space="preserve"> (2023b) Composite population trends reveal status of wintering diurnal raptors in the Northwestern USA. </w:t>
      </w:r>
      <w:r w:rsidRPr="0080249C">
        <w:rPr>
          <w:i/>
        </w:rPr>
        <w:t xml:space="preserve">Biological Conservation </w:t>
      </w:r>
      <w:r w:rsidRPr="002E72DF">
        <w:rPr>
          <w:b/>
          <w:bCs/>
        </w:rPr>
        <w:t>277</w:t>
      </w:r>
      <w:r w:rsidR="002E72DF">
        <w:t xml:space="preserve">, </w:t>
      </w:r>
      <w:r>
        <w:t>109861</w:t>
      </w:r>
    </w:p>
    <w:p w14:paraId="7AF9146A" w14:textId="159DA409" w:rsidR="00AF52B6" w:rsidRPr="000531F4" w:rsidRDefault="00AF52B6" w:rsidP="00AF52B6">
      <w:pPr>
        <w:spacing w:line="480" w:lineRule="auto"/>
        <w:ind w:left="360" w:hanging="360"/>
      </w:pPr>
      <w:r w:rsidRPr="00DE4D54">
        <w:rPr>
          <w:b/>
          <w:bCs/>
        </w:rPr>
        <w:t>Miller R.A., Paprocki</w:t>
      </w:r>
      <w:r w:rsidR="0080249C" w:rsidRPr="00DE4D54">
        <w:rPr>
          <w:b/>
          <w:bCs/>
        </w:rPr>
        <w:t xml:space="preserve"> N.,</w:t>
      </w:r>
      <w:r w:rsidRPr="00DE4D54">
        <w:rPr>
          <w:b/>
          <w:bCs/>
        </w:rPr>
        <w:t xml:space="preserve"> Stuber</w:t>
      </w:r>
      <w:r w:rsidR="0080249C" w:rsidRPr="00DE4D54">
        <w:rPr>
          <w:b/>
          <w:bCs/>
        </w:rPr>
        <w:t xml:space="preserve"> M.J.,</w:t>
      </w:r>
      <w:r w:rsidRPr="00DE4D54">
        <w:rPr>
          <w:b/>
          <w:bCs/>
        </w:rPr>
        <w:t xml:space="preserve"> Moulton</w:t>
      </w:r>
      <w:r w:rsidR="0080249C" w:rsidRPr="00DE4D54">
        <w:rPr>
          <w:b/>
          <w:bCs/>
        </w:rPr>
        <w:t xml:space="preserve"> C.E.</w:t>
      </w:r>
      <w:r w:rsidRPr="00DE4D54">
        <w:rPr>
          <w:b/>
          <w:bCs/>
        </w:rPr>
        <w:t xml:space="preserve"> and Carlisle</w:t>
      </w:r>
      <w:r w:rsidR="0080249C" w:rsidRPr="00DE4D54">
        <w:rPr>
          <w:b/>
          <w:bCs/>
        </w:rPr>
        <w:t xml:space="preserve"> J.D</w:t>
      </w:r>
      <w:r w:rsidRPr="00DE4D54">
        <w:rPr>
          <w:b/>
          <w:bCs/>
        </w:rPr>
        <w:t xml:space="preserve">. </w:t>
      </w:r>
      <w:r w:rsidR="0080249C">
        <w:t>(</w:t>
      </w:r>
      <w:r w:rsidRPr="000531F4">
        <w:t>2016</w:t>
      </w:r>
      <w:r w:rsidR="0080249C">
        <w:t>)</w:t>
      </w:r>
      <w:r w:rsidRPr="000531F4">
        <w:t xml:space="preserve"> Short-eared owl (</w:t>
      </w:r>
      <w:proofErr w:type="spellStart"/>
      <w:r w:rsidRPr="000531F4">
        <w:rPr>
          <w:i/>
        </w:rPr>
        <w:t>Asio</w:t>
      </w:r>
      <w:proofErr w:type="spellEnd"/>
      <w:r w:rsidRPr="000531F4">
        <w:rPr>
          <w:i/>
        </w:rPr>
        <w:t xml:space="preserve"> </w:t>
      </w:r>
      <w:proofErr w:type="spellStart"/>
      <w:r w:rsidRPr="000531F4">
        <w:rPr>
          <w:i/>
        </w:rPr>
        <w:t>flammeus</w:t>
      </w:r>
      <w:proofErr w:type="spellEnd"/>
      <w:r w:rsidRPr="000531F4">
        <w:t xml:space="preserve">) surveys in the North American intermountain west: utilizing citizen scientists to conduct monitoring across a broad geographic scale. </w:t>
      </w:r>
      <w:r w:rsidRPr="00903E34">
        <w:rPr>
          <w:i/>
          <w:iCs/>
        </w:rPr>
        <w:t>Avian Conservation Ecology</w:t>
      </w:r>
      <w:r w:rsidRPr="000531F4">
        <w:t xml:space="preserve"> </w:t>
      </w:r>
      <w:r w:rsidRPr="002E72DF">
        <w:rPr>
          <w:b/>
          <w:bCs/>
        </w:rPr>
        <w:t>11</w:t>
      </w:r>
      <w:r w:rsidR="002E72DF">
        <w:t xml:space="preserve">, </w:t>
      </w:r>
      <w:r w:rsidRPr="000531F4">
        <w:t>3–10.</w:t>
      </w:r>
      <w:r w:rsidR="00FE223B">
        <w:t xml:space="preserve"> </w:t>
      </w:r>
      <w:hyperlink r:id="rId18" w:history="1">
        <w:r w:rsidR="00FE223B" w:rsidRPr="0084613B">
          <w:rPr>
            <w:rStyle w:val="Hyperlink"/>
          </w:rPr>
          <w:t>http://dx.doi.org/10.5751/ACE-00819-110103</w:t>
        </w:r>
      </w:hyperlink>
      <w:r w:rsidR="00FE223B">
        <w:t xml:space="preserve"> </w:t>
      </w:r>
    </w:p>
    <w:p w14:paraId="4E77D990" w14:textId="56A92F52" w:rsidR="00E2713D" w:rsidRDefault="00AF52B6" w:rsidP="00AF52B6">
      <w:pPr>
        <w:spacing w:line="480" w:lineRule="auto"/>
        <w:ind w:left="360" w:hanging="360"/>
      </w:pPr>
      <w:r w:rsidRPr="00DE4D54">
        <w:rPr>
          <w:b/>
          <w:bCs/>
        </w:rPr>
        <w:t>Miller R.A., Carlisle</w:t>
      </w:r>
      <w:r w:rsidR="0080249C" w:rsidRPr="00DE4D54">
        <w:rPr>
          <w:b/>
          <w:bCs/>
        </w:rPr>
        <w:t xml:space="preserve"> J.D.,</w:t>
      </w:r>
      <w:r w:rsidRPr="00DE4D54">
        <w:rPr>
          <w:b/>
          <w:bCs/>
        </w:rPr>
        <w:t xml:space="preserve"> Barnes</w:t>
      </w:r>
      <w:r w:rsidR="0080249C" w:rsidRPr="00DE4D54">
        <w:rPr>
          <w:b/>
          <w:bCs/>
        </w:rPr>
        <w:t xml:space="preserve"> J.G.,</w:t>
      </w:r>
      <w:r w:rsidRPr="00DE4D54">
        <w:rPr>
          <w:b/>
          <w:bCs/>
        </w:rPr>
        <w:t xml:space="preserve"> Haley</w:t>
      </w:r>
      <w:r w:rsidR="0080249C" w:rsidRPr="00DE4D54">
        <w:rPr>
          <w:b/>
          <w:bCs/>
        </w:rPr>
        <w:t xml:space="preserve"> R.D.</w:t>
      </w:r>
      <w:r w:rsidR="00DE4D54">
        <w:rPr>
          <w:b/>
          <w:bCs/>
        </w:rPr>
        <w:t xml:space="preserve"> </w:t>
      </w:r>
      <w:r w:rsidR="0080249C" w:rsidRPr="00DE4D54">
        <w:rPr>
          <w:b/>
          <w:bCs/>
        </w:rPr>
        <w:t>and</w:t>
      </w:r>
      <w:r w:rsidRPr="00DE4D54">
        <w:rPr>
          <w:b/>
          <w:bCs/>
        </w:rPr>
        <w:t xml:space="preserve"> Jeffress</w:t>
      </w:r>
      <w:r w:rsidR="002E72DF" w:rsidRPr="00DE4D54">
        <w:rPr>
          <w:b/>
          <w:bCs/>
        </w:rPr>
        <w:t xml:space="preserve"> </w:t>
      </w:r>
      <w:r w:rsidR="0080249C" w:rsidRPr="00DE4D54">
        <w:rPr>
          <w:b/>
          <w:bCs/>
        </w:rPr>
        <w:t>M.R</w:t>
      </w:r>
      <w:r w:rsidRPr="00DE4D54">
        <w:rPr>
          <w:b/>
          <w:bCs/>
        </w:rPr>
        <w:t>.</w:t>
      </w:r>
      <w:r w:rsidRPr="000531F4">
        <w:t xml:space="preserve"> </w:t>
      </w:r>
      <w:r w:rsidR="0080249C">
        <w:t>(</w:t>
      </w:r>
      <w:r w:rsidRPr="000531F4">
        <w:t>2019</w:t>
      </w:r>
      <w:r w:rsidR="0080249C">
        <w:t xml:space="preserve">) </w:t>
      </w:r>
      <w:r w:rsidRPr="000531F4">
        <w:t xml:space="preserve">Winter distributions and habitat associations of raptors across Nevada. </w:t>
      </w:r>
      <w:r w:rsidRPr="00903E34">
        <w:rPr>
          <w:i/>
          <w:iCs/>
        </w:rPr>
        <w:t>Western Birds</w:t>
      </w:r>
      <w:r w:rsidRPr="000531F4">
        <w:t xml:space="preserve"> </w:t>
      </w:r>
      <w:r w:rsidRPr="002E72DF">
        <w:rPr>
          <w:b/>
          <w:bCs/>
        </w:rPr>
        <w:t>50</w:t>
      </w:r>
      <w:r w:rsidR="002E72DF">
        <w:t xml:space="preserve">, </w:t>
      </w:r>
      <w:r w:rsidRPr="000531F4">
        <w:t>114–141.</w:t>
      </w:r>
    </w:p>
    <w:sectPr w:rsidR="00E2713D" w:rsidSect="00E828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9C241" w14:textId="77777777" w:rsidR="00061E13" w:rsidRDefault="00061E13" w:rsidP="00AE6D77">
      <w:r>
        <w:separator/>
      </w:r>
    </w:p>
  </w:endnote>
  <w:endnote w:type="continuationSeparator" w:id="0">
    <w:p w14:paraId="52EF384B" w14:textId="77777777" w:rsidR="00061E13" w:rsidRDefault="00061E13" w:rsidP="00AE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7355843"/>
      <w:docPartObj>
        <w:docPartGallery w:val="Page Numbers (Bottom of Page)"/>
        <w:docPartUnique/>
      </w:docPartObj>
    </w:sdtPr>
    <w:sdtContent>
      <w:p w14:paraId="6E393373" w14:textId="5775EE6D" w:rsidR="00B8514E" w:rsidRDefault="00B8514E" w:rsidP="00401B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tbl>
    <w:tblPr>
      <w:tblW w:w="0" w:type="auto"/>
      <w:tblLayout w:type="fixed"/>
      <w:tblLook w:val="06A0" w:firstRow="1" w:lastRow="0" w:firstColumn="1" w:lastColumn="0" w:noHBand="1" w:noVBand="1"/>
    </w:tblPr>
    <w:tblGrid>
      <w:gridCol w:w="4320"/>
      <w:gridCol w:w="4320"/>
      <w:gridCol w:w="4320"/>
    </w:tblGrid>
    <w:tr w:rsidR="00B8514E" w14:paraId="557DE202" w14:textId="77777777" w:rsidTr="0AE5CF12">
      <w:tc>
        <w:tcPr>
          <w:tcW w:w="4320" w:type="dxa"/>
        </w:tcPr>
        <w:p w14:paraId="012D88DF" w14:textId="379A32C8" w:rsidR="00B8514E" w:rsidRDefault="00B8514E" w:rsidP="006A5259">
          <w:pPr>
            <w:pStyle w:val="Header"/>
            <w:ind w:left="-115" w:right="360"/>
          </w:pPr>
        </w:p>
      </w:tc>
      <w:tc>
        <w:tcPr>
          <w:tcW w:w="4320" w:type="dxa"/>
        </w:tcPr>
        <w:p w14:paraId="05D1AAC8" w14:textId="2691D7E6" w:rsidR="00B8514E" w:rsidRDefault="00B8514E" w:rsidP="0AE5CF12">
          <w:pPr>
            <w:pStyle w:val="Header"/>
            <w:jc w:val="center"/>
          </w:pPr>
        </w:p>
      </w:tc>
      <w:tc>
        <w:tcPr>
          <w:tcW w:w="4320" w:type="dxa"/>
        </w:tcPr>
        <w:p w14:paraId="14A982A7" w14:textId="1A4802E0" w:rsidR="00B8514E" w:rsidRDefault="00B8514E" w:rsidP="0AE5CF12">
          <w:pPr>
            <w:pStyle w:val="Header"/>
            <w:ind w:right="-115"/>
            <w:jc w:val="right"/>
          </w:pPr>
        </w:p>
      </w:tc>
    </w:tr>
  </w:tbl>
  <w:p w14:paraId="6DCD8B65" w14:textId="03218158" w:rsidR="00B8514E" w:rsidRDefault="00B8514E" w:rsidP="0AE5C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777C" w14:textId="77777777" w:rsidR="00061E13" w:rsidRDefault="00061E13" w:rsidP="00AE6D77">
      <w:r>
        <w:separator/>
      </w:r>
    </w:p>
  </w:footnote>
  <w:footnote w:type="continuationSeparator" w:id="0">
    <w:p w14:paraId="1FC83E4D" w14:textId="77777777" w:rsidR="00061E13" w:rsidRDefault="00061E13" w:rsidP="00AE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0B8514E" w14:paraId="1511D909" w14:textId="77777777" w:rsidTr="0AE5CF12">
      <w:tc>
        <w:tcPr>
          <w:tcW w:w="4320" w:type="dxa"/>
        </w:tcPr>
        <w:p w14:paraId="2AB50EA3" w14:textId="52C87ADB" w:rsidR="00B8514E" w:rsidRDefault="00B8514E" w:rsidP="0AE5CF12">
          <w:pPr>
            <w:pStyle w:val="Header"/>
            <w:ind w:left="-115"/>
          </w:pPr>
        </w:p>
      </w:tc>
      <w:tc>
        <w:tcPr>
          <w:tcW w:w="4320" w:type="dxa"/>
        </w:tcPr>
        <w:p w14:paraId="1238FA7A" w14:textId="75924237" w:rsidR="00B8514E" w:rsidRDefault="00B8514E" w:rsidP="0AE5CF12">
          <w:pPr>
            <w:pStyle w:val="Header"/>
            <w:jc w:val="center"/>
          </w:pPr>
        </w:p>
      </w:tc>
      <w:tc>
        <w:tcPr>
          <w:tcW w:w="4320" w:type="dxa"/>
        </w:tcPr>
        <w:p w14:paraId="1E1F65F3" w14:textId="62210DDC" w:rsidR="00B8514E" w:rsidRDefault="00B8514E" w:rsidP="0AE5CF12">
          <w:pPr>
            <w:pStyle w:val="Header"/>
            <w:ind w:right="-115"/>
            <w:jc w:val="right"/>
          </w:pPr>
        </w:p>
      </w:tc>
    </w:tr>
  </w:tbl>
  <w:p w14:paraId="3AD1EDC5" w14:textId="6F534BDF" w:rsidR="00B8514E" w:rsidRDefault="00B8514E" w:rsidP="0AE5C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0B8514E" w14:paraId="356A5C9E" w14:textId="77777777" w:rsidTr="0AE5CF12">
      <w:tc>
        <w:tcPr>
          <w:tcW w:w="4320" w:type="dxa"/>
        </w:tcPr>
        <w:p w14:paraId="1B99C0B0" w14:textId="2E53FA01" w:rsidR="00B8514E" w:rsidRDefault="00B8514E" w:rsidP="0AE5CF12">
          <w:pPr>
            <w:pStyle w:val="Header"/>
            <w:ind w:left="-115"/>
          </w:pPr>
        </w:p>
      </w:tc>
      <w:tc>
        <w:tcPr>
          <w:tcW w:w="4320" w:type="dxa"/>
        </w:tcPr>
        <w:p w14:paraId="7C1EFDAE" w14:textId="1FF2BA9D" w:rsidR="00B8514E" w:rsidRDefault="00B8514E" w:rsidP="0AE5CF12">
          <w:pPr>
            <w:pStyle w:val="Header"/>
            <w:jc w:val="center"/>
          </w:pPr>
        </w:p>
      </w:tc>
      <w:tc>
        <w:tcPr>
          <w:tcW w:w="4320" w:type="dxa"/>
        </w:tcPr>
        <w:p w14:paraId="0B99A731" w14:textId="6CA146D6" w:rsidR="00B8514E" w:rsidRDefault="00B8514E" w:rsidP="0AE5CF12">
          <w:pPr>
            <w:pStyle w:val="Header"/>
            <w:ind w:right="-115"/>
            <w:jc w:val="right"/>
          </w:pPr>
        </w:p>
      </w:tc>
    </w:tr>
  </w:tbl>
  <w:p w14:paraId="3C5909D4" w14:textId="52193AAE" w:rsidR="00B8514E" w:rsidRDefault="00B8514E" w:rsidP="0AE5CF12">
    <w:pPr>
      <w:pStyle w:val="Header"/>
    </w:pPr>
  </w:p>
</w:hdr>
</file>

<file path=word/intelligence2.xml><?xml version="1.0" encoding="utf-8"?>
<int2:intelligence xmlns:int2="http://schemas.microsoft.com/office/intelligence/2020/intelligence" xmlns:oel="http://schemas.microsoft.com/office/2019/extlst">
  <int2:observations>
    <int2:textHash int2:hashCode="PZsqbh2y3koz3G" int2:id="KjJ8AZop">
      <int2:state int2:value="Rejected" int2:type="AugLoop_Text_Critique"/>
    </int2:textHash>
    <int2:textHash int2:hashCode="tkn6voGywrBjZi" int2:id="scPACSFy">
      <int2:state int2:value="Rejected" int2:type="AugLoop_Text_Critique"/>
    </int2:textHash>
    <int2:textHash int2:hashCode="AZpTlV6H82gAyD" int2:id="ZnOSsJtL">
      <int2:state int2:value="Rejected" int2:type="AugLoop_Text_Critique"/>
    </int2:textHash>
    <int2:textHash int2:hashCode="5bbKpge84ChWU3" int2:id="tbadw9dr">
      <int2:state int2:value="Rejected" int2:type="AugLoop_Text_Critique"/>
    </int2:textHash>
    <int2:textHash int2:hashCode="VSht+t7BWvDA00" int2:id="UmJWYNV9">
      <int2:state int2:value="Rejected" int2:type="AugLoop_Text_Critique"/>
    </int2:textHash>
    <int2:textHash int2:hashCode="t4RMvTRrP8hLCR" int2:id="ctd2fpuQ">
      <int2:state int2:value="Rejected" int2:type="AugLoop_Text_Critique"/>
    </int2:textHash>
    <int2:textHash int2:hashCode="6XBhRv/EWhMebR" int2:id="YY0wZ0zI">
      <int2:state int2:value="Rejected" int2:type="AugLoop_Text_Critique"/>
    </int2:textHash>
    <int2:textHash int2:hashCode="UlVyKTfKRBJYcP" int2:id="zxkgCqLi">
      <int2:state int2:value="Rejected" int2:type="AugLoop_Text_Critique"/>
    </int2:textHash>
    <int2:textHash int2:hashCode="1j66KK/AJYQ97q" int2:id="3Py5dPgb">
      <int2:state int2:value="Rejected" int2:type="AugLoop_Text_Critique"/>
    </int2:textHash>
    <int2:textHash int2:hashCode="1c/bt19j260mDC" int2:id="x0J23OEp">
      <int2:state int2:value="Rejected" int2:type="AugLoop_Text_Critique"/>
    </int2:textHash>
    <int2:textHash int2:hashCode="TOtuJjihwQ7BRb" int2:id="2lZxkP7p">
      <int2:state int2:value="Rejected" int2:type="AugLoop_Text_Critique"/>
    </int2:textHash>
    <int2:textHash int2:hashCode="eLBQx9ULOeuRAX" int2:id="F6m11IFU">
      <int2:state int2:value="Rejected" int2:type="AugLoop_Acronyms_AcronymsCritique"/>
    </int2:textHash>
    <int2:textHash int2:hashCode="Ow5Y1Dl1o9HxaN" int2:id="ivAAQ1us">
      <int2:state int2:value="Rejected" int2:type="AugLoop_Acronyms_AcronymsCritique"/>
    </int2:textHash>
    <int2:textHash int2:hashCode="06LIDKSXSSGnAp" int2:id="xL7mTIM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31E"/>
    <w:multiLevelType w:val="hybridMultilevel"/>
    <w:tmpl w:val="C9FA1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72A6B"/>
    <w:multiLevelType w:val="hybridMultilevel"/>
    <w:tmpl w:val="5500391A"/>
    <w:lvl w:ilvl="0" w:tplc="7614425C">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01A02"/>
    <w:multiLevelType w:val="hybridMultilevel"/>
    <w:tmpl w:val="C75C9C30"/>
    <w:lvl w:ilvl="0" w:tplc="D21884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1150B"/>
    <w:multiLevelType w:val="hybridMultilevel"/>
    <w:tmpl w:val="0C22D0E8"/>
    <w:lvl w:ilvl="0" w:tplc="D21884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D21F3"/>
    <w:multiLevelType w:val="hybridMultilevel"/>
    <w:tmpl w:val="364A079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2C4C0E69"/>
    <w:multiLevelType w:val="hybridMultilevel"/>
    <w:tmpl w:val="8CE6F5F2"/>
    <w:lvl w:ilvl="0" w:tplc="85BACF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A2A34"/>
    <w:multiLevelType w:val="hybridMultilevel"/>
    <w:tmpl w:val="66625452"/>
    <w:lvl w:ilvl="0" w:tplc="E8A21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E0A82"/>
    <w:multiLevelType w:val="hybridMultilevel"/>
    <w:tmpl w:val="9FD076EE"/>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96240"/>
    <w:multiLevelType w:val="hybridMultilevel"/>
    <w:tmpl w:val="34A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A5126"/>
    <w:multiLevelType w:val="hybridMultilevel"/>
    <w:tmpl w:val="21BCA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4597E"/>
    <w:multiLevelType w:val="hybridMultilevel"/>
    <w:tmpl w:val="F0B27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94A4D"/>
    <w:multiLevelType w:val="hybridMultilevel"/>
    <w:tmpl w:val="5FACDCB2"/>
    <w:lvl w:ilvl="0" w:tplc="18B2B4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21BCA"/>
    <w:multiLevelType w:val="hybridMultilevel"/>
    <w:tmpl w:val="41304EE4"/>
    <w:lvl w:ilvl="0" w:tplc="B682171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255553">
    <w:abstractNumId w:val="6"/>
  </w:num>
  <w:num w:numId="2" w16cid:durableId="937755275">
    <w:abstractNumId w:val="12"/>
  </w:num>
  <w:num w:numId="3" w16cid:durableId="2094010927">
    <w:abstractNumId w:val="4"/>
  </w:num>
  <w:num w:numId="4" w16cid:durableId="559558792">
    <w:abstractNumId w:val="3"/>
  </w:num>
  <w:num w:numId="5" w16cid:durableId="842014710">
    <w:abstractNumId w:val="11"/>
  </w:num>
  <w:num w:numId="6" w16cid:durableId="797991012">
    <w:abstractNumId w:val="5"/>
  </w:num>
  <w:num w:numId="7" w16cid:durableId="1292906461">
    <w:abstractNumId w:val="9"/>
  </w:num>
  <w:num w:numId="8" w16cid:durableId="2146195613">
    <w:abstractNumId w:val="1"/>
  </w:num>
  <w:num w:numId="9" w16cid:durableId="161286625">
    <w:abstractNumId w:val="10"/>
  </w:num>
  <w:num w:numId="10" w16cid:durableId="1849254279">
    <w:abstractNumId w:val="0"/>
  </w:num>
  <w:num w:numId="11" w16cid:durableId="761608536">
    <w:abstractNumId w:val="8"/>
  </w:num>
  <w:num w:numId="12" w16cid:durableId="1629434766">
    <w:abstractNumId w:val="2"/>
  </w:num>
  <w:num w:numId="13" w16cid:durableId="1635480188">
    <w:abstractNumId w:val="13"/>
  </w:num>
  <w:num w:numId="14" w16cid:durableId="728111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fr-CA" w:vendorID="64" w:dllVersion="0" w:nlCheck="1" w:checkStyle="0"/>
  <w:activeWritingStyle w:appName="MSWord" w:lang="fr-CA" w:vendorID="64" w:dllVersion="4096" w:nlCheck="1" w:checkStyle="0"/>
  <w:activeWritingStyle w:appName="MSWord" w:lang="nb-NO" w:vendorID="64" w:dllVersion="0" w:nlCheck="1" w:checkStyle="0"/>
  <w:activeWritingStyle w:appName="MSWord" w:lang="de-DE" w:vendorID="64" w:dllVersion="0" w:nlCheck="1" w:checkStyle="0"/>
  <w:activeWritingStyle w:appName="MSWord" w:lang="fr-FR" w:vendorID="64" w:dllVersion="0" w:nlCheck="1" w:checkStyle="0"/>
  <w:activeWritingStyle w:appName="MSWord" w:lang="fr-FR" w:vendorID="64" w:dllVersion="4096" w:nlCheck="1" w:checkStyle="0"/>
  <w:activeWritingStyle w:appName="MSWord" w:lang="nb-NO"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CA"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0" w:nlCheck="1" w:checkStyle="0"/>
  <w:activeWritingStyle w:appName="MSWord" w:lang="nl-NL"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21"/>
    <w:rsid w:val="0000106D"/>
    <w:rsid w:val="00001D13"/>
    <w:rsid w:val="000025B1"/>
    <w:rsid w:val="00002C52"/>
    <w:rsid w:val="0000305F"/>
    <w:rsid w:val="00003337"/>
    <w:rsid w:val="000036BA"/>
    <w:rsid w:val="00003FF7"/>
    <w:rsid w:val="00004472"/>
    <w:rsid w:val="0000494B"/>
    <w:rsid w:val="0000504D"/>
    <w:rsid w:val="00007699"/>
    <w:rsid w:val="000100EC"/>
    <w:rsid w:val="000109A8"/>
    <w:rsid w:val="000113D3"/>
    <w:rsid w:val="000127D8"/>
    <w:rsid w:val="00013CD8"/>
    <w:rsid w:val="00013DBF"/>
    <w:rsid w:val="00015020"/>
    <w:rsid w:val="000150D0"/>
    <w:rsid w:val="00016977"/>
    <w:rsid w:val="00017735"/>
    <w:rsid w:val="0001793C"/>
    <w:rsid w:val="00020157"/>
    <w:rsid w:val="00021158"/>
    <w:rsid w:val="000219D0"/>
    <w:rsid w:val="0002235E"/>
    <w:rsid w:val="000228CB"/>
    <w:rsid w:val="0002294A"/>
    <w:rsid w:val="00023C62"/>
    <w:rsid w:val="00023DBD"/>
    <w:rsid w:val="00023DF5"/>
    <w:rsid w:val="00024618"/>
    <w:rsid w:val="0002599E"/>
    <w:rsid w:val="00026894"/>
    <w:rsid w:val="0002739F"/>
    <w:rsid w:val="0003002D"/>
    <w:rsid w:val="0003050B"/>
    <w:rsid w:val="00034E8C"/>
    <w:rsid w:val="00034FBF"/>
    <w:rsid w:val="000355C9"/>
    <w:rsid w:val="00035E24"/>
    <w:rsid w:val="00036410"/>
    <w:rsid w:val="00036517"/>
    <w:rsid w:val="000370F5"/>
    <w:rsid w:val="0003722D"/>
    <w:rsid w:val="000405DE"/>
    <w:rsid w:val="0004096E"/>
    <w:rsid w:val="00041E22"/>
    <w:rsid w:val="00041FB2"/>
    <w:rsid w:val="00042212"/>
    <w:rsid w:val="00042BDA"/>
    <w:rsid w:val="00042E84"/>
    <w:rsid w:val="00043884"/>
    <w:rsid w:val="00043899"/>
    <w:rsid w:val="000438AC"/>
    <w:rsid w:val="00043E64"/>
    <w:rsid w:val="00043FC9"/>
    <w:rsid w:val="00044143"/>
    <w:rsid w:val="00047F9B"/>
    <w:rsid w:val="00050092"/>
    <w:rsid w:val="00051378"/>
    <w:rsid w:val="000520F9"/>
    <w:rsid w:val="0005290F"/>
    <w:rsid w:val="000531F4"/>
    <w:rsid w:val="000538BA"/>
    <w:rsid w:val="00053C4F"/>
    <w:rsid w:val="00054C96"/>
    <w:rsid w:val="0005507E"/>
    <w:rsid w:val="00055504"/>
    <w:rsid w:val="000568E3"/>
    <w:rsid w:val="00056F5C"/>
    <w:rsid w:val="000575EF"/>
    <w:rsid w:val="00057D0D"/>
    <w:rsid w:val="00061A73"/>
    <w:rsid w:val="00061E13"/>
    <w:rsid w:val="00062816"/>
    <w:rsid w:val="00062F09"/>
    <w:rsid w:val="00063318"/>
    <w:rsid w:val="0006406C"/>
    <w:rsid w:val="000648E7"/>
    <w:rsid w:val="000649CF"/>
    <w:rsid w:val="00064CDD"/>
    <w:rsid w:val="0006558D"/>
    <w:rsid w:val="000659EE"/>
    <w:rsid w:val="000670DE"/>
    <w:rsid w:val="00067B52"/>
    <w:rsid w:val="00067F52"/>
    <w:rsid w:val="00070264"/>
    <w:rsid w:val="0007044F"/>
    <w:rsid w:val="00070C3D"/>
    <w:rsid w:val="000718AD"/>
    <w:rsid w:val="00072738"/>
    <w:rsid w:val="00074E22"/>
    <w:rsid w:val="00077984"/>
    <w:rsid w:val="00077A43"/>
    <w:rsid w:val="00080FBD"/>
    <w:rsid w:val="00081436"/>
    <w:rsid w:val="00081C14"/>
    <w:rsid w:val="000822C4"/>
    <w:rsid w:val="000835BC"/>
    <w:rsid w:val="00084989"/>
    <w:rsid w:val="00084FF5"/>
    <w:rsid w:val="0008571B"/>
    <w:rsid w:val="00085920"/>
    <w:rsid w:val="00085A2E"/>
    <w:rsid w:val="00087F34"/>
    <w:rsid w:val="00087F89"/>
    <w:rsid w:val="00090668"/>
    <w:rsid w:val="000907CB"/>
    <w:rsid w:val="00091903"/>
    <w:rsid w:val="00092211"/>
    <w:rsid w:val="00092BF8"/>
    <w:rsid w:val="00093620"/>
    <w:rsid w:val="00094B4C"/>
    <w:rsid w:val="00096CE2"/>
    <w:rsid w:val="00097C96"/>
    <w:rsid w:val="00097DA4"/>
    <w:rsid w:val="000A0CEC"/>
    <w:rsid w:val="000A2E9F"/>
    <w:rsid w:val="000A2F8F"/>
    <w:rsid w:val="000A33CF"/>
    <w:rsid w:val="000A5089"/>
    <w:rsid w:val="000A6802"/>
    <w:rsid w:val="000A76FC"/>
    <w:rsid w:val="000B076B"/>
    <w:rsid w:val="000B09A7"/>
    <w:rsid w:val="000B0FF6"/>
    <w:rsid w:val="000B12B0"/>
    <w:rsid w:val="000B14DF"/>
    <w:rsid w:val="000B2625"/>
    <w:rsid w:val="000B2A62"/>
    <w:rsid w:val="000B2CFC"/>
    <w:rsid w:val="000B37B5"/>
    <w:rsid w:val="000B37C2"/>
    <w:rsid w:val="000B382E"/>
    <w:rsid w:val="000B39C3"/>
    <w:rsid w:val="000B3D2C"/>
    <w:rsid w:val="000B4136"/>
    <w:rsid w:val="000B47ED"/>
    <w:rsid w:val="000B4FEC"/>
    <w:rsid w:val="000B51B1"/>
    <w:rsid w:val="000B524B"/>
    <w:rsid w:val="000B566E"/>
    <w:rsid w:val="000B587C"/>
    <w:rsid w:val="000B59DF"/>
    <w:rsid w:val="000B606A"/>
    <w:rsid w:val="000B617A"/>
    <w:rsid w:val="000B6C6A"/>
    <w:rsid w:val="000B74A2"/>
    <w:rsid w:val="000B826B"/>
    <w:rsid w:val="000C0BDF"/>
    <w:rsid w:val="000C2BC7"/>
    <w:rsid w:val="000C425D"/>
    <w:rsid w:val="000C5A9B"/>
    <w:rsid w:val="000D04B1"/>
    <w:rsid w:val="000D0B99"/>
    <w:rsid w:val="000D100D"/>
    <w:rsid w:val="000D1034"/>
    <w:rsid w:val="000D20B6"/>
    <w:rsid w:val="000D2E18"/>
    <w:rsid w:val="000D3F74"/>
    <w:rsid w:val="000D4D64"/>
    <w:rsid w:val="000D5533"/>
    <w:rsid w:val="000E0D80"/>
    <w:rsid w:val="000E206B"/>
    <w:rsid w:val="000E2DF7"/>
    <w:rsid w:val="000E4F00"/>
    <w:rsid w:val="000E50AF"/>
    <w:rsid w:val="000E554A"/>
    <w:rsid w:val="000E7155"/>
    <w:rsid w:val="000E738F"/>
    <w:rsid w:val="000F0130"/>
    <w:rsid w:val="000F03EE"/>
    <w:rsid w:val="000F333F"/>
    <w:rsid w:val="000F3A0B"/>
    <w:rsid w:val="000F43E1"/>
    <w:rsid w:val="000F55D9"/>
    <w:rsid w:val="000F6013"/>
    <w:rsid w:val="000F6C4C"/>
    <w:rsid w:val="000F7284"/>
    <w:rsid w:val="000F759B"/>
    <w:rsid w:val="000F75D0"/>
    <w:rsid w:val="00100409"/>
    <w:rsid w:val="00100A16"/>
    <w:rsid w:val="00100AD5"/>
    <w:rsid w:val="00101514"/>
    <w:rsid w:val="001027D3"/>
    <w:rsid w:val="00103020"/>
    <w:rsid w:val="001036D7"/>
    <w:rsid w:val="001039EB"/>
    <w:rsid w:val="00103D18"/>
    <w:rsid w:val="00104537"/>
    <w:rsid w:val="0010496A"/>
    <w:rsid w:val="00107217"/>
    <w:rsid w:val="00107DB8"/>
    <w:rsid w:val="00110326"/>
    <w:rsid w:val="00110A41"/>
    <w:rsid w:val="00111560"/>
    <w:rsid w:val="00112E9E"/>
    <w:rsid w:val="001133B0"/>
    <w:rsid w:val="00114294"/>
    <w:rsid w:val="001142F3"/>
    <w:rsid w:val="00114CAB"/>
    <w:rsid w:val="00114FF8"/>
    <w:rsid w:val="001151B2"/>
    <w:rsid w:val="00116F09"/>
    <w:rsid w:val="001174F9"/>
    <w:rsid w:val="001210A5"/>
    <w:rsid w:val="0012117F"/>
    <w:rsid w:val="00121894"/>
    <w:rsid w:val="001233CF"/>
    <w:rsid w:val="001242B8"/>
    <w:rsid w:val="00124741"/>
    <w:rsid w:val="00124AC7"/>
    <w:rsid w:val="001250DF"/>
    <w:rsid w:val="0012565C"/>
    <w:rsid w:val="001271B4"/>
    <w:rsid w:val="0012755A"/>
    <w:rsid w:val="00127775"/>
    <w:rsid w:val="00127CD0"/>
    <w:rsid w:val="00130D63"/>
    <w:rsid w:val="001320E9"/>
    <w:rsid w:val="0013294C"/>
    <w:rsid w:val="00132FD6"/>
    <w:rsid w:val="00133385"/>
    <w:rsid w:val="00133F31"/>
    <w:rsid w:val="00134F5B"/>
    <w:rsid w:val="00134F76"/>
    <w:rsid w:val="00136099"/>
    <w:rsid w:val="001360B3"/>
    <w:rsid w:val="001370A6"/>
    <w:rsid w:val="001375A6"/>
    <w:rsid w:val="00137C59"/>
    <w:rsid w:val="00137F49"/>
    <w:rsid w:val="001401B4"/>
    <w:rsid w:val="0014042A"/>
    <w:rsid w:val="00140E29"/>
    <w:rsid w:val="001411CE"/>
    <w:rsid w:val="00142167"/>
    <w:rsid w:val="001421DA"/>
    <w:rsid w:val="00142ADF"/>
    <w:rsid w:val="00143220"/>
    <w:rsid w:val="00143760"/>
    <w:rsid w:val="0014396D"/>
    <w:rsid w:val="00143AF4"/>
    <w:rsid w:val="00143D54"/>
    <w:rsid w:val="001450E5"/>
    <w:rsid w:val="00146998"/>
    <w:rsid w:val="0014711E"/>
    <w:rsid w:val="00147A03"/>
    <w:rsid w:val="001506DD"/>
    <w:rsid w:val="00150751"/>
    <w:rsid w:val="00151461"/>
    <w:rsid w:val="0015155F"/>
    <w:rsid w:val="00151A3C"/>
    <w:rsid w:val="00151BF9"/>
    <w:rsid w:val="00152198"/>
    <w:rsid w:val="00152FF2"/>
    <w:rsid w:val="0015475A"/>
    <w:rsid w:val="00154AE2"/>
    <w:rsid w:val="00156351"/>
    <w:rsid w:val="00156B77"/>
    <w:rsid w:val="00160330"/>
    <w:rsid w:val="00160907"/>
    <w:rsid w:val="00160A4F"/>
    <w:rsid w:val="00161377"/>
    <w:rsid w:val="0016140D"/>
    <w:rsid w:val="00161E52"/>
    <w:rsid w:val="00162898"/>
    <w:rsid w:val="00162CBD"/>
    <w:rsid w:val="00163257"/>
    <w:rsid w:val="00163EA3"/>
    <w:rsid w:val="00164619"/>
    <w:rsid w:val="001651AD"/>
    <w:rsid w:val="001657EC"/>
    <w:rsid w:val="00166348"/>
    <w:rsid w:val="00167275"/>
    <w:rsid w:val="00170610"/>
    <w:rsid w:val="001708DC"/>
    <w:rsid w:val="00170D54"/>
    <w:rsid w:val="00171797"/>
    <w:rsid w:val="0017203F"/>
    <w:rsid w:val="0017218D"/>
    <w:rsid w:val="00173204"/>
    <w:rsid w:val="0017368D"/>
    <w:rsid w:val="00173CB9"/>
    <w:rsid w:val="00174951"/>
    <w:rsid w:val="0017506E"/>
    <w:rsid w:val="001758AE"/>
    <w:rsid w:val="00176228"/>
    <w:rsid w:val="00176B39"/>
    <w:rsid w:val="00176C86"/>
    <w:rsid w:val="00180222"/>
    <w:rsid w:val="00180DC2"/>
    <w:rsid w:val="001829BC"/>
    <w:rsid w:val="00182F26"/>
    <w:rsid w:val="00184D7D"/>
    <w:rsid w:val="0018546F"/>
    <w:rsid w:val="00186389"/>
    <w:rsid w:val="00186576"/>
    <w:rsid w:val="00186636"/>
    <w:rsid w:val="00186A32"/>
    <w:rsid w:val="001915A5"/>
    <w:rsid w:val="0019168C"/>
    <w:rsid w:val="00192BAA"/>
    <w:rsid w:val="00193065"/>
    <w:rsid w:val="001931D8"/>
    <w:rsid w:val="00193C1D"/>
    <w:rsid w:val="00194B93"/>
    <w:rsid w:val="00195D4B"/>
    <w:rsid w:val="00196AED"/>
    <w:rsid w:val="00197140"/>
    <w:rsid w:val="0019771B"/>
    <w:rsid w:val="00197F85"/>
    <w:rsid w:val="001A02FD"/>
    <w:rsid w:val="001A0BC1"/>
    <w:rsid w:val="001A12BA"/>
    <w:rsid w:val="001A1351"/>
    <w:rsid w:val="001A4001"/>
    <w:rsid w:val="001A42A4"/>
    <w:rsid w:val="001A5FC0"/>
    <w:rsid w:val="001A680B"/>
    <w:rsid w:val="001A6D3C"/>
    <w:rsid w:val="001A7099"/>
    <w:rsid w:val="001A7869"/>
    <w:rsid w:val="001B16F9"/>
    <w:rsid w:val="001B1F50"/>
    <w:rsid w:val="001B2299"/>
    <w:rsid w:val="001B34F5"/>
    <w:rsid w:val="001B483A"/>
    <w:rsid w:val="001B79DF"/>
    <w:rsid w:val="001B7B63"/>
    <w:rsid w:val="001C0705"/>
    <w:rsid w:val="001C07F0"/>
    <w:rsid w:val="001C08D5"/>
    <w:rsid w:val="001C0DE1"/>
    <w:rsid w:val="001C0FDA"/>
    <w:rsid w:val="001C15D7"/>
    <w:rsid w:val="001C18F6"/>
    <w:rsid w:val="001C245B"/>
    <w:rsid w:val="001C2F27"/>
    <w:rsid w:val="001C311D"/>
    <w:rsid w:val="001C3593"/>
    <w:rsid w:val="001C40C9"/>
    <w:rsid w:val="001C4D33"/>
    <w:rsid w:val="001C51F5"/>
    <w:rsid w:val="001C657C"/>
    <w:rsid w:val="001C67F1"/>
    <w:rsid w:val="001C68F9"/>
    <w:rsid w:val="001C6E5D"/>
    <w:rsid w:val="001C71F9"/>
    <w:rsid w:val="001C7E6C"/>
    <w:rsid w:val="001D1429"/>
    <w:rsid w:val="001D14A8"/>
    <w:rsid w:val="001D2B27"/>
    <w:rsid w:val="001D4185"/>
    <w:rsid w:val="001D4928"/>
    <w:rsid w:val="001D4B20"/>
    <w:rsid w:val="001D5F67"/>
    <w:rsid w:val="001D6A8F"/>
    <w:rsid w:val="001D7DA7"/>
    <w:rsid w:val="001E044B"/>
    <w:rsid w:val="001E0DD7"/>
    <w:rsid w:val="001E17AC"/>
    <w:rsid w:val="001E22FE"/>
    <w:rsid w:val="001E28EC"/>
    <w:rsid w:val="001E294A"/>
    <w:rsid w:val="001E2A9D"/>
    <w:rsid w:val="001E440D"/>
    <w:rsid w:val="001E45F8"/>
    <w:rsid w:val="001E46AA"/>
    <w:rsid w:val="001E59B0"/>
    <w:rsid w:val="001E737E"/>
    <w:rsid w:val="001E7E26"/>
    <w:rsid w:val="001F019C"/>
    <w:rsid w:val="001F0714"/>
    <w:rsid w:val="001F0AED"/>
    <w:rsid w:val="001F2127"/>
    <w:rsid w:val="001F3A8A"/>
    <w:rsid w:val="001F4BCC"/>
    <w:rsid w:val="001F673E"/>
    <w:rsid w:val="001F6813"/>
    <w:rsid w:val="001F688E"/>
    <w:rsid w:val="001F6E2A"/>
    <w:rsid w:val="001F72F1"/>
    <w:rsid w:val="001F7C62"/>
    <w:rsid w:val="001F7E01"/>
    <w:rsid w:val="002002EE"/>
    <w:rsid w:val="00200792"/>
    <w:rsid w:val="002015DB"/>
    <w:rsid w:val="0020188E"/>
    <w:rsid w:val="00202C67"/>
    <w:rsid w:val="00202F5C"/>
    <w:rsid w:val="002049E2"/>
    <w:rsid w:val="0020551D"/>
    <w:rsid w:val="0020646F"/>
    <w:rsid w:val="00206D09"/>
    <w:rsid w:val="002070FA"/>
    <w:rsid w:val="00207645"/>
    <w:rsid w:val="00210F0F"/>
    <w:rsid w:val="00210FAE"/>
    <w:rsid w:val="00211702"/>
    <w:rsid w:val="00211ACD"/>
    <w:rsid w:val="00211BB2"/>
    <w:rsid w:val="00212AFB"/>
    <w:rsid w:val="002156C3"/>
    <w:rsid w:val="00215FFF"/>
    <w:rsid w:val="00220327"/>
    <w:rsid w:val="00220753"/>
    <w:rsid w:val="00220801"/>
    <w:rsid w:val="0022135C"/>
    <w:rsid w:val="0022188E"/>
    <w:rsid w:val="0022219F"/>
    <w:rsid w:val="002226DB"/>
    <w:rsid w:val="0022281C"/>
    <w:rsid w:val="00223022"/>
    <w:rsid w:val="00224B75"/>
    <w:rsid w:val="00224BF1"/>
    <w:rsid w:val="002254C0"/>
    <w:rsid w:val="00226527"/>
    <w:rsid w:val="00226F7F"/>
    <w:rsid w:val="002301A8"/>
    <w:rsid w:val="00230CC8"/>
    <w:rsid w:val="00232B6A"/>
    <w:rsid w:val="00233E5A"/>
    <w:rsid w:val="00234490"/>
    <w:rsid w:val="0023466F"/>
    <w:rsid w:val="00234AA0"/>
    <w:rsid w:val="00235455"/>
    <w:rsid w:val="0023588A"/>
    <w:rsid w:val="002372B7"/>
    <w:rsid w:val="00237335"/>
    <w:rsid w:val="00237589"/>
    <w:rsid w:val="00237A42"/>
    <w:rsid w:val="0024223C"/>
    <w:rsid w:val="00243502"/>
    <w:rsid w:val="00243A2A"/>
    <w:rsid w:val="00243D0E"/>
    <w:rsid w:val="00243D67"/>
    <w:rsid w:val="00243F57"/>
    <w:rsid w:val="00245D26"/>
    <w:rsid w:val="00245DEC"/>
    <w:rsid w:val="00245EA2"/>
    <w:rsid w:val="00246CCC"/>
    <w:rsid w:val="002503A4"/>
    <w:rsid w:val="00250414"/>
    <w:rsid w:val="002509E1"/>
    <w:rsid w:val="00251263"/>
    <w:rsid w:val="00251569"/>
    <w:rsid w:val="00252A94"/>
    <w:rsid w:val="002534FF"/>
    <w:rsid w:val="00253AB7"/>
    <w:rsid w:val="00254489"/>
    <w:rsid w:val="00254834"/>
    <w:rsid w:val="0025546D"/>
    <w:rsid w:val="002555B7"/>
    <w:rsid w:val="00256816"/>
    <w:rsid w:val="00256E6C"/>
    <w:rsid w:val="00260F86"/>
    <w:rsid w:val="00262232"/>
    <w:rsid w:val="00262707"/>
    <w:rsid w:val="0026558A"/>
    <w:rsid w:val="00265AAD"/>
    <w:rsid w:val="0026689F"/>
    <w:rsid w:val="00270E74"/>
    <w:rsid w:val="00270F4D"/>
    <w:rsid w:val="00272140"/>
    <w:rsid w:val="002723B3"/>
    <w:rsid w:val="002739F6"/>
    <w:rsid w:val="0027449F"/>
    <w:rsid w:val="002744EF"/>
    <w:rsid w:val="00274DD6"/>
    <w:rsid w:val="002754FB"/>
    <w:rsid w:val="00275618"/>
    <w:rsid w:val="00275BC8"/>
    <w:rsid w:val="00276448"/>
    <w:rsid w:val="002809FA"/>
    <w:rsid w:val="00280A97"/>
    <w:rsid w:val="00280C57"/>
    <w:rsid w:val="0028170D"/>
    <w:rsid w:val="00281B8D"/>
    <w:rsid w:val="00282141"/>
    <w:rsid w:val="00283396"/>
    <w:rsid w:val="00283E6F"/>
    <w:rsid w:val="0028490D"/>
    <w:rsid w:val="00284A17"/>
    <w:rsid w:val="00284AFD"/>
    <w:rsid w:val="0028504A"/>
    <w:rsid w:val="002853FF"/>
    <w:rsid w:val="00290A30"/>
    <w:rsid w:val="00290B5A"/>
    <w:rsid w:val="00290FA7"/>
    <w:rsid w:val="00291015"/>
    <w:rsid w:val="00291966"/>
    <w:rsid w:val="00292915"/>
    <w:rsid w:val="00292BFE"/>
    <w:rsid w:val="00292CB4"/>
    <w:rsid w:val="0029301E"/>
    <w:rsid w:val="0029389F"/>
    <w:rsid w:val="00293B9C"/>
    <w:rsid w:val="0029502F"/>
    <w:rsid w:val="00295036"/>
    <w:rsid w:val="00296AA7"/>
    <w:rsid w:val="00296AF8"/>
    <w:rsid w:val="00296D47"/>
    <w:rsid w:val="00296FF1"/>
    <w:rsid w:val="00297714"/>
    <w:rsid w:val="002A021D"/>
    <w:rsid w:val="002A0B15"/>
    <w:rsid w:val="002A0FD3"/>
    <w:rsid w:val="002A126B"/>
    <w:rsid w:val="002A2289"/>
    <w:rsid w:val="002A2D75"/>
    <w:rsid w:val="002A40AE"/>
    <w:rsid w:val="002A4705"/>
    <w:rsid w:val="002A50D9"/>
    <w:rsid w:val="002A53F7"/>
    <w:rsid w:val="002A6A82"/>
    <w:rsid w:val="002B1B9E"/>
    <w:rsid w:val="002B244E"/>
    <w:rsid w:val="002B2870"/>
    <w:rsid w:val="002B2D56"/>
    <w:rsid w:val="002B4383"/>
    <w:rsid w:val="002B59CD"/>
    <w:rsid w:val="002B6B18"/>
    <w:rsid w:val="002B7247"/>
    <w:rsid w:val="002B7346"/>
    <w:rsid w:val="002B7BC5"/>
    <w:rsid w:val="002C05ED"/>
    <w:rsid w:val="002C0836"/>
    <w:rsid w:val="002C1E79"/>
    <w:rsid w:val="002C35C3"/>
    <w:rsid w:val="002C38EF"/>
    <w:rsid w:val="002C443E"/>
    <w:rsid w:val="002C4C6A"/>
    <w:rsid w:val="002C581F"/>
    <w:rsid w:val="002C5E4C"/>
    <w:rsid w:val="002C5EFF"/>
    <w:rsid w:val="002C6776"/>
    <w:rsid w:val="002C7189"/>
    <w:rsid w:val="002C7492"/>
    <w:rsid w:val="002D0D21"/>
    <w:rsid w:val="002D2250"/>
    <w:rsid w:val="002D2614"/>
    <w:rsid w:val="002D3381"/>
    <w:rsid w:val="002D41E6"/>
    <w:rsid w:val="002D4F82"/>
    <w:rsid w:val="002D57A4"/>
    <w:rsid w:val="002D5897"/>
    <w:rsid w:val="002D5BB0"/>
    <w:rsid w:val="002D678B"/>
    <w:rsid w:val="002D7777"/>
    <w:rsid w:val="002D7B72"/>
    <w:rsid w:val="002E04F0"/>
    <w:rsid w:val="002E0C7F"/>
    <w:rsid w:val="002E1EC9"/>
    <w:rsid w:val="002E2035"/>
    <w:rsid w:val="002E2276"/>
    <w:rsid w:val="002E2D68"/>
    <w:rsid w:val="002E318F"/>
    <w:rsid w:val="002E374A"/>
    <w:rsid w:val="002E49DC"/>
    <w:rsid w:val="002E4D78"/>
    <w:rsid w:val="002E51D4"/>
    <w:rsid w:val="002E5CBD"/>
    <w:rsid w:val="002E5D9F"/>
    <w:rsid w:val="002E5E05"/>
    <w:rsid w:val="002E6212"/>
    <w:rsid w:val="002E6ED3"/>
    <w:rsid w:val="002E72DF"/>
    <w:rsid w:val="002E7E55"/>
    <w:rsid w:val="002F0035"/>
    <w:rsid w:val="002F020D"/>
    <w:rsid w:val="002F0752"/>
    <w:rsid w:val="002F10EF"/>
    <w:rsid w:val="002F36D2"/>
    <w:rsid w:val="002F37E6"/>
    <w:rsid w:val="002F3C6A"/>
    <w:rsid w:val="002F4498"/>
    <w:rsid w:val="002F52D3"/>
    <w:rsid w:val="002F5DAE"/>
    <w:rsid w:val="002F6438"/>
    <w:rsid w:val="002F669E"/>
    <w:rsid w:val="002F6911"/>
    <w:rsid w:val="0030066C"/>
    <w:rsid w:val="00300C4F"/>
    <w:rsid w:val="003014A1"/>
    <w:rsid w:val="00303289"/>
    <w:rsid w:val="00303EEB"/>
    <w:rsid w:val="00304EEA"/>
    <w:rsid w:val="00306C4B"/>
    <w:rsid w:val="00307F21"/>
    <w:rsid w:val="00310410"/>
    <w:rsid w:val="0031041D"/>
    <w:rsid w:val="0031049F"/>
    <w:rsid w:val="00310C37"/>
    <w:rsid w:val="00310D6B"/>
    <w:rsid w:val="00312BC0"/>
    <w:rsid w:val="00312DD4"/>
    <w:rsid w:val="003133AB"/>
    <w:rsid w:val="00313485"/>
    <w:rsid w:val="00314BCF"/>
    <w:rsid w:val="00315895"/>
    <w:rsid w:val="00315ECF"/>
    <w:rsid w:val="00316C8E"/>
    <w:rsid w:val="00316D1C"/>
    <w:rsid w:val="00320459"/>
    <w:rsid w:val="00320693"/>
    <w:rsid w:val="00321A61"/>
    <w:rsid w:val="00322A2C"/>
    <w:rsid w:val="0032425F"/>
    <w:rsid w:val="00324810"/>
    <w:rsid w:val="00325763"/>
    <w:rsid w:val="00325F9C"/>
    <w:rsid w:val="00326787"/>
    <w:rsid w:val="00326807"/>
    <w:rsid w:val="00326ABF"/>
    <w:rsid w:val="00326D32"/>
    <w:rsid w:val="00330247"/>
    <w:rsid w:val="00331109"/>
    <w:rsid w:val="0033131E"/>
    <w:rsid w:val="00331AEE"/>
    <w:rsid w:val="00332039"/>
    <w:rsid w:val="00332300"/>
    <w:rsid w:val="00332680"/>
    <w:rsid w:val="00332752"/>
    <w:rsid w:val="0033281A"/>
    <w:rsid w:val="00332855"/>
    <w:rsid w:val="003328B5"/>
    <w:rsid w:val="003329D7"/>
    <w:rsid w:val="00333101"/>
    <w:rsid w:val="003339D7"/>
    <w:rsid w:val="0033447F"/>
    <w:rsid w:val="00334553"/>
    <w:rsid w:val="00334ACA"/>
    <w:rsid w:val="00335809"/>
    <w:rsid w:val="00336EF6"/>
    <w:rsid w:val="0034112A"/>
    <w:rsid w:val="00341228"/>
    <w:rsid w:val="00341231"/>
    <w:rsid w:val="0034226E"/>
    <w:rsid w:val="00343544"/>
    <w:rsid w:val="00343834"/>
    <w:rsid w:val="00345FB7"/>
    <w:rsid w:val="00346D86"/>
    <w:rsid w:val="00347446"/>
    <w:rsid w:val="00350435"/>
    <w:rsid w:val="00350E24"/>
    <w:rsid w:val="00351034"/>
    <w:rsid w:val="0035209E"/>
    <w:rsid w:val="00352617"/>
    <w:rsid w:val="00352A06"/>
    <w:rsid w:val="00352AD6"/>
    <w:rsid w:val="00353913"/>
    <w:rsid w:val="00353DBD"/>
    <w:rsid w:val="00354C73"/>
    <w:rsid w:val="00354CA5"/>
    <w:rsid w:val="00354EE9"/>
    <w:rsid w:val="003577BA"/>
    <w:rsid w:val="00357CFE"/>
    <w:rsid w:val="00360560"/>
    <w:rsid w:val="003607F7"/>
    <w:rsid w:val="00360BAD"/>
    <w:rsid w:val="00360CD4"/>
    <w:rsid w:val="003610A2"/>
    <w:rsid w:val="00361D20"/>
    <w:rsid w:val="00362C1D"/>
    <w:rsid w:val="003638E5"/>
    <w:rsid w:val="00363C9F"/>
    <w:rsid w:val="0036515B"/>
    <w:rsid w:val="003651D0"/>
    <w:rsid w:val="003662FF"/>
    <w:rsid w:val="00366B8E"/>
    <w:rsid w:val="00366C3E"/>
    <w:rsid w:val="00367C2B"/>
    <w:rsid w:val="00372010"/>
    <w:rsid w:val="00372A04"/>
    <w:rsid w:val="00372C96"/>
    <w:rsid w:val="00372EAC"/>
    <w:rsid w:val="003736B2"/>
    <w:rsid w:val="00373771"/>
    <w:rsid w:val="0037416E"/>
    <w:rsid w:val="003746AA"/>
    <w:rsid w:val="00375B2A"/>
    <w:rsid w:val="003760CA"/>
    <w:rsid w:val="0037694B"/>
    <w:rsid w:val="00377910"/>
    <w:rsid w:val="00377C68"/>
    <w:rsid w:val="00377CDE"/>
    <w:rsid w:val="003804E4"/>
    <w:rsid w:val="00380B93"/>
    <w:rsid w:val="00381209"/>
    <w:rsid w:val="00381468"/>
    <w:rsid w:val="0038160F"/>
    <w:rsid w:val="003819ED"/>
    <w:rsid w:val="00381F7A"/>
    <w:rsid w:val="00381FCB"/>
    <w:rsid w:val="003824A1"/>
    <w:rsid w:val="00382699"/>
    <w:rsid w:val="00383391"/>
    <w:rsid w:val="00384655"/>
    <w:rsid w:val="00384D50"/>
    <w:rsid w:val="00385F16"/>
    <w:rsid w:val="0038627D"/>
    <w:rsid w:val="00386820"/>
    <w:rsid w:val="003870D4"/>
    <w:rsid w:val="00390C6E"/>
    <w:rsid w:val="00391493"/>
    <w:rsid w:val="00391878"/>
    <w:rsid w:val="00391DB2"/>
    <w:rsid w:val="003920F9"/>
    <w:rsid w:val="003921DD"/>
    <w:rsid w:val="003923EA"/>
    <w:rsid w:val="00393B4A"/>
    <w:rsid w:val="00395577"/>
    <w:rsid w:val="00395E9F"/>
    <w:rsid w:val="0039720D"/>
    <w:rsid w:val="00397223"/>
    <w:rsid w:val="003A007D"/>
    <w:rsid w:val="003A039F"/>
    <w:rsid w:val="003A0F6B"/>
    <w:rsid w:val="003A31D4"/>
    <w:rsid w:val="003A375E"/>
    <w:rsid w:val="003A47E7"/>
    <w:rsid w:val="003A4A4C"/>
    <w:rsid w:val="003A5407"/>
    <w:rsid w:val="003A59D1"/>
    <w:rsid w:val="003A6143"/>
    <w:rsid w:val="003A6675"/>
    <w:rsid w:val="003A6F07"/>
    <w:rsid w:val="003A75C0"/>
    <w:rsid w:val="003B005F"/>
    <w:rsid w:val="003B043F"/>
    <w:rsid w:val="003B0FEA"/>
    <w:rsid w:val="003B1477"/>
    <w:rsid w:val="003B1DE4"/>
    <w:rsid w:val="003B22B8"/>
    <w:rsid w:val="003B3A87"/>
    <w:rsid w:val="003B3BCA"/>
    <w:rsid w:val="003B45BB"/>
    <w:rsid w:val="003B4C6E"/>
    <w:rsid w:val="003B4F25"/>
    <w:rsid w:val="003B6607"/>
    <w:rsid w:val="003B6745"/>
    <w:rsid w:val="003B7047"/>
    <w:rsid w:val="003B70AF"/>
    <w:rsid w:val="003B7102"/>
    <w:rsid w:val="003C0380"/>
    <w:rsid w:val="003C13B2"/>
    <w:rsid w:val="003C1E36"/>
    <w:rsid w:val="003C26F6"/>
    <w:rsid w:val="003C2EAE"/>
    <w:rsid w:val="003C3230"/>
    <w:rsid w:val="003C35F8"/>
    <w:rsid w:val="003C3AF0"/>
    <w:rsid w:val="003C4106"/>
    <w:rsid w:val="003C4298"/>
    <w:rsid w:val="003C4D43"/>
    <w:rsid w:val="003C511D"/>
    <w:rsid w:val="003C5E5F"/>
    <w:rsid w:val="003C5FE2"/>
    <w:rsid w:val="003C67FB"/>
    <w:rsid w:val="003D03A3"/>
    <w:rsid w:val="003D14A0"/>
    <w:rsid w:val="003D312C"/>
    <w:rsid w:val="003D3E8E"/>
    <w:rsid w:val="003D40EF"/>
    <w:rsid w:val="003D4C0A"/>
    <w:rsid w:val="003D5063"/>
    <w:rsid w:val="003D59A4"/>
    <w:rsid w:val="003D60EF"/>
    <w:rsid w:val="003D6422"/>
    <w:rsid w:val="003D7F71"/>
    <w:rsid w:val="003E09EC"/>
    <w:rsid w:val="003E1E51"/>
    <w:rsid w:val="003E2187"/>
    <w:rsid w:val="003E3D1A"/>
    <w:rsid w:val="003E44ED"/>
    <w:rsid w:val="003E48C6"/>
    <w:rsid w:val="003E4BAB"/>
    <w:rsid w:val="003E50FF"/>
    <w:rsid w:val="003E6631"/>
    <w:rsid w:val="003E6DC1"/>
    <w:rsid w:val="003E73B3"/>
    <w:rsid w:val="003E7C91"/>
    <w:rsid w:val="003F0B79"/>
    <w:rsid w:val="003F1E69"/>
    <w:rsid w:val="003F2081"/>
    <w:rsid w:val="003F26E1"/>
    <w:rsid w:val="003F27D6"/>
    <w:rsid w:val="003F2EF5"/>
    <w:rsid w:val="003F40CA"/>
    <w:rsid w:val="003F4F96"/>
    <w:rsid w:val="003F50AA"/>
    <w:rsid w:val="003F517C"/>
    <w:rsid w:val="003F5574"/>
    <w:rsid w:val="003F5FD3"/>
    <w:rsid w:val="003F626D"/>
    <w:rsid w:val="003F6E6C"/>
    <w:rsid w:val="004000F0"/>
    <w:rsid w:val="004008F4"/>
    <w:rsid w:val="00401B09"/>
    <w:rsid w:val="00401C3E"/>
    <w:rsid w:val="004029ED"/>
    <w:rsid w:val="00402D65"/>
    <w:rsid w:val="00402F4B"/>
    <w:rsid w:val="00403E0E"/>
    <w:rsid w:val="0040565F"/>
    <w:rsid w:val="00405BB2"/>
    <w:rsid w:val="004061FC"/>
    <w:rsid w:val="00407DB5"/>
    <w:rsid w:val="0041008B"/>
    <w:rsid w:val="00410A3A"/>
    <w:rsid w:val="00411A67"/>
    <w:rsid w:val="00411A7E"/>
    <w:rsid w:val="00411D06"/>
    <w:rsid w:val="00412A3E"/>
    <w:rsid w:val="004134D1"/>
    <w:rsid w:val="00413D52"/>
    <w:rsid w:val="00414DB7"/>
    <w:rsid w:val="004161D0"/>
    <w:rsid w:val="00416B9A"/>
    <w:rsid w:val="004170EC"/>
    <w:rsid w:val="004172F5"/>
    <w:rsid w:val="004173EB"/>
    <w:rsid w:val="004179FF"/>
    <w:rsid w:val="00417CB8"/>
    <w:rsid w:val="00421FC7"/>
    <w:rsid w:val="004225E5"/>
    <w:rsid w:val="00422665"/>
    <w:rsid w:val="00422C33"/>
    <w:rsid w:val="00424863"/>
    <w:rsid w:val="00424D96"/>
    <w:rsid w:val="00425453"/>
    <w:rsid w:val="00427A77"/>
    <w:rsid w:val="00427C6D"/>
    <w:rsid w:val="00427CD9"/>
    <w:rsid w:val="00430D11"/>
    <w:rsid w:val="004335F4"/>
    <w:rsid w:val="00433D9B"/>
    <w:rsid w:val="00435442"/>
    <w:rsid w:val="004364E6"/>
    <w:rsid w:val="00436573"/>
    <w:rsid w:val="00436A08"/>
    <w:rsid w:val="004403C8"/>
    <w:rsid w:val="00440DD8"/>
    <w:rsid w:val="0044163D"/>
    <w:rsid w:val="00441764"/>
    <w:rsid w:val="00442485"/>
    <w:rsid w:val="0044268C"/>
    <w:rsid w:val="004447DD"/>
    <w:rsid w:val="00444848"/>
    <w:rsid w:val="004449BD"/>
    <w:rsid w:val="0044550E"/>
    <w:rsid w:val="004465C9"/>
    <w:rsid w:val="004468BE"/>
    <w:rsid w:val="004469D9"/>
    <w:rsid w:val="004472D7"/>
    <w:rsid w:val="00450110"/>
    <w:rsid w:val="00450CAA"/>
    <w:rsid w:val="00451B4D"/>
    <w:rsid w:val="00452191"/>
    <w:rsid w:val="00452FF9"/>
    <w:rsid w:val="004535CA"/>
    <w:rsid w:val="00453FB5"/>
    <w:rsid w:val="004546B3"/>
    <w:rsid w:val="004547DD"/>
    <w:rsid w:val="004557BE"/>
    <w:rsid w:val="00455981"/>
    <w:rsid w:val="00455E54"/>
    <w:rsid w:val="00456ACD"/>
    <w:rsid w:val="00457182"/>
    <w:rsid w:val="004572EA"/>
    <w:rsid w:val="004606AB"/>
    <w:rsid w:val="00460C0F"/>
    <w:rsid w:val="00460F1F"/>
    <w:rsid w:val="00462845"/>
    <w:rsid w:val="00462FE6"/>
    <w:rsid w:val="004639EF"/>
    <w:rsid w:val="00464125"/>
    <w:rsid w:val="00464D58"/>
    <w:rsid w:val="0046513F"/>
    <w:rsid w:val="00465BF8"/>
    <w:rsid w:val="00465CE3"/>
    <w:rsid w:val="00467CAB"/>
    <w:rsid w:val="00472A67"/>
    <w:rsid w:val="004739AD"/>
    <w:rsid w:val="00473AF1"/>
    <w:rsid w:val="004742FD"/>
    <w:rsid w:val="00474A4A"/>
    <w:rsid w:val="004752CC"/>
    <w:rsid w:val="0047530E"/>
    <w:rsid w:val="004759CB"/>
    <w:rsid w:val="00476D37"/>
    <w:rsid w:val="0048078D"/>
    <w:rsid w:val="0048084B"/>
    <w:rsid w:val="0048112D"/>
    <w:rsid w:val="0048138A"/>
    <w:rsid w:val="00481736"/>
    <w:rsid w:val="00481755"/>
    <w:rsid w:val="00482C22"/>
    <w:rsid w:val="004836A9"/>
    <w:rsid w:val="00483B8E"/>
    <w:rsid w:val="00483C8F"/>
    <w:rsid w:val="0048448F"/>
    <w:rsid w:val="004844DC"/>
    <w:rsid w:val="00484A19"/>
    <w:rsid w:val="00484BF7"/>
    <w:rsid w:val="00485404"/>
    <w:rsid w:val="0048548A"/>
    <w:rsid w:val="00485771"/>
    <w:rsid w:val="004865EE"/>
    <w:rsid w:val="00486CED"/>
    <w:rsid w:val="00486E25"/>
    <w:rsid w:val="0048731B"/>
    <w:rsid w:val="004878A6"/>
    <w:rsid w:val="00490A5B"/>
    <w:rsid w:val="00490BF9"/>
    <w:rsid w:val="00491B5A"/>
    <w:rsid w:val="00493466"/>
    <w:rsid w:val="0049390B"/>
    <w:rsid w:val="00494321"/>
    <w:rsid w:val="00494698"/>
    <w:rsid w:val="00495022"/>
    <w:rsid w:val="0049548D"/>
    <w:rsid w:val="0049573F"/>
    <w:rsid w:val="00495CE6"/>
    <w:rsid w:val="00496520"/>
    <w:rsid w:val="00497111"/>
    <w:rsid w:val="00497699"/>
    <w:rsid w:val="0049FAE9"/>
    <w:rsid w:val="004A04B6"/>
    <w:rsid w:val="004A0BBF"/>
    <w:rsid w:val="004A1BBB"/>
    <w:rsid w:val="004A2864"/>
    <w:rsid w:val="004A33D9"/>
    <w:rsid w:val="004A4183"/>
    <w:rsid w:val="004A45BE"/>
    <w:rsid w:val="004A5F2E"/>
    <w:rsid w:val="004A6E69"/>
    <w:rsid w:val="004A7545"/>
    <w:rsid w:val="004A794C"/>
    <w:rsid w:val="004B03A1"/>
    <w:rsid w:val="004B1258"/>
    <w:rsid w:val="004B1276"/>
    <w:rsid w:val="004B1342"/>
    <w:rsid w:val="004B1959"/>
    <w:rsid w:val="004B25AF"/>
    <w:rsid w:val="004B26B1"/>
    <w:rsid w:val="004B4C76"/>
    <w:rsid w:val="004B4EED"/>
    <w:rsid w:val="004B68D2"/>
    <w:rsid w:val="004B6E51"/>
    <w:rsid w:val="004C0069"/>
    <w:rsid w:val="004C011A"/>
    <w:rsid w:val="004C05BE"/>
    <w:rsid w:val="004C0B75"/>
    <w:rsid w:val="004C2043"/>
    <w:rsid w:val="004C255C"/>
    <w:rsid w:val="004C2AB5"/>
    <w:rsid w:val="004C4129"/>
    <w:rsid w:val="004C45A3"/>
    <w:rsid w:val="004C4CB9"/>
    <w:rsid w:val="004C50B9"/>
    <w:rsid w:val="004C5F34"/>
    <w:rsid w:val="004C5F57"/>
    <w:rsid w:val="004C67A4"/>
    <w:rsid w:val="004C6C40"/>
    <w:rsid w:val="004C6C41"/>
    <w:rsid w:val="004C7992"/>
    <w:rsid w:val="004C7D53"/>
    <w:rsid w:val="004D03CC"/>
    <w:rsid w:val="004D0CA4"/>
    <w:rsid w:val="004D11B3"/>
    <w:rsid w:val="004D4008"/>
    <w:rsid w:val="004D5755"/>
    <w:rsid w:val="004D7045"/>
    <w:rsid w:val="004D7B71"/>
    <w:rsid w:val="004D7D72"/>
    <w:rsid w:val="004E1196"/>
    <w:rsid w:val="004E29F4"/>
    <w:rsid w:val="004E2A43"/>
    <w:rsid w:val="004E2ACD"/>
    <w:rsid w:val="004E2DCA"/>
    <w:rsid w:val="004E320B"/>
    <w:rsid w:val="004E3CF5"/>
    <w:rsid w:val="004E3DA7"/>
    <w:rsid w:val="004E43C1"/>
    <w:rsid w:val="004E553F"/>
    <w:rsid w:val="004E562C"/>
    <w:rsid w:val="004E5C38"/>
    <w:rsid w:val="004E69FE"/>
    <w:rsid w:val="004E7687"/>
    <w:rsid w:val="004E7982"/>
    <w:rsid w:val="004F0442"/>
    <w:rsid w:val="004F0522"/>
    <w:rsid w:val="004F0CF7"/>
    <w:rsid w:val="004F1346"/>
    <w:rsid w:val="004F187A"/>
    <w:rsid w:val="004F1902"/>
    <w:rsid w:val="004F203D"/>
    <w:rsid w:val="004F24E3"/>
    <w:rsid w:val="004F2F6A"/>
    <w:rsid w:val="004F40B2"/>
    <w:rsid w:val="004F42DC"/>
    <w:rsid w:val="004F4F9B"/>
    <w:rsid w:val="004F5201"/>
    <w:rsid w:val="004F55FF"/>
    <w:rsid w:val="004F6981"/>
    <w:rsid w:val="004F7117"/>
    <w:rsid w:val="00500586"/>
    <w:rsid w:val="00501001"/>
    <w:rsid w:val="00501037"/>
    <w:rsid w:val="00502361"/>
    <w:rsid w:val="0050352A"/>
    <w:rsid w:val="00504A86"/>
    <w:rsid w:val="00505F5C"/>
    <w:rsid w:val="005075FC"/>
    <w:rsid w:val="005077B6"/>
    <w:rsid w:val="005110DE"/>
    <w:rsid w:val="00511931"/>
    <w:rsid w:val="005130FF"/>
    <w:rsid w:val="00514B34"/>
    <w:rsid w:val="00515035"/>
    <w:rsid w:val="00515897"/>
    <w:rsid w:val="00516852"/>
    <w:rsid w:val="005221A4"/>
    <w:rsid w:val="0052248E"/>
    <w:rsid w:val="00522CAA"/>
    <w:rsid w:val="00524038"/>
    <w:rsid w:val="00524231"/>
    <w:rsid w:val="00524461"/>
    <w:rsid w:val="005245E6"/>
    <w:rsid w:val="005248B9"/>
    <w:rsid w:val="00524D68"/>
    <w:rsid w:val="005255BD"/>
    <w:rsid w:val="005257D4"/>
    <w:rsid w:val="00525FF3"/>
    <w:rsid w:val="0052666F"/>
    <w:rsid w:val="005266D8"/>
    <w:rsid w:val="00526A2C"/>
    <w:rsid w:val="00526D94"/>
    <w:rsid w:val="00527F10"/>
    <w:rsid w:val="0053011D"/>
    <w:rsid w:val="005304ED"/>
    <w:rsid w:val="005305F2"/>
    <w:rsid w:val="00531094"/>
    <w:rsid w:val="00531264"/>
    <w:rsid w:val="005315D7"/>
    <w:rsid w:val="005331AA"/>
    <w:rsid w:val="00533E46"/>
    <w:rsid w:val="00534118"/>
    <w:rsid w:val="00534397"/>
    <w:rsid w:val="00534548"/>
    <w:rsid w:val="00536BE8"/>
    <w:rsid w:val="00540332"/>
    <w:rsid w:val="0054056B"/>
    <w:rsid w:val="00540B54"/>
    <w:rsid w:val="00542117"/>
    <w:rsid w:val="00542232"/>
    <w:rsid w:val="005430D3"/>
    <w:rsid w:val="005433BB"/>
    <w:rsid w:val="005443FC"/>
    <w:rsid w:val="00544B7C"/>
    <w:rsid w:val="005453A5"/>
    <w:rsid w:val="00545497"/>
    <w:rsid w:val="005458CC"/>
    <w:rsid w:val="00545F91"/>
    <w:rsid w:val="00546089"/>
    <w:rsid w:val="00546203"/>
    <w:rsid w:val="005462D0"/>
    <w:rsid w:val="005479C1"/>
    <w:rsid w:val="0055022E"/>
    <w:rsid w:val="005508EE"/>
    <w:rsid w:val="00550B9C"/>
    <w:rsid w:val="00550CB2"/>
    <w:rsid w:val="00550DEF"/>
    <w:rsid w:val="00551804"/>
    <w:rsid w:val="00551A68"/>
    <w:rsid w:val="00551D5A"/>
    <w:rsid w:val="0055246B"/>
    <w:rsid w:val="0055248D"/>
    <w:rsid w:val="00552828"/>
    <w:rsid w:val="00552DE7"/>
    <w:rsid w:val="005542C6"/>
    <w:rsid w:val="005549BD"/>
    <w:rsid w:val="00554DFC"/>
    <w:rsid w:val="00555E93"/>
    <w:rsid w:val="00556030"/>
    <w:rsid w:val="00556287"/>
    <w:rsid w:val="00556F22"/>
    <w:rsid w:val="00557072"/>
    <w:rsid w:val="00557514"/>
    <w:rsid w:val="005578D3"/>
    <w:rsid w:val="00557EB8"/>
    <w:rsid w:val="00560079"/>
    <w:rsid w:val="00561E3E"/>
    <w:rsid w:val="0056251D"/>
    <w:rsid w:val="0056253E"/>
    <w:rsid w:val="005627BC"/>
    <w:rsid w:val="0056282F"/>
    <w:rsid w:val="005628F1"/>
    <w:rsid w:val="00562C14"/>
    <w:rsid w:val="005631EA"/>
    <w:rsid w:val="0056381A"/>
    <w:rsid w:val="00563CE2"/>
    <w:rsid w:val="00564281"/>
    <w:rsid w:val="00564C07"/>
    <w:rsid w:val="00565822"/>
    <w:rsid w:val="00565CAB"/>
    <w:rsid w:val="00566119"/>
    <w:rsid w:val="005662CF"/>
    <w:rsid w:val="0057095E"/>
    <w:rsid w:val="00570C11"/>
    <w:rsid w:val="00570DB2"/>
    <w:rsid w:val="0057157F"/>
    <w:rsid w:val="005732EE"/>
    <w:rsid w:val="005736C6"/>
    <w:rsid w:val="00573AC5"/>
    <w:rsid w:val="00574CCB"/>
    <w:rsid w:val="00576D90"/>
    <w:rsid w:val="00577713"/>
    <w:rsid w:val="00577DDF"/>
    <w:rsid w:val="005820D6"/>
    <w:rsid w:val="0058367A"/>
    <w:rsid w:val="00583C67"/>
    <w:rsid w:val="00584087"/>
    <w:rsid w:val="00585175"/>
    <w:rsid w:val="00585885"/>
    <w:rsid w:val="00586E45"/>
    <w:rsid w:val="00587CB8"/>
    <w:rsid w:val="00587E11"/>
    <w:rsid w:val="005908B1"/>
    <w:rsid w:val="0059107D"/>
    <w:rsid w:val="005910A3"/>
    <w:rsid w:val="005914A3"/>
    <w:rsid w:val="00591FB0"/>
    <w:rsid w:val="00592348"/>
    <w:rsid w:val="005932A7"/>
    <w:rsid w:val="00593F03"/>
    <w:rsid w:val="00594019"/>
    <w:rsid w:val="005945FC"/>
    <w:rsid w:val="00594974"/>
    <w:rsid w:val="005949F5"/>
    <w:rsid w:val="005963C7"/>
    <w:rsid w:val="00596674"/>
    <w:rsid w:val="005966C2"/>
    <w:rsid w:val="00596766"/>
    <w:rsid w:val="00596CD1"/>
    <w:rsid w:val="00596E68"/>
    <w:rsid w:val="00597020"/>
    <w:rsid w:val="005973C3"/>
    <w:rsid w:val="00597AF9"/>
    <w:rsid w:val="00597F41"/>
    <w:rsid w:val="005A05B4"/>
    <w:rsid w:val="005A07F0"/>
    <w:rsid w:val="005A16F6"/>
    <w:rsid w:val="005A200D"/>
    <w:rsid w:val="005A3925"/>
    <w:rsid w:val="005A5AE9"/>
    <w:rsid w:val="005A7C5D"/>
    <w:rsid w:val="005B0506"/>
    <w:rsid w:val="005B2239"/>
    <w:rsid w:val="005B2653"/>
    <w:rsid w:val="005B2D9C"/>
    <w:rsid w:val="005B2FE4"/>
    <w:rsid w:val="005B3B00"/>
    <w:rsid w:val="005B40E4"/>
    <w:rsid w:val="005B4128"/>
    <w:rsid w:val="005B4CC6"/>
    <w:rsid w:val="005B5328"/>
    <w:rsid w:val="005B5BEA"/>
    <w:rsid w:val="005B612E"/>
    <w:rsid w:val="005B61A3"/>
    <w:rsid w:val="005C017A"/>
    <w:rsid w:val="005C023E"/>
    <w:rsid w:val="005C09E4"/>
    <w:rsid w:val="005C0E9D"/>
    <w:rsid w:val="005C1E90"/>
    <w:rsid w:val="005C24C0"/>
    <w:rsid w:val="005C2F7C"/>
    <w:rsid w:val="005C458A"/>
    <w:rsid w:val="005C4853"/>
    <w:rsid w:val="005C50A9"/>
    <w:rsid w:val="005C543E"/>
    <w:rsid w:val="005C60FC"/>
    <w:rsid w:val="005C6F60"/>
    <w:rsid w:val="005C7138"/>
    <w:rsid w:val="005C75C4"/>
    <w:rsid w:val="005D05C9"/>
    <w:rsid w:val="005D0675"/>
    <w:rsid w:val="005D0845"/>
    <w:rsid w:val="005D1D16"/>
    <w:rsid w:val="005D3323"/>
    <w:rsid w:val="005D3DC9"/>
    <w:rsid w:val="005D58AE"/>
    <w:rsid w:val="005D600A"/>
    <w:rsid w:val="005D6642"/>
    <w:rsid w:val="005D6F1A"/>
    <w:rsid w:val="005D7141"/>
    <w:rsid w:val="005D722F"/>
    <w:rsid w:val="005D78AF"/>
    <w:rsid w:val="005D7B2E"/>
    <w:rsid w:val="005D7FC4"/>
    <w:rsid w:val="005E05B4"/>
    <w:rsid w:val="005E1787"/>
    <w:rsid w:val="005E1B92"/>
    <w:rsid w:val="005E1DD9"/>
    <w:rsid w:val="005E23BE"/>
    <w:rsid w:val="005E2B4E"/>
    <w:rsid w:val="005E2F20"/>
    <w:rsid w:val="005E3064"/>
    <w:rsid w:val="005E3A80"/>
    <w:rsid w:val="005E3FDF"/>
    <w:rsid w:val="005E41E5"/>
    <w:rsid w:val="005E522F"/>
    <w:rsid w:val="005E5AA5"/>
    <w:rsid w:val="005E5CA6"/>
    <w:rsid w:val="005E6477"/>
    <w:rsid w:val="005E6998"/>
    <w:rsid w:val="005F0DD5"/>
    <w:rsid w:val="005F1F97"/>
    <w:rsid w:val="005F2504"/>
    <w:rsid w:val="005F2B9D"/>
    <w:rsid w:val="005F32A5"/>
    <w:rsid w:val="005F4663"/>
    <w:rsid w:val="005F4A4C"/>
    <w:rsid w:val="005F571B"/>
    <w:rsid w:val="005F69F6"/>
    <w:rsid w:val="005F6A4E"/>
    <w:rsid w:val="006000F4"/>
    <w:rsid w:val="00600280"/>
    <w:rsid w:val="006007D2"/>
    <w:rsid w:val="00601645"/>
    <w:rsid w:val="00602394"/>
    <w:rsid w:val="00603ACB"/>
    <w:rsid w:val="006054B4"/>
    <w:rsid w:val="00606086"/>
    <w:rsid w:val="00607330"/>
    <w:rsid w:val="00607D27"/>
    <w:rsid w:val="00611224"/>
    <w:rsid w:val="00611C51"/>
    <w:rsid w:val="00611C80"/>
    <w:rsid w:val="006139A2"/>
    <w:rsid w:val="00614A98"/>
    <w:rsid w:val="006155A7"/>
    <w:rsid w:val="006178FF"/>
    <w:rsid w:val="00617AE7"/>
    <w:rsid w:val="00617C1D"/>
    <w:rsid w:val="00617E37"/>
    <w:rsid w:val="00617F3F"/>
    <w:rsid w:val="00617FCD"/>
    <w:rsid w:val="00620A0C"/>
    <w:rsid w:val="00621917"/>
    <w:rsid w:val="00621C82"/>
    <w:rsid w:val="006220EE"/>
    <w:rsid w:val="0062288A"/>
    <w:rsid w:val="00622AC1"/>
    <w:rsid w:val="0062320B"/>
    <w:rsid w:val="00625617"/>
    <w:rsid w:val="006266DA"/>
    <w:rsid w:val="00627214"/>
    <w:rsid w:val="006276BA"/>
    <w:rsid w:val="00627CF3"/>
    <w:rsid w:val="00627F19"/>
    <w:rsid w:val="00627F82"/>
    <w:rsid w:val="006311F5"/>
    <w:rsid w:val="00632260"/>
    <w:rsid w:val="00633E4B"/>
    <w:rsid w:val="00634089"/>
    <w:rsid w:val="006344D7"/>
    <w:rsid w:val="00634DBA"/>
    <w:rsid w:val="00637CF6"/>
    <w:rsid w:val="0063D871"/>
    <w:rsid w:val="00640313"/>
    <w:rsid w:val="00640928"/>
    <w:rsid w:val="00641A29"/>
    <w:rsid w:val="00641D70"/>
    <w:rsid w:val="00642A85"/>
    <w:rsid w:val="00642BE4"/>
    <w:rsid w:val="0064367C"/>
    <w:rsid w:val="00643FD9"/>
    <w:rsid w:val="0064470C"/>
    <w:rsid w:val="006478BA"/>
    <w:rsid w:val="00650D1A"/>
    <w:rsid w:val="00650E92"/>
    <w:rsid w:val="006510E6"/>
    <w:rsid w:val="00651136"/>
    <w:rsid w:val="00651CA6"/>
    <w:rsid w:val="00651D39"/>
    <w:rsid w:val="0065238C"/>
    <w:rsid w:val="00652B22"/>
    <w:rsid w:val="00652F0A"/>
    <w:rsid w:val="00653156"/>
    <w:rsid w:val="00654C42"/>
    <w:rsid w:val="00654E27"/>
    <w:rsid w:val="00655A97"/>
    <w:rsid w:val="00655DE3"/>
    <w:rsid w:val="00656037"/>
    <w:rsid w:val="006565EF"/>
    <w:rsid w:val="00656B0C"/>
    <w:rsid w:val="00656E6C"/>
    <w:rsid w:val="006572E1"/>
    <w:rsid w:val="006605A0"/>
    <w:rsid w:val="00660D0D"/>
    <w:rsid w:val="00660D95"/>
    <w:rsid w:val="00662282"/>
    <w:rsid w:val="0066374C"/>
    <w:rsid w:val="006651AA"/>
    <w:rsid w:val="0066649C"/>
    <w:rsid w:val="006668E8"/>
    <w:rsid w:val="006679E8"/>
    <w:rsid w:val="0067243F"/>
    <w:rsid w:val="006731FB"/>
    <w:rsid w:val="006755E1"/>
    <w:rsid w:val="00675DFE"/>
    <w:rsid w:val="00677594"/>
    <w:rsid w:val="00677752"/>
    <w:rsid w:val="006778D6"/>
    <w:rsid w:val="00677E80"/>
    <w:rsid w:val="0068002B"/>
    <w:rsid w:val="006819A5"/>
    <w:rsid w:val="00681A56"/>
    <w:rsid w:val="006822D5"/>
    <w:rsid w:val="00682883"/>
    <w:rsid w:val="00683F37"/>
    <w:rsid w:val="00684EB0"/>
    <w:rsid w:val="006852F8"/>
    <w:rsid w:val="006855C7"/>
    <w:rsid w:val="00685F84"/>
    <w:rsid w:val="0068726E"/>
    <w:rsid w:val="00687D66"/>
    <w:rsid w:val="00687E57"/>
    <w:rsid w:val="00691238"/>
    <w:rsid w:val="00691359"/>
    <w:rsid w:val="00691F86"/>
    <w:rsid w:val="006925D3"/>
    <w:rsid w:val="00693714"/>
    <w:rsid w:val="00693BD7"/>
    <w:rsid w:val="00693DA1"/>
    <w:rsid w:val="00694E1D"/>
    <w:rsid w:val="00695F35"/>
    <w:rsid w:val="00695FF3"/>
    <w:rsid w:val="00696528"/>
    <w:rsid w:val="0069657E"/>
    <w:rsid w:val="00697556"/>
    <w:rsid w:val="006977D6"/>
    <w:rsid w:val="00697926"/>
    <w:rsid w:val="006A1202"/>
    <w:rsid w:val="006A143C"/>
    <w:rsid w:val="006A1C6D"/>
    <w:rsid w:val="006A245B"/>
    <w:rsid w:val="006A3AD7"/>
    <w:rsid w:val="006A3B0C"/>
    <w:rsid w:val="006A5259"/>
    <w:rsid w:val="006A5288"/>
    <w:rsid w:val="006A59F2"/>
    <w:rsid w:val="006A6B37"/>
    <w:rsid w:val="006A7118"/>
    <w:rsid w:val="006A73A6"/>
    <w:rsid w:val="006A7FF7"/>
    <w:rsid w:val="006B051E"/>
    <w:rsid w:val="006B2242"/>
    <w:rsid w:val="006B28A0"/>
    <w:rsid w:val="006B2964"/>
    <w:rsid w:val="006B2CF7"/>
    <w:rsid w:val="006B30C8"/>
    <w:rsid w:val="006B3121"/>
    <w:rsid w:val="006B3A89"/>
    <w:rsid w:val="006B3B45"/>
    <w:rsid w:val="006B5121"/>
    <w:rsid w:val="006B5DCC"/>
    <w:rsid w:val="006B6F16"/>
    <w:rsid w:val="006B786F"/>
    <w:rsid w:val="006B7C38"/>
    <w:rsid w:val="006C079A"/>
    <w:rsid w:val="006C0AC0"/>
    <w:rsid w:val="006C0F64"/>
    <w:rsid w:val="006C2710"/>
    <w:rsid w:val="006C27CC"/>
    <w:rsid w:val="006C2C76"/>
    <w:rsid w:val="006C2CB7"/>
    <w:rsid w:val="006C449D"/>
    <w:rsid w:val="006C56BF"/>
    <w:rsid w:val="006C632A"/>
    <w:rsid w:val="006C659F"/>
    <w:rsid w:val="006C67D4"/>
    <w:rsid w:val="006C73C4"/>
    <w:rsid w:val="006D1C5A"/>
    <w:rsid w:val="006D22B8"/>
    <w:rsid w:val="006D28E5"/>
    <w:rsid w:val="006D2EF7"/>
    <w:rsid w:val="006D4343"/>
    <w:rsid w:val="006D57B9"/>
    <w:rsid w:val="006D609C"/>
    <w:rsid w:val="006D6539"/>
    <w:rsid w:val="006D7DB8"/>
    <w:rsid w:val="006E066B"/>
    <w:rsid w:val="006E1756"/>
    <w:rsid w:val="006E17D2"/>
    <w:rsid w:val="006E1DF1"/>
    <w:rsid w:val="006E209A"/>
    <w:rsid w:val="006E20B3"/>
    <w:rsid w:val="006E2DBB"/>
    <w:rsid w:val="006E3096"/>
    <w:rsid w:val="006E3AEF"/>
    <w:rsid w:val="006E400D"/>
    <w:rsid w:val="006E47A2"/>
    <w:rsid w:val="006E536D"/>
    <w:rsid w:val="006E5F73"/>
    <w:rsid w:val="006E6117"/>
    <w:rsid w:val="006E68EE"/>
    <w:rsid w:val="006E6A5F"/>
    <w:rsid w:val="006E6B55"/>
    <w:rsid w:val="006E748E"/>
    <w:rsid w:val="006F0F08"/>
    <w:rsid w:val="006F0F17"/>
    <w:rsid w:val="006F15B0"/>
    <w:rsid w:val="006F1A7A"/>
    <w:rsid w:val="006F2E01"/>
    <w:rsid w:val="006F3D3D"/>
    <w:rsid w:val="006F4148"/>
    <w:rsid w:val="006F59C5"/>
    <w:rsid w:val="006F6F5F"/>
    <w:rsid w:val="006F787C"/>
    <w:rsid w:val="00700B5D"/>
    <w:rsid w:val="00702EBF"/>
    <w:rsid w:val="00703E78"/>
    <w:rsid w:val="00704DF1"/>
    <w:rsid w:val="00705508"/>
    <w:rsid w:val="00705E81"/>
    <w:rsid w:val="0070677F"/>
    <w:rsid w:val="00706A63"/>
    <w:rsid w:val="00707203"/>
    <w:rsid w:val="007078FF"/>
    <w:rsid w:val="00707CF7"/>
    <w:rsid w:val="007103B5"/>
    <w:rsid w:val="00710AE5"/>
    <w:rsid w:val="00710AEC"/>
    <w:rsid w:val="00711855"/>
    <w:rsid w:val="00711BAF"/>
    <w:rsid w:val="0071278E"/>
    <w:rsid w:val="007127C8"/>
    <w:rsid w:val="00715028"/>
    <w:rsid w:val="007152C2"/>
    <w:rsid w:val="007158FC"/>
    <w:rsid w:val="007159AD"/>
    <w:rsid w:val="00715FC4"/>
    <w:rsid w:val="00715FDA"/>
    <w:rsid w:val="007171C7"/>
    <w:rsid w:val="00720241"/>
    <w:rsid w:val="00720B42"/>
    <w:rsid w:val="007210F1"/>
    <w:rsid w:val="00723D3D"/>
    <w:rsid w:val="007241C2"/>
    <w:rsid w:val="00724745"/>
    <w:rsid w:val="00724E93"/>
    <w:rsid w:val="0072661F"/>
    <w:rsid w:val="00726DCD"/>
    <w:rsid w:val="007271E6"/>
    <w:rsid w:val="00727665"/>
    <w:rsid w:val="0073031C"/>
    <w:rsid w:val="0073037F"/>
    <w:rsid w:val="00730781"/>
    <w:rsid w:val="00730AFE"/>
    <w:rsid w:val="00733BD2"/>
    <w:rsid w:val="00734E94"/>
    <w:rsid w:val="007350C0"/>
    <w:rsid w:val="00735858"/>
    <w:rsid w:val="007361A9"/>
    <w:rsid w:val="0073627B"/>
    <w:rsid w:val="0073706E"/>
    <w:rsid w:val="00740739"/>
    <w:rsid w:val="007418F3"/>
    <w:rsid w:val="00741948"/>
    <w:rsid w:val="00741CBF"/>
    <w:rsid w:val="007425E0"/>
    <w:rsid w:val="00742E65"/>
    <w:rsid w:val="0074439C"/>
    <w:rsid w:val="0074449A"/>
    <w:rsid w:val="007446B7"/>
    <w:rsid w:val="00744896"/>
    <w:rsid w:val="00745A50"/>
    <w:rsid w:val="0074729B"/>
    <w:rsid w:val="00747567"/>
    <w:rsid w:val="00747749"/>
    <w:rsid w:val="00747986"/>
    <w:rsid w:val="007505E1"/>
    <w:rsid w:val="00750F6F"/>
    <w:rsid w:val="00751A8A"/>
    <w:rsid w:val="00751E4F"/>
    <w:rsid w:val="00751E97"/>
    <w:rsid w:val="007523A8"/>
    <w:rsid w:val="00752A4B"/>
    <w:rsid w:val="00752B78"/>
    <w:rsid w:val="00753305"/>
    <w:rsid w:val="00754B64"/>
    <w:rsid w:val="00754F77"/>
    <w:rsid w:val="00754FF0"/>
    <w:rsid w:val="00755009"/>
    <w:rsid w:val="00755555"/>
    <w:rsid w:val="00755EDA"/>
    <w:rsid w:val="00755F85"/>
    <w:rsid w:val="007564E3"/>
    <w:rsid w:val="00757CAB"/>
    <w:rsid w:val="007605CA"/>
    <w:rsid w:val="007607EF"/>
    <w:rsid w:val="00760C6B"/>
    <w:rsid w:val="00760E12"/>
    <w:rsid w:val="0076199E"/>
    <w:rsid w:val="00763DBA"/>
    <w:rsid w:val="00765BA4"/>
    <w:rsid w:val="007660AC"/>
    <w:rsid w:val="00767C1D"/>
    <w:rsid w:val="007707AD"/>
    <w:rsid w:val="00770937"/>
    <w:rsid w:val="00771063"/>
    <w:rsid w:val="00773EC3"/>
    <w:rsid w:val="0077489B"/>
    <w:rsid w:val="00775AD8"/>
    <w:rsid w:val="00775CF1"/>
    <w:rsid w:val="00776DE9"/>
    <w:rsid w:val="00776F4C"/>
    <w:rsid w:val="007772ED"/>
    <w:rsid w:val="00777490"/>
    <w:rsid w:val="00777A8F"/>
    <w:rsid w:val="00777EFB"/>
    <w:rsid w:val="00780C68"/>
    <w:rsid w:val="00780FF3"/>
    <w:rsid w:val="00781480"/>
    <w:rsid w:val="00781ECE"/>
    <w:rsid w:val="00784780"/>
    <w:rsid w:val="007853CF"/>
    <w:rsid w:val="007862D6"/>
    <w:rsid w:val="00787335"/>
    <w:rsid w:val="00787ADE"/>
    <w:rsid w:val="00790CC8"/>
    <w:rsid w:val="007918E9"/>
    <w:rsid w:val="00792191"/>
    <w:rsid w:val="00792246"/>
    <w:rsid w:val="007929BA"/>
    <w:rsid w:val="0079383F"/>
    <w:rsid w:val="00794F9C"/>
    <w:rsid w:val="00795302"/>
    <w:rsid w:val="0079569E"/>
    <w:rsid w:val="007958FC"/>
    <w:rsid w:val="0079598F"/>
    <w:rsid w:val="00796134"/>
    <w:rsid w:val="00796BD0"/>
    <w:rsid w:val="007973D4"/>
    <w:rsid w:val="0079750B"/>
    <w:rsid w:val="00797CC3"/>
    <w:rsid w:val="007A05CD"/>
    <w:rsid w:val="007A1FE2"/>
    <w:rsid w:val="007A24CB"/>
    <w:rsid w:val="007A2850"/>
    <w:rsid w:val="007A3158"/>
    <w:rsid w:val="007A4F2A"/>
    <w:rsid w:val="007A4FBD"/>
    <w:rsid w:val="007A5AA0"/>
    <w:rsid w:val="007A5F04"/>
    <w:rsid w:val="007A60CE"/>
    <w:rsid w:val="007A6E23"/>
    <w:rsid w:val="007A736D"/>
    <w:rsid w:val="007A73E5"/>
    <w:rsid w:val="007A7585"/>
    <w:rsid w:val="007B2539"/>
    <w:rsid w:val="007B2F1E"/>
    <w:rsid w:val="007B39AE"/>
    <w:rsid w:val="007B4016"/>
    <w:rsid w:val="007B4956"/>
    <w:rsid w:val="007B4C64"/>
    <w:rsid w:val="007B6E00"/>
    <w:rsid w:val="007B70F5"/>
    <w:rsid w:val="007C1988"/>
    <w:rsid w:val="007C2402"/>
    <w:rsid w:val="007C256C"/>
    <w:rsid w:val="007C285F"/>
    <w:rsid w:val="007C2976"/>
    <w:rsid w:val="007C3274"/>
    <w:rsid w:val="007C3918"/>
    <w:rsid w:val="007C3B76"/>
    <w:rsid w:val="007C47E6"/>
    <w:rsid w:val="007C5107"/>
    <w:rsid w:val="007C5542"/>
    <w:rsid w:val="007C55B2"/>
    <w:rsid w:val="007C57D4"/>
    <w:rsid w:val="007C5B99"/>
    <w:rsid w:val="007C6597"/>
    <w:rsid w:val="007C757C"/>
    <w:rsid w:val="007C772A"/>
    <w:rsid w:val="007D023E"/>
    <w:rsid w:val="007D0349"/>
    <w:rsid w:val="007D0388"/>
    <w:rsid w:val="007D043F"/>
    <w:rsid w:val="007D3FD8"/>
    <w:rsid w:val="007D4C28"/>
    <w:rsid w:val="007D4E1F"/>
    <w:rsid w:val="007D529F"/>
    <w:rsid w:val="007D6BC3"/>
    <w:rsid w:val="007D7247"/>
    <w:rsid w:val="007D79F9"/>
    <w:rsid w:val="007E0751"/>
    <w:rsid w:val="007E08FC"/>
    <w:rsid w:val="007E0E46"/>
    <w:rsid w:val="007E1086"/>
    <w:rsid w:val="007E1B7C"/>
    <w:rsid w:val="007E22D3"/>
    <w:rsid w:val="007E2835"/>
    <w:rsid w:val="007E293C"/>
    <w:rsid w:val="007E2A55"/>
    <w:rsid w:val="007E374F"/>
    <w:rsid w:val="007E3F10"/>
    <w:rsid w:val="007E402A"/>
    <w:rsid w:val="007E4739"/>
    <w:rsid w:val="007E4B33"/>
    <w:rsid w:val="007E4B60"/>
    <w:rsid w:val="007E60E4"/>
    <w:rsid w:val="007E634B"/>
    <w:rsid w:val="007E6569"/>
    <w:rsid w:val="007E698B"/>
    <w:rsid w:val="007E6DFD"/>
    <w:rsid w:val="007E73A0"/>
    <w:rsid w:val="007E7C47"/>
    <w:rsid w:val="007F107A"/>
    <w:rsid w:val="007F17ED"/>
    <w:rsid w:val="007F24D6"/>
    <w:rsid w:val="007F294D"/>
    <w:rsid w:val="007F3B81"/>
    <w:rsid w:val="007F4366"/>
    <w:rsid w:val="007F4A91"/>
    <w:rsid w:val="007F5B32"/>
    <w:rsid w:val="007F5FD6"/>
    <w:rsid w:val="007F630A"/>
    <w:rsid w:val="007F7667"/>
    <w:rsid w:val="007F78A2"/>
    <w:rsid w:val="007F7A8D"/>
    <w:rsid w:val="007F7C8D"/>
    <w:rsid w:val="008002EB"/>
    <w:rsid w:val="00800C44"/>
    <w:rsid w:val="0080119C"/>
    <w:rsid w:val="008017B5"/>
    <w:rsid w:val="00801CA5"/>
    <w:rsid w:val="00801F9B"/>
    <w:rsid w:val="0080249C"/>
    <w:rsid w:val="00802891"/>
    <w:rsid w:val="00802AC1"/>
    <w:rsid w:val="008031D6"/>
    <w:rsid w:val="00803700"/>
    <w:rsid w:val="0080574F"/>
    <w:rsid w:val="008101E0"/>
    <w:rsid w:val="008116A7"/>
    <w:rsid w:val="00811CEA"/>
    <w:rsid w:val="00812331"/>
    <w:rsid w:val="0081332A"/>
    <w:rsid w:val="00813792"/>
    <w:rsid w:val="00814560"/>
    <w:rsid w:val="008147DF"/>
    <w:rsid w:val="00817528"/>
    <w:rsid w:val="00817A36"/>
    <w:rsid w:val="00817DA3"/>
    <w:rsid w:val="00820927"/>
    <w:rsid w:val="00822699"/>
    <w:rsid w:val="0082273E"/>
    <w:rsid w:val="00822B60"/>
    <w:rsid w:val="00822F09"/>
    <w:rsid w:val="008249A4"/>
    <w:rsid w:val="00824C26"/>
    <w:rsid w:val="00825CD8"/>
    <w:rsid w:val="00827AFF"/>
    <w:rsid w:val="00831D04"/>
    <w:rsid w:val="00834133"/>
    <w:rsid w:val="008342FB"/>
    <w:rsid w:val="00835720"/>
    <w:rsid w:val="008363A1"/>
    <w:rsid w:val="00836BE3"/>
    <w:rsid w:val="0083721B"/>
    <w:rsid w:val="0084078D"/>
    <w:rsid w:val="00840B09"/>
    <w:rsid w:val="00840BB2"/>
    <w:rsid w:val="00840BC0"/>
    <w:rsid w:val="00841623"/>
    <w:rsid w:val="00842560"/>
    <w:rsid w:val="008426AE"/>
    <w:rsid w:val="008427B4"/>
    <w:rsid w:val="008428E9"/>
    <w:rsid w:val="0084321A"/>
    <w:rsid w:val="008432C1"/>
    <w:rsid w:val="00843408"/>
    <w:rsid w:val="008434AD"/>
    <w:rsid w:val="00843AF3"/>
    <w:rsid w:val="00844745"/>
    <w:rsid w:val="00845B00"/>
    <w:rsid w:val="00846684"/>
    <w:rsid w:val="00847EFF"/>
    <w:rsid w:val="00847FEA"/>
    <w:rsid w:val="00850EB4"/>
    <w:rsid w:val="00852AB9"/>
    <w:rsid w:val="00852D8A"/>
    <w:rsid w:val="008557AB"/>
    <w:rsid w:val="008566CE"/>
    <w:rsid w:val="008572A6"/>
    <w:rsid w:val="00860E86"/>
    <w:rsid w:val="00862718"/>
    <w:rsid w:val="0086294A"/>
    <w:rsid w:val="00862A94"/>
    <w:rsid w:val="00863894"/>
    <w:rsid w:val="00863DAE"/>
    <w:rsid w:val="00864100"/>
    <w:rsid w:val="00864C7F"/>
    <w:rsid w:val="0086601C"/>
    <w:rsid w:val="00866413"/>
    <w:rsid w:val="00867C46"/>
    <w:rsid w:val="008722EC"/>
    <w:rsid w:val="0087275B"/>
    <w:rsid w:val="0087296B"/>
    <w:rsid w:val="008738F7"/>
    <w:rsid w:val="00874661"/>
    <w:rsid w:val="00874F9F"/>
    <w:rsid w:val="00874FC1"/>
    <w:rsid w:val="00875FBE"/>
    <w:rsid w:val="00876111"/>
    <w:rsid w:val="0088250A"/>
    <w:rsid w:val="00882513"/>
    <w:rsid w:val="008834B2"/>
    <w:rsid w:val="00883C90"/>
    <w:rsid w:val="00884E90"/>
    <w:rsid w:val="008860E2"/>
    <w:rsid w:val="00886552"/>
    <w:rsid w:val="0088659E"/>
    <w:rsid w:val="00886D2E"/>
    <w:rsid w:val="0088747D"/>
    <w:rsid w:val="00891356"/>
    <w:rsid w:val="00891389"/>
    <w:rsid w:val="00891E69"/>
    <w:rsid w:val="008921D9"/>
    <w:rsid w:val="0089253E"/>
    <w:rsid w:val="0089292B"/>
    <w:rsid w:val="00892FA2"/>
    <w:rsid w:val="0089318F"/>
    <w:rsid w:val="00893948"/>
    <w:rsid w:val="0089591D"/>
    <w:rsid w:val="00896A4A"/>
    <w:rsid w:val="00896A75"/>
    <w:rsid w:val="00896DC0"/>
    <w:rsid w:val="00897496"/>
    <w:rsid w:val="00897581"/>
    <w:rsid w:val="008A0185"/>
    <w:rsid w:val="008A025A"/>
    <w:rsid w:val="008A33FC"/>
    <w:rsid w:val="008A496E"/>
    <w:rsid w:val="008A633B"/>
    <w:rsid w:val="008A669E"/>
    <w:rsid w:val="008A69AA"/>
    <w:rsid w:val="008A7023"/>
    <w:rsid w:val="008B0085"/>
    <w:rsid w:val="008B16DB"/>
    <w:rsid w:val="008B1959"/>
    <w:rsid w:val="008B2D8A"/>
    <w:rsid w:val="008B2E6C"/>
    <w:rsid w:val="008B330C"/>
    <w:rsid w:val="008B3F0E"/>
    <w:rsid w:val="008B4CBD"/>
    <w:rsid w:val="008B4D2F"/>
    <w:rsid w:val="008B5883"/>
    <w:rsid w:val="008B5F48"/>
    <w:rsid w:val="008B612A"/>
    <w:rsid w:val="008B64FA"/>
    <w:rsid w:val="008B6A51"/>
    <w:rsid w:val="008B76F8"/>
    <w:rsid w:val="008B7CC8"/>
    <w:rsid w:val="008C0AC7"/>
    <w:rsid w:val="008C0B0F"/>
    <w:rsid w:val="008C0DDC"/>
    <w:rsid w:val="008C13F1"/>
    <w:rsid w:val="008C165D"/>
    <w:rsid w:val="008C200F"/>
    <w:rsid w:val="008C2283"/>
    <w:rsid w:val="008C3462"/>
    <w:rsid w:val="008C46B1"/>
    <w:rsid w:val="008C58B1"/>
    <w:rsid w:val="008C5BF9"/>
    <w:rsid w:val="008C74D8"/>
    <w:rsid w:val="008D0D82"/>
    <w:rsid w:val="008D1D2B"/>
    <w:rsid w:val="008D2D54"/>
    <w:rsid w:val="008D3394"/>
    <w:rsid w:val="008D4CB2"/>
    <w:rsid w:val="008D5F34"/>
    <w:rsid w:val="008D6196"/>
    <w:rsid w:val="008D61CA"/>
    <w:rsid w:val="008D6358"/>
    <w:rsid w:val="008D6712"/>
    <w:rsid w:val="008D6A54"/>
    <w:rsid w:val="008D6B6A"/>
    <w:rsid w:val="008D7F09"/>
    <w:rsid w:val="008E1339"/>
    <w:rsid w:val="008E141E"/>
    <w:rsid w:val="008E28D8"/>
    <w:rsid w:val="008E29D1"/>
    <w:rsid w:val="008E2D2F"/>
    <w:rsid w:val="008E3EF6"/>
    <w:rsid w:val="008E4F8E"/>
    <w:rsid w:val="008E54BF"/>
    <w:rsid w:val="008E59AE"/>
    <w:rsid w:val="008E6D25"/>
    <w:rsid w:val="008E6E3E"/>
    <w:rsid w:val="008F00AD"/>
    <w:rsid w:val="008F05C1"/>
    <w:rsid w:val="008F0A75"/>
    <w:rsid w:val="008F1470"/>
    <w:rsid w:val="008F211C"/>
    <w:rsid w:val="008F4258"/>
    <w:rsid w:val="008F4868"/>
    <w:rsid w:val="008F5088"/>
    <w:rsid w:val="008F53CB"/>
    <w:rsid w:val="008F6484"/>
    <w:rsid w:val="008F64C7"/>
    <w:rsid w:val="008F6FE6"/>
    <w:rsid w:val="008F7F75"/>
    <w:rsid w:val="009002B3"/>
    <w:rsid w:val="009016A0"/>
    <w:rsid w:val="009033D8"/>
    <w:rsid w:val="00903A49"/>
    <w:rsid w:val="00903E34"/>
    <w:rsid w:val="009057E5"/>
    <w:rsid w:val="00905A69"/>
    <w:rsid w:val="00906C2B"/>
    <w:rsid w:val="00907300"/>
    <w:rsid w:val="00907416"/>
    <w:rsid w:val="0091019E"/>
    <w:rsid w:val="009103BF"/>
    <w:rsid w:val="009113D4"/>
    <w:rsid w:val="009119DC"/>
    <w:rsid w:val="00912947"/>
    <w:rsid w:val="0091318D"/>
    <w:rsid w:val="00915064"/>
    <w:rsid w:val="00916486"/>
    <w:rsid w:val="00916844"/>
    <w:rsid w:val="00917198"/>
    <w:rsid w:val="009176FE"/>
    <w:rsid w:val="0092001F"/>
    <w:rsid w:val="00920DF0"/>
    <w:rsid w:val="00920EB7"/>
    <w:rsid w:val="00923C2B"/>
    <w:rsid w:val="00924B5D"/>
    <w:rsid w:val="00924DF2"/>
    <w:rsid w:val="00925249"/>
    <w:rsid w:val="00926306"/>
    <w:rsid w:val="0092655F"/>
    <w:rsid w:val="00926F3F"/>
    <w:rsid w:val="00927CE6"/>
    <w:rsid w:val="00930F2D"/>
    <w:rsid w:val="00931245"/>
    <w:rsid w:val="0093182E"/>
    <w:rsid w:val="00932810"/>
    <w:rsid w:val="00932905"/>
    <w:rsid w:val="00932961"/>
    <w:rsid w:val="00933B35"/>
    <w:rsid w:val="009340CE"/>
    <w:rsid w:val="00934AF7"/>
    <w:rsid w:val="0093548C"/>
    <w:rsid w:val="0093564B"/>
    <w:rsid w:val="00936248"/>
    <w:rsid w:val="0093680F"/>
    <w:rsid w:val="00936939"/>
    <w:rsid w:val="00936AA8"/>
    <w:rsid w:val="00936C8C"/>
    <w:rsid w:val="00936CAB"/>
    <w:rsid w:val="00940681"/>
    <w:rsid w:val="0094121F"/>
    <w:rsid w:val="00941C85"/>
    <w:rsid w:val="00941F74"/>
    <w:rsid w:val="009422FE"/>
    <w:rsid w:val="009426E5"/>
    <w:rsid w:val="009440FB"/>
    <w:rsid w:val="009445B7"/>
    <w:rsid w:val="009447EE"/>
    <w:rsid w:val="00945332"/>
    <w:rsid w:val="009459E7"/>
    <w:rsid w:val="009460BB"/>
    <w:rsid w:val="0094631A"/>
    <w:rsid w:val="00946637"/>
    <w:rsid w:val="00946E6C"/>
    <w:rsid w:val="00947AEA"/>
    <w:rsid w:val="00950703"/>
    <w:rsid w:val="009516BF"/>
    <w:rsid w:val="00951C4C"/>
    <w:rsid w:val="00952FD7"/>
    <w:rsid w:val="009530E9"/>
    <w:rsid w:val="00955112"/>
    <w:rsid w:val="00955BD6"/>
    <w:rsid w:val="00955F4D"/>
    <w:rsid w:val="00956877"/>
    <w:rsid w:val="00960112"/>
    <w:rsid w:val="00960394"/>
    <w:rsid w:val="00960581"/>
    <w:rsid w:val="009612AE"/>
    <w:rsid w:val="00961CE8"/>
    <w:rsid w:val="0096218F"/>
    <w:rsid w:val="00963244"/>
    <w:rsid w:val="00963440"/>
    <w:rsid w:val="00963CB7"/>
    <w:rsid w:val="00964205"/>
    <w:rsid w:val="00964566"/>
    <w:rsid w:val="00964C1B"/>
    <w:rsid w:val="00964ECE"/>
    <w:rsid w:val="00965134"/>
    <w:rsid w:val="009651CE"/>
    <w:rsid w:val="00965A36"/>
    <w:rsid w:val="00965E0D"/>
    <w:rsid w:val="00966CBF"/>
    <w:rsid w:val="00966CFF"/>
    <w:rsid w:val="00966D78"/>
    <w:rsid w:val="00967FFA"/>
    <w:rsid w:val="00970EE5"/>
    <w:rsid w:val="0097230C"/>
    <w:rsid w:val="00972A8B"/>
    <w:rsid w:val="009745E5"/>
    <w:rsid w:val="00974743"/>
    <w:rsid w:val="00975350"/>
    <w:rsid w:val="009753DB"/>
    <w:rsid w:val="009761D2"/>
    <w:rsid w:val="00976EF9"/>
    <w:rsid w:val="0098279F"/>
    <w:rsid w:val="009832F9"/>
    <w:rsid w:val="00984594"/>
    <w:rsid w:val="00984779"/>
    <w:rsid w:val="009847F9"/>
    <w:rsid w:val="00984865"/>
    <w:rsid w:val="00984CCF"/>
    <w:rsid w:val="009854BA"/>
    <w:rsid w:val="00985EB6"/>
    <w:rsid w:val="009861AF"/>
    <w:rsid w:val="0098648B"/>
    <w:rsid w:val="00987254"/>
    <w:rsid w:val="00987737"/>
    <w:rsid w:val="00987F11"/>
    <w:rsid w:val="009907E5"/>
    <w:rsid w:val="009919AC"/>
    <w:rsid w:val="00992FE1"/>
    <w:rsid w:val="00993E5B"/>
    <w:rsid w:val="00994FBE"/>
    <w:rsid w:val="00995306"/>
    <w:rsid w:val="00995F64"/>
    <w:rsid w:val="00997334"/>
    <w:rsid w:val="009A0517"/>
    <w:rsid w:val="009A0E43"/>
    <w:rsid w:val="009A1009"/>
    <w:rsid w:val="009A25A0"/>
    <w:rsid w:val="009A3025"/>
    <w:rsid w:val="009A3396"/>
    <w:rsid w:val="009A48AB"/>
    <w:rsid w:val="009A4FB3"/>
    <w:rsid w:val="009A58EC"/>
    <w:rsid w:val="009A63A0"/>
    <w:rsid w:val="009A6902"/>
    <w:rsid w:val="009A69A8"/>
    <w:rsid w:val="009A79B9"/>
    <w:rsid w:val="009B18C9"/>
    <w:rsid w:val="009B20A5"/>
    <w:rsid w:val="009B2476"/>
    <w:rsid w:val="009B381A"/>
    <w:rsid w:val="009B48B1"/>
    <w:rsid w:val="009B5558"/>
    <w:rsid w:val="009B57A1"/>
    <w:rsid w:val="009B5BC5"/>
    <w:rsid w:val="009B6CA8"/>
    <w:rsid w:val="009C06A8"/>
    <w:rsid w:val="009C10C3"/>
    <w:rsid w:val="009C1916"/>
    <w:rsid w:val="009C265B"/>
    <w:rsid w:val="009C2673"/>
    <w:rsid w:val="009C32FB"/>
    <w:rsid w:val="009C4856"/>
    <w:rsid w:val="009C5042"/>
    <w:rsid w:val="009C56E2"/>
    <w:rsid w:val="009C5ADA"/>
    <w:rsid w:val="009C6E52"/>
    <w:rsid w:val="009D05FA"/>
    <w:rsid w:val="009D0AFE"/>
    <w:rsid w:val="009D16B7"/>
    <w:rsid w:val="009D2665"/>
    <w:rsid w:val="009D325F"/>
    <w:rsid w:val="009D3DA6"/>
    <w:rsid w:val="009D45A8"/>
    <w:rsid w:val="009D45D2"/>
    <w:rsid w:val="009D4A0E"/>
    <w:rsid w:val="009D53C1"/>
    <w:rsid w:val="009D5BD9"/>
    <w:rsid w:val="009D5E39"/>
    <w:rsid w:val="009D71CE"/>
    <w:rsid w:val="009D7371"/>
    <w:rsid w:val="009D7848"/>
    <w:rsid w:val="009D78B4"/>
    <w:rsid w:val="009E0361"/>
    <w:rsid w:val="009E0DAB"/>
    <w:rsid w:val="009E1C37"/>
    <w:rsid w:val="009E2C9B"/>
    <w:rsid w:val="009E30F5"/>
    <w:rsid w:val="009E34FE"/>
    <w:rsid w:val="009E38EB"/>
    <w:rsid w:val="009E3E7E"/>
    <w:rsid w:val="009E405B"/>
    <w:rsid w:val="009E444E"/>
    <w:rsid w:val="009E5B78"/>
    <w:rsid w:val="009E5C46"/>
    <w:rsid w:val="009E5D0D"/>
    <w:rsid w:val="009E60E9"/>
    <w:rsid w:val="009E6393"/>
    <w:rsid w:val="009E653C"/>
    <w:rsid w:val="009E6E6E"/>
    <w:rsid w:val="009E7233"/>
    <w:rsid w:val="009E7A8D"/>
    <w:rsid w:val="009F1078"/>
    <w:rsid w:val="009F22AF"/>
    <w:rsid w:val="009F2A78"/>
    <w:rsid w:val="009F2FBD"/>
    <w:rsid w:val="009F618C"/>
    <w:rsid w:val="009F6585"/>
    <w:rsid w:val="009F6E97"/>
    <w:rsid w:val="009F72B3"/>
    <w:rsid w:val="00A00423"/>
    <w:rsid w:val="00A0122D"/>
    <w:rsid w:val="00A0145A"/>
    <w:rsid w:val="00A01AA4"/>
    <w:rsid w:val="00A02938"/>
    <w:rsid w:val="00A038E0"/>
    <w:rsid w:val="00A0491E"/>
    <w:rsid w:val="00A04945"/>
    <w:rsid w:val="00A051AE"/>
    <w:rsid w:val="00A05826"/>
    <w:rsid w:val="00A05A5C"/>
    <w:rsid w:val="00A05C36"/>
    <w:rsid w:val="00A06F95"/>
    <w:rsid w:val="00A07336"/>
    <w:rsid w:val="00A07AD9"/>
    <w:rsid w:val="00A07D2F"/>
    <w:rsid w:val="00A07DAE"/>
    <w:rsid w:val="00A07FB5"/>
    <w:rsid w:val="00A108DE"/>
    <w:rsid w:val="00A109EE"/>
    <w:rsid w:val="00A10E40"/>
    <w:rsid w:val="00A11DFA"/>
    <w:rsid w:val="00A13471"/>
    <w:rsid w:val="00A13516"/>
    <w:rsid w:val="00A145B6"/>
    <w:rsid w:val="00A147C4"/>
    <w:rsid w:val="00A14817"/>
    <w:rsid w:val="00A15BD6"/>
    <w:rsid w:val="00A1664C"/>
    <w:rsid w:val="00A16E0D"/>
    <w:rsid w:val="00A1710B"/>
    <w:rsid w:val="00A1714A"/>
    <w:rsid w:val="00A171CD"/>
    <w:rsid w:val="00A1739E"/>
    <w:rsid w:val="00A17D0A"/>
    <w:rsid w:val="00A2111D"/>
    <w:rsid w:val="00A2163F"/>
    <w:rsid w:val="00A220A5"/>
    <w:rsid w:val="00A235DF"/>
    <w:rsid w:val="00A24E5A"/>
    <w:rsid w:val="00A25050"/>
    <w:rsid w:val="00A26045"/>
    <w:rsid w:val="00A27527"/>
    <w:rsid w:val="00A279A2"/>
    <w:rsid w:val="00A30CC2"/>
    <w:rsid w:val="00A32921"/>
    <w:rsid w:val="00A32C7E"/>
    <w:rsid w:val="00A32E70"/>
    <w:rsid w:val="00A33326"/>
    <w:rsid w:val="00A3475A"/>
    <w:rsid w:val="00A34D90"/>
    <w:rsid w:val="00A35B97"/>
    <w:rsid w:val="00A35BA3"/>
    <w:rsid w:val="00A3618C"/>
    <w:rsid w:val="00A36649"/>
    <w:rsid w:val="00A3703C"/>
    <w:rsid w:val="00A41384"/>
    <w:rsid w:val="00A41694"/>
    <w:rsid w:val="00A41F17"/>
    <w:rsid w:val="00A424D7"/>
    <w:rsid w:val="00A432EA"/>
    <w:rsid w:val="00A437E5"/>
    <w:rsid w:val="00A43D7C"/>
    <w:rsid w:val="00A46C30"/>
    <w:rsid w:val="00A47120"/>
    <w:rsid w:val="00A47E3D"/>
    <w:rsid w:val="00A5032B"/>
    <w:rsid w:val="00A50BAA"/>
    <w:rsid w:val="00A50D83"/>
    <w:rsid w:val="00A5106C"/>
    <w:rsid w:val="00A51131"/>
    <w:rsid w:val="00A523DA"/>
    <w:rsid w:val="00A52925"/>
    <w:rsid w:val="00A5396E"/>
    <w:rsid w:val="00A53C63"/>
    <w:rsid w:val="00A5460C"/>
    <w:rsid w:val="00A54B81"/>
    <w:rsid w:val="00A55267"/>
    <w:rsid w:val="00A55466"/>
    <w:rsid w:val="00A561AB"/>
    <w:rsid w:val="00A561B1"/>
    <w:rsid w:val="00A562B6"/>
    <w:rsid w:val="00A562CB"/>
    <w:rsid w:val="00A5653B"/>
    <w:rsid w:val="00A5713F"/>
    <w:rsid w:val="00A57FFD"/>
    <w:rsid w:val="00A60A65"/>
    <w:rsid w:val="00A613A5"/>
    <w:rsid w:val="00A61F82"/>
    <w:rsid w:val="00A62009"/>
    <w:rsid w:val="00A62195"/>
    <w:rsid w:val="00A621EB"/>
    <w:rsid w:val="00A6285F"/>
    <w:rsid w:val="00A62CFB"/>
    <w:rsid w:val="00A6397B"/>
    <w:rsid w:val="00A63BE9"/>
    <w:rsid w:val="00A63D19"/>
    <w:rsid w:val="00A6513F"/>
    <w:rsid w:val="00A653CD"/>
    <w:rsid w:val="00A657CC"/>
    <w:rsid w:val="00A65D2C"/>
    <w:rsid w:val="00A66E29"/>
    <w:rsid w:val="00A67CBD"/>
    <w:rsid w:val="00A67E9E"/>
    <w:rsid w:val="00A7001B"/>
    <w:rsid w:val="00A70FCC"/>
    <w:rsid w:val="00A7152A"/>
    <w:rsid w:val="00A724EA"/>
    <w:rsid w:val="00A72AE4"/>
    <w:rsid w:val="00A7369F"/>
    <w:rsid w:val="00A73A7A"/>
    <w:rsid w:val="00A73C30"/>
    <w:rsid w:val="00A74D6B"/>
    <w:rsid w:val="00A74F77"/>
    <w:rsid w:val="00A7762E"/>
    <w:rsid w:val="00A7768A"/>
    <w:rsid w:val="00A80101"/>
    <w:rsid w:val="00A805BC"/>
    <w:rsid w:val="00A80A7E"/>
    <w:rsid w:val="00A80EF0"/>
    <w:rsid w:val="00A82348"/>
    <w:rsid w:val="00A82853"/>
    <w:rsid w:val="00A82937"/>
    <w:rsid w:val="00A83C44"/>
    <w:rsid w:val="00A840E3"/>
    <w:rsid w:val="00A842BC"/>
    <w:rsid w:val="00A84420"/>
    <w:rsid w:val="00A8448D"/>
    <w:rsid w:val="00A8513D"/>
    <w:rsid w:val="00A85379"/>
    <w:rsid w:val="00A85B05"/>
    <w:rsid w:val="00A869F6"/>
    <w:rsid w:val="00A9053A"/>
    <w:rsid w:val="00A91BA5"/>
    <w:rsid w:val="00A91E5D"/>
    <w:rsid w:val="00A92AFD"/>
    <w:rsid w:val="00A93082"/>
    <w:rsid w:val="00A935F9"/>
    <w:rsid w:val="00A940C8"/>
    <w:rsid w:val="00A9457E"/>
    <w:rsid w:val="00A954DD"/>
    <w:rsid w:val="00A95DBC"/>
    <w:rsid w:val="00A95F1F"/>
    <w:rsid w:val="00A9621C"/>
    <w:rsid w:val="00A96775"/>
    <w:rsid w:val="00A9687F"/>
    <w:rsid w:val="00A96886"/>
    <w:rsid w:val="00A9764C"/>
    <w:rsid w:val="00A97CB0"/>
    <w:rsid w:val="00AA05C5"/>
    <w:rsid w:val="00AA07BA"/>
    <w:rsid w:val="00AA0CD9"/>
    <w:rsid w:val="00AA0D07"/>
    <w:rsid w:val="00AA115A"/>
    <w:rsid w:val="00AA1499"/>
    <w:rsid w:val="00AA3738"/>
    <w:rsid w:val="00AA3920"/>
    <w:rsid w:val="00AA4306"/>
    <w:rsid w:val="00AA451C"/>
    <w:rsid w:val="00AA5020"/>
    <w:rsid w:val="00AA5BFF"/>
    <w:rsid w:val="00AA6145"/>
    <w:rsid w:val="00AA67B5"/>
    <w:rsid w:val="00AA6AF0"/>
    <w:rsid w:val="00AA6BD3"/>
    <w:rsid w:val="00AA7493"/>
    <w:rsid w:val="00AB0B05"/>
    <w:rsid w:val="00AB0D86"/>
    <w:rsid w:val="00AB222F"/>
    <w:rsid w:val="00AB2F86"/>
    <w:rsid w:val="00AB3D04"/>
    <w:rsid w:val="00AB50B3"/>
    <w:rsid w:val="00AB5224"/>
    <w:rsid w:val="00AB569C"/>
    <w:rsid w:val="00AB615E"/>
    <w:rsid w:val="00AB68A0"/>
    <w:rsid w:val="00AB6C96"/>
    <w:rsid w:val="00AB6F3D"/>
    <w:rsid w:val="00AB73D8"/>
    <w:rsid w:val="00AB7E8B"/>
    <w:rsid w:val="00AB7FE2"/>
    <w:rsid w:val="00AC0017"/>
    <w:rsid w:val="00AC02F6"/>
    <w:rsid w:val="00AC13CF"/>
    <w:rsid w:val="00AC185F"/>
    <w:rsid w:val="00AC207A"/>
    <w:rsid w:val="00AC2416"/>
    <w:rsid w:val="00AC30C4"/>
    <w:rsid w:val="00AC6D93"/>
    <w:rsid w:val="00AC7178"/>
    <w:rsid w:val="00AC724D"/>
    <w:rsid w:val="00AC74AC"/>
    <w:rsid w:val="00AC74C3"/>
    <w:rsid w:val="00AC7A45"/>
    <w:rsid w:val="00AD157F"/>
    <w:rsid w:val="00AD1608"/>
    <w:rsid w:val="00AD220C"/>
    <w:rsid w:val="00AD3587"/>
    <w:rsid w:val="00AD5B11"/>
    <w:rsid w:val="00AD645F"/>
    <w:rsid w:val="00AD73BE"/>
    <w:rsid w:val="00AD7C56"/>
    <w:rsid w:val="00AE0D65"/>
    <w:rsid w:val="00AE171D"/>
    <w:rsid w:val="00AE2C22"/>
    <w:rsid w:val="00AE2C92"/>
    <w:rsid w:val="00AE4B84"/>
    <w:rsid w:val="00AE62F9"/>
    <w:rsid w:val="00AE6D77"/>
    <w:rsid w:val="00AE7350"/>
    <w:rsid w:val="00AF06D3"/>
    <w:rsid w:val="00AF09C1"/>
    <w:rsid w:val="00AF1985"/>
    <w:rsid w:val="00AF1F2A"/>
    <w:rsid w:val="00AF24B0"/>
    <w:rsid w:val="00AF3BB9"/>
    <w:rsid w:val="00AF5039"/>
    <w:rsid w:val="00AF52B6"/>
    <w:rsid w:val="00AF5722"/>
    <w:rsid w:val="00AF5B07"/>
    <w:rsid w:val="00AF5DFF"/>
    <w:rsid w:val="00AF6C2E"/>
    <w:rsid w:val="00AF7827"/>
    <w:rsid w:val="00AF7BB9"/>
    <w:rsid w:val="00B00B51"/>
    <w:rsid w:val="00B01739"/>
    <w:rsid w:val="00B02D9C"/>
    <w:rsid w:val="00B031CA"/>
    <w:rsid w:val="00B06420"/>
    <w:rsid w:val="00B078FE"/>
    <w:rsid w:val="00B12FF7"/>
    <w:rsid w:val="00B13046"/>
    <w:rsid w:val="00B13E59"/>
    <w:rsid w:val="00B1412D"/>
    <w:rsid w:val="00B144BE"/>
    <w:rsid w:val="00B1476F"/>
    <w:rsid w:val="00B162CD"/>
    <w:rsid w:val="00B1661F"/>
    <w:rsid w:val="00B16B75"/>
    <w:rsid w:val="00B17696"/>
    <w:rsid w:val="00B17BB3"/>
    <w:rsid w:val="00B17D0D"/>
    <w:rsid w:val="00B21230"/>
    <w:rsid w:val="00B21FEA"/>
    <w:rsid w:val="00B23497"/>
    <w:rsid w:val="00B246BF"/>
    <w:rsid w:val="00B247C8"/>
    <w:rsid w:val="00B2508A"/>
    <w:rsid w:val="00B25A19"/>
    <w:rsid w:val="00B25D49"/>
    <w:rsid w:val="00B26CE5"/>
    <w:rsid w:val="00B272B2"/>
    <w:rsid w:val="00B27E8D"/>
    <w:rsid w:val="00B30150"/>
    <w:rsid w:val="00B304C2"/>
    <w:rsid w:val="00B30780"/>
    <w:rsid w:val="00B318C7"/>
    <w:rsid w:val="00B31CC4"/>
    <w:rsid w:val="00B31E91"/>
    <w:rsid w:val="00B31EFE"/>
    <w:rsid w:val="00B3286F"/>
    <w:rsid w:val="00B32A2A"/>
    <w:rsid w:val="00B32E94"/>
    <w:rsid w:val="00B33828"/>
    <w:rsid w:val="00B33852"/>
    <w:rsid w:val="00B35445"/>
    <w:rsid w:val="00B35A69"/>
    <w:rsid w:val="00B376BF"/>
    <w:rsid w:val="00B37EA9"/>
    <w:rsid w:val="00B4072E"/>
    <w:rsid w:val="00B40E71"/>
    <w:rsid w:val="00B41E16"/>
    <w:rsid w:val="00B41F25"/>
    <w:rsid w:val="00B433F3"/>
    <w:rsid w:val="00B437F7"/>
    <w:rsid w:val="00B438D8"/>
    <w:rsid w:val="00B4429A"/>
    <w:rsid w:val="00B459FB"/>
    <w:rsid w:val="00B46B86"/>
    <w:rsid w:val="00B4796C"/>
    <w:rsid w:val="00B50F30"/>
    <w:rsid w:val="00B5181D"/>
    <w:rsid w:val="00B51CD0"/>
    <w:rsid w:val="00B52047"/>
    <w:rsid w:val="00B522DA"/>
    <w:rsid w:val="00B52622"/>
    <w:rsid w:val="00B52B2F"/>
    <w:rsid w:val="00B533FD"/>
    <w:rsid w:val="00B53724"/>
    <w:rsid w:val="00B54D19"/>
    <w:rsid w:val="00B55C2E"/>
    <w:rsid w:val="00B55F2C"/>
    <w:rsid w:val="00B56033"/>
    <w:rsid w:val="00B567A0"/>
    <w:rsid w:val="00B568C4"/>
    <w:rsid w:val="00B5724E"/>
    <w:rsid w:val="00B572AA"/>
    <w:rsid w:val="00B57961"/>
    <w:rsid w:val="00B6075B"/>
    <w:rsid w:val="00B6081D"/>
    <w:rsid w:val="00B6129D"/>
    <w:rsid w:val="00B63C59"/>
    <w:rsid w:val="00B63FFE"/>
    <w:rsid w:val="00B64062"/>
    <w:rsid w:val="00B644B8"/>
    <w:rsid w:val="00B66682"/>
    <w:rsid w:val="00B668A2"/>
    <w:rsid w:val="00B6715A"/>
    <w:rsid w:val="00B702A2"/>
    <w:rsid w:val="00B705FB"/>
    <w:rsid w:val="00B70E40"/>
    <w:rsid w:val="00B71618"/>
    <w:rsid w:val="00B7182E"/>
    <w:rsid w:val="00B71BDB"/>
    <w:rsid w:val="00B71D40"/>
    <w:rsid w:val="00B737EB"/>
    <w:rsid w:val="00B748BB"/>
    <w:rsid w:val="00B74CC1"/>
    <w:rsid w:val="00B771FF"/>
    <w:rsid w:val="00B774B5"/>
    <w:rsid w:val="00B775EA"/>
    <w:rsid w:val="00B807DA"/>
    <w:rsid w:val="00B80821"/>
    <w:rsid w:val="00B8088C"/>
    <w:rsid w:val="00B81948"/>
    <w:rsid w:val="00B830B9"/>
    <w:rsid w:val="00B83321"/>
    <w:rsid w:val="00B83575"/>
    <w:rsid w:val="00B836BA"/>
    <w:rsid w:val="00B83818"/>
    <w:rsid w:val="00B83DA2"/>
    <w:rsid w:val="00B84336"/>
    <w:rsid w:val="00B84F09"/>
    <w:rsid w:val="00B8514E"/>
    <w:rsid w:val="00B857FB"/>
    <w:rsid w:val="00B860E0"/>
    <w:rsid w:val="00B862DA"/>
    <w:rsid w:val="00B87482"/>
    <w:rsid w:val="00B90272"/>
    <w:rsid w:val="00B91D9B"/>
    <w:rsid w:val="00B92A21"/>
    <w:rsid w:val="00B92A48"/>
    <w:rsid w:val="00B92ADC"/>
    <w:rsid w:val="00B93C83"/>
    <w:rsid w:val="00B93F51"/>
    <w:rsid w:val="00B94CA6"/>
    <w:rsid w:val="00B94FEC"/>
    <w:rsid w:val="00B95349"/>
    <w:rsid w:val="00B953DC"/>
    <w:rsid w:val="00B95C2C"/>
    <w:rsid w:val="00B95E0B"/>
    <w:rsid w:val="00BA040F"/>
    <w:rsid w:val="00BA0A26"/>
    <w:rsid w:val="00BA241B"/>
    <w:rsid w:val="00BA2968"/>
    <w:rsid w:val="00BA2E26"/>
    <w:rsid w:val="00BA3197"/>
    <w:rsid w:val="00BA4B88"/>
    <w:rsid w:val="00BA51BB"/>
    <w:rsid w:val="00BA6ED5"/>
    <w:rsid w:val="00BA785E"/>
    <w:rsid w:val="00BA7C6A"/>
    <w:rsid w:val="00BB04DC"/>
    <w:rsid w:val="00BB06F4"/>
    <w:rsid w:val="00BB0B1B"/>
    <w:rsid w:val="00BB0E2F"/>
    <w:rsid w:val="00BB1BB5"/>
    <w:rsid w:val="00BB1CA6"/>
    <w:rsid w:val="00BB2811"/>
    <w:rsid w:val="00BB3117"/>
    <w:rsid w:val="00BB33A7"/>
    <w:rsid w:val="00BB3566"/>
    <w:rsid w:val="00BB39EA"/>
    <w:rsid w:val="00BB448F"/>
    <w:rsid w:val="00BB710F"/>
    <w:rsid w:val="00BB72B5"/>
    <w:rsid w:val="00BB775F"/>
    <w:rsid w:val="00BB7ED7"/>
    <w:rsid w:val="00BC0CAF"/>
    <w:rsid w:val="00BC2148"/>
    <w:rsid w:val="00BC2ADB"/>
    <w:rsid w:val="00BC2D05"/>
    <w:rsid w:val="00BC3E24"/>
    <w:rsid w:val="00BC42E1"/>
    <w:rsid w:val="00BC5184"/>
    <w:rsid w:val="00BC5C8F"/>
    <w:rsid w:val="00BC6518"/>
    <w:rsid w:val="00BC6911"/>
    <w:rsid w:val="00BC7ECC"/>
    <w:rsid w:val="00BD1DE6"/>
    <w:rsid w:val="00BD1F78"/>
    <w:rsid w:val="00BD20AC"/>
    <w:rsid w:val="00BD21E7"/>
    <w:rsid w:val="00BD2296"/>
    <w:rsid w:val="00BD2995"/>
    <w:rsid w:val="00BD37C2"/>
    <w:rsid w:val="00BD38A8"/>
    <w:rsid w:val="00BD410C"/>
    <w:rsid w:val="00BD46EA"/>
    <w:rsid w:val="00BD4B5E"/>
    <w:rsid w:val="00BD506A"/>
    <w:rsid w:val="00BD56C2"/>
    <w:rsid w:val="00BD57F8"/>
    <w:rsid w:val="00BD5DF6"/>
    <w:rsid w:val="00BD6421"/>
    <w:rsid w:val="00BD6A08"/>
    <w:rsid w:val="00BD71B3"/>
    <w:rsid w:val="00BD7362"/>
    <w:rsid w:val="00BD7ADC"/>
    <w:rsid w:val="00BD7DE6"/>
    <w:rsid w:val="00BE1503"/>
    <w:rsid w:val="00BE1A27"/>
    <w:rsid w:val="00BE2204"/>
    <w:rsid w:val="00BE2FEA"/>
    <w:rsid w:val="00BE382E"/>
    <w:rsid w:val="00BE3FF1"/>
    <w:rsid w:val="00BE58DA"/>
    <w:rsid w:val="00BE663F"/>
    <w:rsid w:val="00BE6C52"/>
    <w:rsid w:val="00BE712B"/>
    <w:rsid w:val="00BE755A"/>
    <w:rsid w:val="00BE7D83"/>
    <w:rsid w:val="00BF02D5"/>
    <w:rsid w:val="00BF07BC"/>
    <w:rsid w:val="00BF08D8"/>
    <w:rsid w:val="00BF0E81"/>
    <w:rsid w:val="00BF16F6"/>
    <w:rsid w:val="00BF2075"/>
    <w:rsid w:val="00BF2B80"/>
    <w:rsid w:val="00BF30FA"/>
    <w:rsid w:val="00BF4287"/>
    <w:rsid w:val="00BF47A8"/>
    <w:rsid w:val="00BF4C7F"/>
    <w:rsid w:val="00BF4CC2"/>
    <w:rsid w:val="00BF51B6"/>
    <w:rsid w:val="00BF580F"/>
    <w:rsid w:val="00BF5F03"/>
    <w:rsid w:val="00BF7931"/>
    <w:rsid w:val="00BF7968"/>
    <w:rsid w:val="00BF7F4D"/>
    <w:rsid w:val="00C006F6"/>
    <w:rsid w:val="00C00853"/>
    <w:rsid w:val="00C00C78"/>
    <w:rsid w:val="00C021B1"/>
    <w:rsid w:val="00C034E0"/>
    <w:rsid w:val="00C04130"/>
    <w:rsid w:val="00C048C0"/>
    <w:rsid w:val="00C04DB4"/>
    <w:rsid w:val="00C053AE"/>
    <w:rsid w:val="00C0548F"/>
    <w:rsid w:val="00C05E06"/>
    <w:rsid w:val="00C05E8C"/>
    <w:rsid w:val="00C07E5D"/>
    <w:rsid w:val="00C11B67"/>
    <w:rsid w:val="00C11BC7"/>
    <w:rsid w:val="00C11E73"/>
    <w:rsid w:val="00C139C9"/>
    <w:rsid w:val="00C14F92"/>
    <w:rsid w:val="00C15220"/>
    <w:rsid w:val="00C15825"/>
    <w:rsid w:val="00C1635E"/>
    <w:rsid w:val="00C1694D"/>
    <w:rsid w:val="00C172C5"/>
    <w:rsid w:val="00C17346"/>
    <w:rsid w:val="00C1771F"/>
    <w:rsid w:val="00C17829"/>
    <w:rsid w:val="00C17CA8"/>
    <w:rsid w:val="00C17CDA"/>
    <w:rsid w:val="00C17DA0"/>
    <w:rsid w:val="00C205C3"/>
    <w:rsid w:val="00C21328"/>
    <w:rsid w:val="00C21AE2"/>
    <w:rsid w:val="00C21C03"/>
    <w:rsid w:val="00C223AE"/>
    <w:rsid w:val="00C252E6"/>
    <w:rsid w:val="00C256CF"/>
    <w:rsid w:val="00C26471"/>
    <w:rsid w:val="00C26CAB"/>
    <w:rsid w:val="00C27DBC"/>
    <w:rsid w:val="00C27FD5"/>
    <w:rsid w:val="00C30320"/>
    <w:rsid w:val="00C309D9"/>
    <w:rsid w:val="00C30EAB"/>
    <w:rsid w:val="00C31FD2"/>
    <w:rsid w:val="00C328C2"/>
    <w:rsid w:val="00C32978"/>
    <w:rsid w:val="00C32FD4"/>
    <w:rsid w:val="00C334DE"/>
    <w:rsid w:val="00C33CA9"/>
    <w:rsid w:val="00C343D3"/>
    <w:rsid w:val="00C36A2B"/>
    <w:rsid w:val="00C36B0C"/>
    <w:rsid w:val="00C371E6"/>
    <w:rsid w:val="00C373F7"/>
    <w:rsid w:val="00C40114"/>
    <w:rsid w:val="00C41127"/>
    <w:rsid w:val="00C41F65"/>
    <w:rsid w:val="00C422E2"/>
    <w:rsid w:val="00C42D98"/>
    <w:rsid w:val="00C42E40"/>
    <w:rsid w:val="00C449F9"/>
    <w:rsid w:val="00C4538A"/>
    <w:rsid w:val="00C45DDB"/>
    <w:rsid w:val="00C46437"/>
    <w:rsid w:val="00C46D25"/>
    <w:rsid w:val="00C473B8"/>
    <w:rsid w:val="00C47EED"/>
    <w:rsid w:val="00C47F95"/>
    <w:rsid w:val="00C50419"/>
    <w:rsid w:val="00C5190D"/>
    <w:rsid w:val="00C51EB6"/>
    <w:rsid w:val="00C52397"/>
    <w:rsid w:val="00C527CF"/>
    <w:rsid w:val="00C541B0"/>
    <w:rsid w:val="00C54648"/>
    <w:rsid w:val="00C54EF4"/>
    <w:rsid w:val="00C56267"/>
    <w:rsid w:val="00C56F88"/>
    <w:rsid w:val="00C5735D"/>
    <w:rsid w:val="00C57738"/>
    <w:rsid w:val="00C57AE8"/>
    <w:rsid w:val="00C57F18"/>
    <w:rsid w:val="00C607CF"/>
    <w:rsid w:val="00C6134D"/>
    <w:rsid w:val="00C61817"/>
    <w:rsid w:val="00C6195F"/>
    <w:rsid w:val="00C61AFA"/>
    <w:rsid w:val="00C61FEA"/>
    <w:rsid w:val="00C62819"/>
    <w:rsid w:val="00C63A22"/>
    <w:rsid w:val="00C649C2"/>
    <w:rsid w:val="00C654C4"/>
    <w:rsid w:val="00C656C8"/>
    <w:rsid w:val="00C672F8"/>
    <w:rsid w:val="00C67EED"/>
    <w:rsid w:val="00C70E22"/>
    <w:rsid w:val="00C72DEE"/>
    <w:rsid w:val="00C731E2"/>
    <w:rsid w:val="00C731FF"/>
    <w:rsid w:val="00C74DD5"/>
    <w:rsid w:val="00C756DC"/>
    <w:rsid w:val="00C75C62"/>
    <w:rsid w:val="00C76F59"/>
    <w:rsid w:val="00C77DA0"/>
    <w:rsid w:val="00C80651"/>
    <w:rsid w:val="00C80D93"/>
    <w:rsid w:val="00C81247"/>
    <w:rsid w:val="00C82F62"/>
    <w:rsid w:val="00C83164"/>
    <w:rsid w:val="00C833B0"/>
    <w:rsid w:val="00C83728"/>
    <w:rsid w:val="00C84679"/>
    <w:rsid w:val="00C85202"/>
    <w:rsid w:val="00C85851"/>
    <w:rsid w:val="00C8628D"/>
    <w:rsid w:val="00C86886"/>
    <w:rsid w:val="00C8690E"/>
    <w:rsid w:val="00C877F4"/>
    <w:rsid w:val="00C910AD"/>
    <w:rsid w:val="00C91588"/>
    <w:rsid w:val="00C93527"/>
    <w:rsid w:val="00C936E7"/>
    <w:rsid w:val="00C93B04"/>
    <w:rsid w:val="00C93FA6"/>
    <w:rsid w:val="00C94B16"/>
    <w:rsid w:val="00C951B6"/>
    <w:rsid w:val="00C95AD9"/>
    <w:rsid w:val="00C95D8F"/>
    <w:rsid w:val="00C96289"/>
    <w:rsid w:val="00C962BF"/>
    <w:rsid w:val="00C96A8D"/>
    <w:rsid w:val="00CA023E"/>
    <w:rsid w:val="00CA14F1"/>
    <w:rsid w:val="00CA1E23"/>
    <w:rsid w:val="00CA2814"/>
    <w:rsid w:val="00CA2D92"/>
    <w:rsid w:val="00CA3170"/>
    <w:rsid w:val="00CA34BD"/>
    <w:rsid w:val="00CA3C73"/>
    <w:rsid w:val="00CA5334"/>
    <w:rsid w:val="00CA6475"/>
    <w:rsid w:val="00CA6634"/>
    <w:rsid w:val="00CA6CE4"/>
    <w:rsid w:val="00CA6EC1"/>
    <w:rsid w:val="00CB02BC"/>
    <w:rsid w:val="00CB0B21"/>
    <w:rsid w:val="00CB1878"/>
    <w:rsid w:val="00CB1C75"/>
    <w:rsid w:val="00CB212F"/>
    <w:rsid w:val="00CB34F4"/>
    <w:rsid w:val="00CB39EF"/>
    <w:rsid w:val="00CB4F0E"/>
    <w:rsid w:val="00CB5636"/>
    <w:rsid w:val="00CB56A0"/>
    <w:rsid w:val="00CB5B2A"/>
    <w:rsid w:val="00CB7DC4"/>
    <w:rsid w:val="00CC103A"/>
    <w:rsid w:val="00CC16CD"/>
    <w:rsid w:val="00CC1C4A"/>
    <w:rsid w:val="00CC2239"/>
    <w:rsid w:val="00CC3051"/>
    <w:rsid w:val="00CC3293"/>
    <w:rsid w:val="00CC35B9"/>
    <w:rsid w:val="00CC370F"/>
    <w:rsid w:val="00CC45CE"/>
    <w:rsid w:val="00CC562A"/>
    <w:rsid w:val="00CC5ECF"/>
    <w:rsid w:val="00CD0087"/>
    <w:rsid w:val="00CD082A"/>
    <w:rsid w:val="00CD0AFB"/>
    <w:rsid w:val="00CD0D03"/>
    <w:rsid w:val="00CD1CC6"/>
    <w:rsid w:val="00CD1F7B"/>
    <w:rsid w:val="00CD1F89"/>
    <w:rsid w:val="00CD337B"/>
    <w:rsid w:val="00CD38E0"/>
    <w:rsid w:val="00CD40DB"/>
    <w:rsid w:val="00CD4D5F"/>
    <w:rsid w:val="00CD54C5"/>
    <w:rsid w:val="00CD593C"/>
    <w:rsid w:val="00CD5F1A"/>
    <w:rsid w:val="00CD5FB3"/>
    <w:rsid w:val="00CD658D"/>
    <w:rsid w:val="00CD68BB"/>
    <w:rsid w:val="00CD745F"/>
    <w:rsid w:val="00CD7696"/>
    <w:rsid w:val="00CD7F48"/>
    <w:rsid w:val="00CE02FC"/>
    <w:rsid w:val="00CE05E3"/>
    <w:rsid w:val="00CE0C95"/>
    <w:rsid w:val="00CE1241"/>
    <w:rsid w:val="00CE19F0"/>
    <w:rsid w:val="00CE1F0F"/>
    <w:rsid w:val="00CE298C"/>
    <w:rsid w:val="00CE3631"/>
    <w:rsid w:val="00CE3FA7"/>
    <w:rsid w:val="00CE40FA"/>
    <w:rsid w:val="00CE45A1"/>
    <w:rsid w:val="00CE498D"/>
    <w:rsid w:val="00CE4B5B"/>
    <w:rsid w:val="00CE5372"/>
    <w:rsid w:val="00CE5A3F"/>
    <w:rsid w:val="00CE5C96"/>
    <w:rsid w:val="00CE5CB1"/>
    <w:rsid w:val="00CE681B"/>
    <w:rsid w:val="00CF1114"/>
    <w:rsid w:val="00CF1C5D"/>
    <w:rsid w:val="00CF2673"/>
    <w:rsid w:val="00CF3484"/>
    <w:rsid w:val="00CF458A"/>
    <w:rsid w:val="00CF68DE"/>
    <w:rsid w:val="00CF76DB"/>
    <w:rsid w:val="00CF7787"/>
    <w:rsid w:val="00D0021A"/>
    <w:rsid w:val="00D00773"/>
    <w:rsid w:val="00D01403"/>
    <w:rsid w:val="00D01542"/>
    <w:rsid w:val="00D01B3D"/>
    <w:rsid w:val="00D026AC"/>
    <w:rsid w:val="00D0270B"/>
    <w:rsid w:val="00D02B31"/>
    <w:rsid w:val="00D02D6E"/>
    <w:rsid w:val="00D04525"/>
    <w:rsid w:val="00D0465D"/>
    <w:rsid w:val="00D05695"/>
    <w:rsid w:val="00D0596E"/>
    <w:rsid w:val="00D05A1E"/>
    <w:rsid w:val="00D05E31"/>
    <w:rsid w:val="00D065E2"/>
    <w:rsid w:val="00D07021"/>
    <w:rsid w:val="00D10290"/>
    <w:rsid w:val="00D10DA3"/>
    <w:rsid w:val="00D1109E"/>
    <w:rsid w:val="00D11716"/>
    <w:rsid w:val="00D12422"/>
    <w:rsid w:val="00D12793"/>
    <w:rsid w:val="00D12BEF"/>
    <w:rsid w:val="00D13653"/>
    <w:rsid w:val="00D13BCA"/>
    <w:rsid w:val="00D145AB"/>
    <w:rsid w:val="00D14F89"/>
    <w:rsid w:val="00D155F5"/>
    <w:rsid w:val="00D15B7E"/>
    <w:rsid w:val="00D15C3C"/>
    <w:rsid w:val="00D163DB"/>
    <w:rsid w:val="00D17A6D"/>
    <w:rsid w:val="00D17F49"/>
    <w:rsid w:val="00D207FD"/>
    <w:rsid w:val="00D20CB1"/>
    <w:rsid w:val="00D20DCB"/>
    <w:rsid w:val="00D2172E"/>
    <w:rsid w:val="00D21CC7"/>
    <w:rsid w:val="00D2207E"/>
    <w:rsid w:val="00D22A94"/>
    <w:rsid w:val="00D23162"/>
    <w:rsid w:val="00D2373F"/>
    <w:rsid w:val="00D23E39"/>
    <w:rsid w:val="00D23E9E"/>
    <w:rsid w:val="00D24D5A"/>
    <w:rsid w:val="00D250C9"/>
    <w:rsid w:val="00D25590"/>
    <w:rsid w:val="00D26122"/>
    <w:rsid w:val="00D263CD"/>
    <w:rsid w:val="00D264A1"/>
    <w:rsid w:val="00D26718"/>
    <w:rsid w:val="00D26AE8"/>
    <w:rsid w:val="00D26C79"/>
    <w:rsid w:val="00D2731A"/>
    <w:rsid w:val="00D275F1"/>
    <w:rsid w:val="00D2768F"/>
    <w:rsid w:val="00D27B1A"/>
    <w:rsid w:val="00D3037D"/>
    <w:rsid w:val="00D303F6"/>
    <w:rsid w:val="00D30F1F"/>
    <w:rsid w:val="00D31156"/>
    <w:rsid w:val="00D313FB"/>
    <w:rsid w:val="00D31BB2"/>
    <w:rsid w:val="00D323F9"/>
    <w:rsid w:val="00D3243C"/>
    <w:rsid w:val="00D343E3"/>
    <w:rsid w:val="00D3514C"/>
    <w:rsid w:val="00D3527D"/>
    <w:rsid w:val="00D35661"/>
    <w:rsid w:val="00D3596C"/>
    <w:rsid w:val="00D3700E"/>
    <w:rsid w:val="00D372FB"/>
    <w:rsid w:val="00D37984"/>
    <w:rsid w:val="00D41AC0"/>
    <w:rsid w:val="00D423F9"/>
    <w:rsid w:val="00D42F1C"/>
    <w:rsid w:val="00D43186"/>
    <w:rsid w:val="00D43FA6"/>
    <w:rsid w:val="00D4462E"/>
    <w:rsid w:val="00D44C71"/>
    <w:rsid w:val="00D468F3"/>
    <w:rsid w:val="00D46E94"/>
    <w:rsid w:val="00D47366"/>
    <w:rsid w:val="00D47401"/>
    <w:rsid w:val="00D47472"/>
    <w:rsid w:val="00D47D3E"/>
    <w:rsid w:val="00D5076A"/>
    <w:rsid w:val="00D50A15"/>
    <w:rsid w:val="00D5169C"/>
    <w:rsid w:val="00D52952"/>
    <w:rsid w:val="00D529D9"/>
    <w:rsid w:val="00D52A54"/>
    <w:rsid w:val="00D53C86"/>
    <w:rsid w:val="00D53FDE"/>
    <w:rsid w:val="00D54AD8"/>
    <w:rsid w:val="00D552D3"/>
    <w:rsid w:val="00D55F6B"/>
    <w:rsid w:val="00D564E1"/>
    <w:rsid w:val="00D604C8"/>
    <w:rsid w:val="00D60D44"/>
    <w:rsid w:val="00D61606"/>
    <w:rsid w:val="00D61F40"/>
    <w:rsid w:val="00D62B1E"/>
    <w:rsid w:val="00D6526F"/>
    <w:rsid w:val="00D65998"/>
    <w:rsid w:val="00D66C6D"/>
    <w:rsid w:val="00D67EA7"/>
    <w:rsid w:val="00D70154"/>
    <w:rsid w:val="00D712E2"/>
    <w:rsid w:val="00D72734"/>
    <w:rsid w:val="00D72925"/>
    <w:rsid w:val="00D72A17"/>
    <w:rsid w:val="00D72E0A"/>
    <w:rsid w:val="00D734A1"/>
    <w:rsid w:val="00D740BA"/>
    <w:rsid w:val="00D756B2"/>
    <w:rsid w:val="00D76226"/>
    <w:rsid w:val="00D769CA"/>
    <w:rsid w:val="00D80B17"/>
    <w:rsid w:val="00D81B0D"/>
    <w:rsid w:val="00D81D88"/>
    <w:rsid w:val="00D828A8"/>
    <w:rsid w:val="00D82B60"/>
    <w:rsid w:val="00D82BC6"/>
    <w:rsid w:val="00D833BF"/>
    <w:rsid w:val="00D87725"/>
    <w:rsid w:val="00D87990"/>
    <w:rsid w:val="00D87A5A"/>
    <w:rsid w:val="00D91F29"/>
    <w:rsid w:val="00D92689"/>
    <w:rsid w:val="00D9295B"/>
    <w:rsid w:val="00D9389C"/>
    <w:rsid w:val="00D93AFD"/>
    <w:rsid w:val="00D93E15"/>
    <w:rsid w:val="00D95CDE"/>
    <w:rsid w:val="00D960B4"/>
    <w:rsid w:val="00D97DA0"/>
    <w:rsid w:val="00DA0637"/>
    <w:rsid w:val="00DA0764"/>
    <w:rsid w:val="00DA0871"/>
    <w:rsid w:val="00DA1E29"/>
    <w:rsid w:val="00DA2A08"/>
    <w:rsid w:val="00DA2B79"/>
    <w:rsid w:val="00DA2DB4"/>
    <w:rsid w:val="00DA2FA3"/>
    <w:rsid w:val="00DA4090"/>
    <w:rsid w:val="00DA56FF"/>
    <w:rsid w:val="00DA592D"/>
    <w:rsid w:val="00DA6666"/>
    <w:rsid w:val="00DA66E3"/>
    <w:rsid w:val="00DA6A8A"/>
    <w:rsid w:val="00DA6F08"/>
    <w:rsid w:val="00DA7494"/>
    <w:rsid w:val="00DB0DE0"/>
    <w:rsid w:val="00DB16B3"/>
    <w:rsid w:val="00DB1AE8"/>
    <w:rsid w:val="00DB31D9"/>
    <w:rsid w:val="00DB3A9F"/>
    <w:rsid w:val="00DB3CFE"/>
    <w:rsid w:val="00DB3D7A"/>
    <w:rsid w:val="00DB426A"/>
    <w:rsid w:val="00DB5112"/>
    <w:rsid w:val="00DB59A7"/>
    <w:rsid w:val="00DB606A"/>
    <w:rsid w:val="00DB60D5"/>
    <w:rsid w:val="00DB6609"/>
    <w:rsid w:val="00DB6951"/>
    <w:rsid w:val="00DB754D"/>
    <w:rsid w:val="00DB7E16"/>
    <w:rsid w:val="00DC0837"/>
    <w:rsid w:val="00DC0B3D"/>
    <w:rsid w:val="00DC185C"/>
    <w:rsid w:val="00DC1BBC"/>
    <w:rsid w:val="00DC2750"/>
    <w:rsid w:val="00DC2CAB"/>
    <w:rsid w:val="00DC386B"/>
    <w:rsid w:val="00DC42B5"/>
    <w:rsid w:val="00DC49EF"/>
    <w:rsid w:val="00DC515F"/>
    <w:rsid w:val="00DC5B39"/>
    <w:rsid w:val="00DC5C03"/>
    <w:rsid w:val="00DC615F"/>
    <w:rsid w:val="00DC6919"/>
    <w:rsid w:val="00DC7991"/>
    <w:rsid w:val="00DC79C3"/>
    <w:rsid w:val="00DC7B77"/>
    <w:rsid w:val="00DD0324"/>
    <w:rsid w:val="00DD07E7"/>
    <w:rsid w:val="00DD2895"/>
    <w:rsid w:val="00DD2F73"/>
    <w:rsid w:val="00DD3427"/>
    <w:rsid w:val="00DD34CF"/>
    <w:rsid w:val="00DD3D3A"/>
    <w:rsid w:val="00DD552A"/>
    <w:rsid w:val="00DD6316"/>
    <w:rsid w:val="00DD71A0"/>
    <w:rsid w:val="00DD7A5A"/>
    <w:rsid w:val="00DD7B8F"/>
    <w:rsid w:val="00DD7FCE"/>
    <w:rsid w:val="00DE211A"/>
    <w:rsid w:val="00DE2489"/>
    <w:rsid w:val="00DE2F6A"/>
    <w:rsid w:val="00DE33A5"/>
    <w:rsid w:val="00DE409A"/>
    <w:rsid w:val="00DE44C7"/>
    <w:rsid w:val="00DE4D54"/>
    <w:rsid w:val="00DE5277"/>
    <w:rsid w:val="00DE5EA4"/>
    <w:rsid w:val="00DE69CB"/>
    <w:rsid w:val="00DE7595"/>
    <w:rsid w:val="00DE7BB2"/>
    <w:rsid w:val="00DF08F4"/>
    <w:rsid w:val="00DF1FD0"/>
    <w:rsid w:val="00DF2BDC"/>
    <w:rsid w:val="00DF4A94"/>
    <w:rsid w:val="00DF5922"/>
    <w:rsid w:val="00DF5CD3"/>
    <w:rsid w:val="00DF65AE"/>
    <w:rsid w:val="00DF700D"/>
    <w:rsid w:val="00DF7937"/>
    <w:rsid w:val="00E006B9"/>
    <w:rsid w:val="00E016D4"/>
    <w:rsid w:val="00E01751"/>
    <w:rsid w:val="00E01995"/>
    <w:rsid w:val="00E01E92"/>
    <w:rsid w:val="00E01FEF"/>
    <w:rsid w:val="00E02134"/>
    <w:rsid w:val="00E04048"/>
    <w:rsid w:val="00E0563D"/>
    <w:rsid w:val="00E0578F"/>
    <w:rsid w:val="00E05F2A"/>
    <w:rsid w:val="00E06065"/>
    <w:rsid w:val="00E06581"/>
    <w:rsid w:val="00E06EAD"/>
    <w:rsid w:val="00E07DD0"/>
    <w:rsid w:val="00E07F4E"/>
    <w:rsid w:val="00E11A59"/>
    <w:rsid w:val="00E12651"/>
    <w:rsid w:val="00E13672"/>
    <w:rsid w:val="00E14278"/>
    <w:rsid w:val="00E142CE"/>
    <w:rsid w:val="00E15E7D"/>
    <w:rsid w:val="00E1630C"/>
    <w:rsid w:val="00E17DC7"/>
    <w:rsid w:val="00E17F48"/>
    <w:rsid w:val="00E20827"/>
    <w:rsid w:val="00E20CC6"/>
    <w:rsid w:val="00E21647"/>
    <w:rsid w:val="00E219CE"/>
    <w:rsid w:val="00E240FE"/>
    <w:rsid w:val="00E24747"/>
    <w:rsid w:val="00E2497C"/>
    <w:rsid w:val="00E24E92"/>
    <w:rsid w:val="00E24F83"/>
    <w:rsid w:val="00E25576"/>
    <w:rsid w:val="00E2599C"/>
    <w:rsid w:val="00E26324"/>
    <w:rsid w:val="00E26A35"/>
    <w:rsid w:val="00E26F04"/>
    <w:rsid w:val="00E2713D"/>
    <w:rsid w:val="00E30162"/>
    <w:rsid w:val="00E30D1A"/>
    <w:rsid w:val="00E320E9"/>
    <w:rsid w:val="00E32DCF"/>
    <w:rsid w:val="00E33557"/>
    <w:rsid w:val="00E3379A"/>
    <w:rsid w:val="00E337D0"/>
    <w:rsid w:val="00E34A35"/>
    <w:rsid w:val="00E34E9C"/>
    <w:rsid w:val="00E40652"/>
    <w:rsid w:val="00E4136E"/>
    <w:rsid w:val="00E4270E"/>
    <w:rsid w:val="00E42841"/>
    <w:rsid w:val="00E44308"/>
    <w:rsid w:val="00E44777"/>
    <w:rsid w:val="00E44C2A"/>
    <w:rsid w:val="00E44F45"/>
    <w:rsid w:val="00E461A4"/>
    <w:rsid w:val="00E47D7D"/>
    <w:rsid w:val="00E50332"/>
    <w:rsid w:val="00E50DB0"/>
    <w:rsid w:val="00E528A3"/>
    <w:rsid w:val="00E52EBA"/>
    <w:rsid w:val="00E53216"/>
    <w:rsid w:val="00E5480D"/>
    <w:rsid w:val="00E54A94"/>
    <w:rsid w:val="00E54EB2"/>
    <w:rsid w:val="00E55171"/>
    <w:rsid w:val="00E5543F"/>
    <w:rsid w:val="00E558AB"/>
    <w:rsid w:val="00E571DD"/>
    <w:rsid w:val="00E57C36"/>
    <w:rsid w:val="00E606FB"/>
    <w:rsid w:val="00E6139C"/>
    <w:rsid w:val="00E613EA"/>
    <w:rsid w:val="00E61DC7"/>
    <w:rsid w:val="00E61E97"/>
    <w:rsid w:val="00E61F41"/>
    <w:rsid w:val="00E62829"/>
    <w:rsid w:val="00E62F4A"/>
    <w:rsid w:val="00E64900"/>
    <w:rsid w:val="00E64B91"/>
    <w:rsid w:val="00E65150"/>
    <w:rsid w:val="00E669B8"/>
    <w:rsid w:val="00E66AB4"/>
    <w:rsid w:val="00E67AE3"/>
    <w:rsid w:val="00E67DE4"/>
    <w:rsid w:val="00E71AB4"/>
    <w:rsid w:val="00E7203B"/>
    <w:rsid w:val="00E7222E"/>
    <w:rsid w:val="00E72302"/>
    <w:rsid w:val="00E72E9E"/>
    <w:rsid w:val="00E74D3D"/>
    <w:rsid w:val="00E752B9"/>
    <w:rsid w:val="00E7585C"/>
    <w:rsid w:val="00E75B6E"/>
    <w:rsid w:val="00E76A5A"/>
    <w:rsid w:val="00E77029"/>
    <w:rsid w:val="00E81B5A"/>
    <w:rsid w:val="00E8263D"/>
    <w:rsid w:val="00E8287E"/>
    <w:rsid w:val="00E83746"/>
    <w:rsid w:val="00E8412E"/>
    <w:rsid w:val="00E85342"/>
    <w:rsid w:val="00E86079"/>
    <w:rsid w:val="00E86CCA"/>
    <w:rsid w:val="00E86D59"/>
    <w:rsid w:val="00E877D2"/>
    <w:rsid w:val="00E901F8"/>
    <w:rsid w:val="00E90F8A"/>
    <w:rsid w:val="00E91617"/>
    <w:rsid w:val="00E91CB5"/>
    <w:rsid w:val="00E92756"/>
    <w:rsid w:val="00E945DC"/>
    <w:rsid w:val="00E949E0"/>
    <w:rsid w:val="00E95F00"/>
    <w:rsid w:val="00E9706E"/>
    <w:rsid w:val="00E974A5"/>
    <w:rsid w:val="00EA012F"/>
    <w:rsid w:val="00EA0133"/>
    <w:rsid w:val="00EA0695"/>
    <w:rsid w:val="00EA07F3"/>
    <w:rsid w:val="00EA2654"/>
    <w:rsid w:val="00EA44A7"/>
    <w:rsid w:val="00EA5A6A"/>
    <w:rsid w:val="00EA65C8"/>
    <w:rsid w:val="00EA661B"/>
    <w:rsid w:val="00EA6819"/>
    <w:rsid w:val="00EA6A05"/>
    <w:rsid w:val="00EA6C5F"/>
    <w:rsid w:val="00EB113D"/>
    <w:rsid w:val="00EB1C3A"/>
    <w:rsid w:val="00EB2D9B"/>
    <w:rsid w:val="00EB3BD8"/>
    <w:rsid w:val="00EB4655"/>
    <w:rsid w:val="00EB4764"/>
    <w:rsid w:val="00EB49EC"/>
    <w:rsid w:val="00EB4B35"/>
    <w:rsid w:val="00EB7723"/>
    <w:rsid w:val="00EB77D1"/>
    <w:rsid w:val="00EC0285"/>
    <w:rsid w:val="00EC0F88"/>
    <w:rsid w:val="00EC1585"/>
    <w:rsid w:val="00EC1B0F"/>
    <w:rsid w:val="00EC21D1"/>
    <w:rsid w:val="00EC326B"/>
    <w:rsid w:val="00EC33F1"/>
    <w:rsid w:val="00EC4265"/>
    <w:rsid w:val="00EC4F81"/>
    <w:rsid w:val="00EC53BE"/>
    <w:rsid w:val="00EC53E9"/>
    <w:rsid w:val="00EC61BA"/>
    <w:rsid w:val="00EC64F0"/>
    <w:rsid w:val="00EC7717"/>
    <w:rsid w:val="00EC7848"/>
    <w:rsid w:val="00ED09EA"/>
    <w:rsid w:val="00ED1A48"/>
    <w:rsid w:val="00ED2800"/>
    <w:rsid w:val="00ED2C51"/>
    <w:rsid w:val="00ED2CBE"/>
    <w:rsid w:val="00ED37A9"/>
    <w:rsid w:val="00ED3881"/>
    <w:rsid w:val="00ED39CC"/>
    <w:rsid w:val="00ED3EE6"/>
    <w:rsid w:val="00ED5D05"/>
    <w:rsid w:val="00ED5FE0"/>
    <w:rsid w:val="00ED6D01"/>
    <w:rsid w:val="00ED77E1"/>
    <w:rsid w:val="00EE1E4A"/>
    <w:rsid w:val="00EE33DA"/>
    <w:rsid w:val="00EE41ED"/>
    <w:rsid w:val="00EE4CEA"/>
    <w:rsid w:val="00EE4F9F"/>
    <w:rsid w:val="00EE51F7"/>
    <w:rsid w:val="00EE5DEE"/>
    <w:rsid w:val="00EE6737"/>
    <w:rsid w:val="00EE6E68"/>
    <w:rsid w:val="00EE7A78"/>
    <w:rsid w:val="00EF0574"/>
    <w:rsid w:val="00EF1975"/>
    <w:rsid w:val="00EF1BD7"/>
    <w:rsid w:val="00EF1CE6"/>
    <w:rsid w:val="00EF1D79"/>
    <w:rsid w:val="00EF2D51"/>
    <w:rsid w:val="00EF3239"/>
    <w:rsid w:val="00EF4223"/>
    <w:rsid w:val="00EF467C"/>
    <w:rsid w:val="00EF4D33"/>
    <w:rsid w:val="00EF5216"/>
    <w:rsid w:val="00EF5769"/>
    <w:rsid w:val="00EF5826"/>
    <w:rsid w:val="00EF62A3"/>
    <w:rsid w:val="00EF6914"/>
    <w:rsid w:val="00EF6BEB"/>
    <w:rsid w:val="00EF72B8"/>
    <w:rsid w:val="00EF7AA5"/>
    <w:rsid w:val="00EF7D4D"/>
    <w:rsid w:val="00EF7E38"/>
    <w:rsid w:val="00F0173A"/>
    <w:rsid w:val="00F02D38"/>
    <w:rsid w:val="00F0345E"/>
    <w:rsid w:val="00F03847"/>
    <w:rsid w:val="00F03989"/>
    <w:rsid w:val="00F0515C"/>
    <w:rsid w:val="00F0524F"/>
    <w:rsid w:val="00F06580"/>
    <w:rsid w:val="00F06D4C"/>
    <w:rsid w:val="00F07529"/>
    <w:rsid w:val="00F105BF"/>
    <w:rsid w:val="00F11FEC"/>
    <w:rsid w:val="00F121B7"/>
    <w:rsid w:val="00F12756"/>
    <w:rsid w:val="00F1365E"/>
    <w:rsid w:val="00F14126"/>
    <w:rsid w:val="00F152DE"/>
    <w:rsid w:val="00F169FC"/>
    <w:rsid w:val="00F16B97"/>
    <w:rsid w:val="00F17374"/>
    <w:rsid w:val="00F174FC"/>
    <w:rsid w:val="00F20106"/>
    <w:rsid w:val="00F20182"/>
    <w:rsid w:val="00F201B6"/>
    <w:rsid w:val="00F228A4"/>
    <w:rsid w:val="00F261CD"/>
    <w:rsid w:val="00F26785"/>
    <w:rsid w:val="00F2748B"/>
    <w:rsid w:val="00F303E5"/>
    <w:rsid w:val="00F30637"/>
    <w:rsid w:val="00F31346"/>
    <w:rsid w:val="00F3179C"/>
    <w:rsid w:val="00F32283"/>
    <w:rsid w:val="00F32FFD"/>
    <w:rsid w:val="00F33465"/>
    <w:rsid w:val="00F358A7"/>
    <w:rsid w:val="00F3628A"/>
    <w:rsid w:val="00F365DE"/>
    <w:rsid w:val="00F373B6"/>
    <w:rsid w:val="00F41312"/>
    <w:rsid w:val="00F41A8D"/>
    <w:rsid w:val="00F42040"/>
    <w:rsid w:val="00F421CC"/>
    <w:rsid w:val="00F42C62"/>
    <w:rsid w:val="00F43E09"/>
    <w:rsid w:val="00F448E7"/>
    <w:rsid w:val="00F45BA9"/>
    <w:rsid w:val="00F47E9A"/>
    <w:rsid w:val="00F50160"/>
    <w:rsid w:val="00F504FF"/>
    <w:rsid w:val="00F518FD"/>
    <w:rsid w:val="00F52DCD"/>
    <w:rsid w:val="00F52DEE"/>
    <w:rsid w:val="00F53112"/>
    <w:rsid w:val="00F53F32"/>
    <w:rsid w:val="00F55743"/>
    <w:rsid w:val="00F55D75"/>
    <w:rsid w:val="00F5666F"/>
    <w:rsid w:val="00F6078F"/>
    <w:rsid w:val="00F60F76"/>
    <w:rsid w:val="00F6113A"/>
    <w:rsid w:val="00F616A1"/>
    <w:rsid w:val="00F636B6"/>
    <w:rsid w:val="00F64C88"/>
    <w:rsid w:val="00F65856"/>
    <w:rsid w:val="00F67BD5"/>
    <w:rsid w:val="00F714D6"/>
    <w:rsid w:val="00F718D3"/>
    <w:rsid w:val="00F723F3"/>
    <w:rsid w:val="00F72938"/>
    <w:rsid w:val="00F74113"/>
    <w:rsid w:val="00F742EF"/>
    <w:rsid w:val="00F745DB"/>
    <w:rsid w:val="00F74E61"/>
    <w:rsid w:val="00F75608"/>
    <w:rsid w:val="00F75935"/>
    <w:rsid w:val="00F76859"/>
    <w:rsid w:val="00F76911"/>
    <w:rsid w:val="00F76D19"/>
    <w:rsid w:val="00F77285"/>
    <w:rsid w:val="00F774D0"/>
    <w:rsid w:val="00F775C9"/>
    <w:rsid w:val="00F77B59"/>
    <w:rsid w:val="00F80845"/>
    <w:rsid w:val="00F81519"/>
    <w:rsid w:val="00F81733"/>
    <w:rsid w:val="00F84F91"/>
    <w:rsid w:val="00F8540D"/>
    <w:rsid w:val="00F86503"/>
    <w:rsid w:val="00F865E5"/>
    <w:rsid w:val="00F86A21"/>
    <w:rsid w:val="00F870C9"/>
    <w:rsid w:val="00F91B0C"/>
    <w:rsid w:val="00F91BA8"/>
    <w:rsid w:val="00F92820"/>
    <w:rsid w:val="00F92EA7"/>
    <w:rsid w:val="00F93115"/>
    <w:rsid w:val="00F93A95"/>
    <w:rsid w:val="00F93C65"/>
    <w:rsid w:val="00F946EF"/>
    <w:rsid w:val="00F95654"/>
    <w:rsid w:val="00F95C70"/>
    <w:rsid w:val="00F9601F"/>
    <w:rsid w:val="00F96F0C"/>
    <w:rsid w:val="00F97312"/>
    <w:rsid w:val="00F976B5"/>
    <w:rsid w:val="00FA07A3"/>
    <w:rsid w:val="00FA1291"/>
    <w:rsid w:val="00FA2D9A"/>
    <w:rsid w:val="00FA31CA"/>
    <w:rsid w:val="00FA3951"/>
    <w:rsid w:val="00FA5C15"/>
    <w:rsid w:val="00FA67F3"/>
    <w:rsid w:val="00FA699C"/>
    <w:rsid w:val="00FA760B"/>
    <w:rsid w:val="00FB009A"/>
    <w:rsid w:val="00FB0241"/>
    <w:rsid w:val="00FB070A"/>
    <w:rsid w:val="00FB0C3C"/>
    <w:rsid w:val="00FB127C"/>
    <w:rsid w:val="00FB13B2"/>
    <w:rsid w:val="00FB2134"/>
    <w:rsid w:val="00FB2B31"/>
    <w:rsid w:val="00FB2E89"/>
    <w:rsid w:val="00FB380B"/>
    <w:rsid w:val="00FB3982"/>
    <w:rsid w:val="00FB4364"/>
    <w:rsid w:val="00FB48D3"/>
    <w:rsid w:val="00FB51C4"/>
    <w:rsid w:val="00FB5AE6"/>
    <w:rsid w:val="00FB7A11"/>
    <w:rsid w:val="00FB7E1F"/>
    <w:rsid w:val="00FC087D"/>
    <w:rsid w:val="00FC0C2A"/>
    <w:rsid w:val="00FC0FC4"/>
    <w:rsid w:val="00FC1753"/>
    <w:rsid w:val="00FC27A8"/>
    <w:rsid w:val="00FC3685"/>
    <w:rsid w:val="00FC39E2"/>
    <w:rsid w:val="00FC3FC4"/>
    <w:rsid w:val="00FC528D"/>
    <w:rsid w:val="00FC62D7"/>
    <w:rsid w:val="00FC6888"/>
    <w:rsid w:val="00FC688A"/>
    <w:rsid w:val="00FD0223"/>
    <w:rsid w:val="00FD14EC"/>
    <w:rsid w:val="00FD1578"/>
    <w:rsid w:val="00FD24BF"/>
    <w:rsid w:val="00FD4354"/>
    <w:rsid w:val="00FD5B3C"/>
    <w:rsid w:val="00FD60D4"/>
    <w:rsid w:val="00FD651C"/>
    <w:rsid w:val="00FD7A39"/>
    <w:rsid w:val="00FD7E8D"/>
    <w:rsid w:val="00FD7E8F"/>
    <w:rsid w:val="00FE0E21"/>
    <w:rsid w:val="00FE223B"/>
    <w:rsid w:val="00FE34D5"/>
    <w:rsid w:val="00FE3AC6"/>
    <w:rsid w:val="00FE42DC"/>
    <w:rsid w:val="00FE5AA1"/>
    <w:rsid w:val="00FE5CA3"/>
    <w:rsid w:val="00FF005E"/>
    <w:rsid w:val="00FF230B"/>
    <w:rsid w:val="00FF262B"/>
    <w:rsid w:val="00FF2D82"/>
    <w:rsid w:val="00FF5BA1"/>
    <w:rsid w:val="00FF67A0"/>
    <w:rsid w:val="00FF77D1"/>
    <w:rsid w:val="011752B3"/>
    <w:rsid w:val="0143418E"/>
    <w:rsid w:val="01777DAB"/>
    <w:rsid w:val="01EE1D15"/>
    <w:rsid w:val="01F7F6B5"/>
    <w:rsid w:val="020DD732"/>
    <w:rsid w:val="02129377"/>
    <w:rsid w:val="02481D4D"/>
    <w:rsid w:val="026CF6A1"/>
    <w:rsid w:val="02955A37"/>
    <w:rsid w:val="02A0928A"/>
    <w:rsid w:val="031FB41C"/>
    <w:rsid w:val="033BDF45"/>
    <w:rsid w:val="03476CD2"/>
    <w:rsid w:val="034CEA08"/>
    <w:rsid w:val="0382D304"/>
    <w:rsid w:val="04420DC1"/>
    <w:rsid w:val="0450E296"/>
    <w:rsid w:val="04970836"/>
    <w:rsid w:val="04BEB5D6"/>
    <w:rsid w:val="04F3A8B9"/>
    <w:rsid w:val="0525241D"/>
    <w:rsid w:val="05B64CA1"/>
    <w:rsid w:val="060563A5"/>
    <w:rsid w:val="061EE1D8"/>
    <w:rsid w:val="063F0C55"/>
    <w:rsid w:val="066F2113"/>
    <w:rsid w:val="06BA73C6"/>
    <w:rsid w:val="070077E6"/>
    <w:rsid w:val="0704B9BC"/>
    <w:rsid w:val="07317B36"/>
    <w:rsid w:val="07370009"/>
    <w:rsid w:val="0781452D"/>
    <w:rsid w:val="078ACE9D"/>
    <w:rsid w:val="080397BB"/>
    <w:rsid w:val="08042846"/>
    <w:rsid w:val="0878852F"/>
    <w:rsid w:val="0903135B"/>
    <w:rsid w:val="09099F20"/>
    <w:rsid w:val="0921AB3B"/>
    <w:rsid w:val="09413AA8"/>
    <w:rsid w:val="094B28A2"/>
    <w:rsid w:val="09657EA8"/>
    <w:rsid w:val="09C579D8"/>
    <w:rsid w:val="09E2C0AA"/>
    <w:rsid w:val="0A07FCD2"/>
    <w:rsid w:val="0A1CB679"/>
    <w:rsid w:val="0A870C0B"/>
    <w:rsid w:val="0AB2BE9C"/>
    <w:rsid w:val="0AD48E80"/>
    <w:rsid w:val="0AE5CF12"/>
    <w:rsid w:val="0B256FD5"/>
    <w:rsid w:val="0B5B231B"/>
    <w:rsid w:val="0B607E93"/>
    <w:rsid w:val="0B61A9D3"/>
    <w:rsid w:val="0BB6113E"/>
    <w:rsid w:val="0BCB12A0"/>
    <w:rsid w:val="0BD5D736"/>
    <w:rsid w:val="0C481A4B"/>
    <w:rsid w:val="0D11FD45"/>
    <w:rsid w:val="0D34D060"/>
    <w:rsid w:val="0D541D67"/>
    <w:rsid w:val="0D6081FB"/>
    <w:rsid w:val="0D883B6C"/>
    <w:rsid w:val="0DC4BF25"/>
    <w:rsid w:val="0E059B76"/>
    <w:rsid w:val="0E17035A"/>
    <w:rsid w:val="0E3B2778"/>
    <w:rsid w:val="0EDED692"/>
    <w:rsid w:val="0EF7127E"/>
    <w:rsid w:val="0F30B7EF"/>
    <w:rsid w:val="0F58A933"/>
    <w:rsid w:val="0F80ABB6"/>
    <w:rsid w:val="0FBDB36E"/>
    <w:rsid w:val="0FE1D5A1"/>
    <w:rsid w:val="1033D4FA"/>
    <w:rsid w:val="105BD0BA"/>
    <w:rsid w:val="1082FF9C"/>
    <w:rsid w:val="108B849A"/>
    <w:rsid w:val="10965CC2"/>
    <w:rsid w:val="10A21163"/>
    <w:rsid w:val="1109C64C"/>
    <w:rsid w:val="11C8C6A5"/>
    <w:rsid w:val="120B0537"/>
    <w:rsid w:val="12797F78"/>
    <w:rsid w:val="1314EBB8"/>
    <w:rsid w:val="13268131"/>
    <w:rsid w:val="135ABBF1"/>
    <w:rsid w:val="138A3E45"/>
    <w:rsid w:val="13E03428"/>
    <w:rsid w:val="13FE1BB6"/>
    <w:rsid w:val="14050123"/>
    <w:rsid w:val="147124B6"/>
    <w:rsid w:val="14820104"/>
    <w:rsid w:val="148BA4BD"/>
    <w:rsid w:val="14F5C0F6"/>
    <w:rsid w:val="150A5EC2"/>
    <w:rsid w:val="1539B183"/>
    <w:rsid w:val="154F56B4"/>
    <w:rsid w:val="15A42047"/>
    <w:rsid w:val="16112BD2"/>
    <w:rsid w:val="164C8C7A"/>
    <w:rsid w:val="1671E8E3"/>
    <w:rsid w:val="169E45FC"/>
    <w:rsid w:val="16D74DBD"/>
    <w:rsid w:val="16E31079"/>
    <w:rsid w:val="16EF7362"/>
    <w:rsid w:val="1710BB7D"/>
    <w:rsid w:val="171DE70E"/>
    <w:rsid w:val="1764B13D"/>
    <w:rsid w:val="1788B0AD"/>
    <w:rsid w:val="17AD9E01"/>
    <w:rsid w:val="17B25B45"/>
    <w:rsid w:val="1818D15B"/>
    <w:rsid w:val="183FA346"/>
    <w:rsid w:val="189CE27A"/>
    <w:rsid w:val="193A527E"/>
    <w:rsid w:val="1991B7B7"/>
    <w:rsid w:val="19E0CAFA"/>
    <w:rsid w:val="1A91188C"/>
    <w:rsid w:val="1AA31E11"/>
    <w:rsid w:val="1AC90501"/>
    <w:rsid w:val="1AF638DE"/>
    <w:rsid w:val="1B0CEBAC"/>
    <w:rsid w:val="1B1CFBC1"/>
    <w:rsid w:val="1B65027A"/>
    <w:rsid w:val="1B8AA118"/>
    <w:rsid w:val="1BD4833C"/>
    <w:rsid w:val="1C02DC47"/>
    <w:rsid w:val="1C3FBF1F"/>
    <w:rsid w:val="1C998F3E"/>
    <w:rsid w:val="1CD344BF"/>
    <w:rsid w:val="1D40D593"/>
    <w:rsid w:val="1D50DF45"/>
    <w:rsid w:val="1D59D4B3"/>
    <w:rsid w:val="1D657EB3"/>
    <w:rsid w:val="1D70DF47"/>
    <w:rsid w:val="1D7F65C6"/>
    <w:rsid w:val="1DEF4711"/>
    <w:rsid w:val="1E13F27D"/>
    <w:rsid w:val="1EC0A580"/>
    <w:rsid w:val="1EE2A59A"/>
    <w:rsid w:val="1EE68CE9"/>
    <w:rsid w:val="1EF8FEC1"/>
    <w:rsid w:val="1F2D4236"/>
    <w:rsid w:val="1F2E4AD0"/>
    <w:rsid w:val="1F4B6152"/>
    <w:rsid w:val="1F717B5B"/>
    <w:rsid w:val="1F77C0F7"/>
    <w:rsid w:val="1F7EA0D6"/>
    <w:rsid w:val="1F9CC07D"/>
    <w:rsid w:val="1FAFC2DE"/>
    <w:rsid w:val="1FCC2C55"/>
    <w:rsid w:val="1FFF5C72"/>
    <w:rsid w:val="20059F94"/>
    <w:rsid w:val="2031650D"/>
    <w:rsid w:val="2073A346"/>
    <w:rsid w:val="20BFFEF2"/>
    <w:rsid w:val="210E4C6D"/>
    <w:rsid w:val="21387AFB"/>
    <w:rsid w:val="2167FCB6"/>
    <w:rsid w:val="2185CC4E"/>
    <w:rsid w:val="21AA26C9"/>
    <w:rsid w:val="21B8F582"/>
    <w:rsid w:val="21CC2664"/>
    <w:rsid w:val="220E77D4"/>
    <w:rsid w:val="223ECD3D"/>
    <w:rsid w:val="224C7A15"/>
    <w:rsid w:val="2273BF7B"/>
    <w:rsid w:val="22A2C84E"/>
    <w:rsid w:val="22FF8276"/>
    <w:rsid w:val="232C7FF8"/>
    <w:rsid w:val="23852526"/>
    <w:rsid w:val="241CE446"/>
    <w:rsid w:val="2436641F"/>
    <w:rsid w:val="246FE540"/>
    <w:rsid w:val="2489B52E"/>
    <w:rsid w:val="2494D044"/>
    <w:rsid w:val="253C16ED"/>
    <w:rsid w:val="254E9644"/>
    <w:rsid w:val="255572CD"/>
    <w:rsid w:val="2562EA17"/>
    <w:rsid w:val="25795655"/>
    <w:rsid w:val="25E71C39"/>
    <w:rsid w:val="25F24EA8"/>
    <w:rsid w:val="26281E69"/>
    <w:rsid w:val="26703ABF"/>
    <w:rsid w:val="26BF18D8"/>
    <w:rsid w:val="2721689B"/>
    <w:rsid w:val="2751D98E"/>
    <w:rsid w:val="2772B7D0"/>
    <w:rsid w:val="27A107C9"/>
    <w:rsid w:val="27A7BC7F"/>
    <w:rsid w:val="27FBAD64"/>
    <w:rsid w:val="2829EFA8"/>
    <w:rsid w:val="2858BF5E"/>
    <w:rsid w:val="28803374"/>
    <w:rsid w:val="289619BA"/>
    <w:rsid w:val="28E0DF0C"/>
    <w:rsid w:val="28EDA9EF"/>
    <w:rsid w:val="291B9224"/>
    <w:rsid w:val="29308BA1"/>
    <w:rsid w:val="295895F4"/>
    <w:rsid w:val="295D2651"/>
    <w:rsid w:val="2966ED37"/>
    <w:rsid w:val="298E95DD"/>
    <w:rsid w:val="298EB324"/>
    <w:rsid w:val="2990DA00"/>
    <w:rsid w:val="29BCF363"/>
    <w:rsid w:val="29D97F5C"/>
    <w:rsid w:val="29EFA2CA"/>
    <w:rsid w:val="2A0D8EAF"/>
    <w:rsid w:val="2A2CEF41"/>
    <w:rsid w:val="2AA044CD"/>
    <w:rsid w:val="2ABA9D85"/>
    <w:rsid w:val="2ACB6009"/>
    <w:rsid w:val="2AD1C956"/>
    <w:rsid w:val="2AD386D4"/>
    <w:rsid w:val="2ADE977A"/>
    <w:rsid w:val="2AE2FCE0"/>
    <w:rsid w:val="2B1BE839"/>
    <w:rsid w:val="2BAE4D20"/>
    <w:rsid w:val="2BFE0B76"/>
    <w:rsid w:val="2C02A1EF"/>
    <w:rsid w:val="2C29F4A5"/>
    <w:rsid w:val="2C32E8F3"/>
    <w:rsid w:val="2C33B79D"/>
    <w:rsid w:val="2C4FC860"/>
    <w:rsid w:val="2C518924"/>
    <w:rsid w:val="2C9C7B4D"/>
    <w:rsid w:val="2CB10D2C"/>
    <w:rsid w:val="2D44B49F"/>
    <w:rsid w:val="2D5784E2"/>
    <w:rsid w:val="2DBCC7D7"/>
    <w:rsid w:val="2DFB7C38"/>
    <w:rsid w:val="2E0500B7"/>
    <w:rsid w:val="2E31E1B5"/>
    <w:rsid w:val="2E4E6D44"/>
    <w:rsid w:val="2E8DB48C"/>
    <w:rsid w:val="2EC218B0"/>
    <w:rsid w:val="2F24A724"/>
    <w:rsid w:val="2F87569C"/>
    <w:rsid w:val="2F8D619C"/>
    <w:rsid w:val="3005C0A4"/>
    <w:rsid w:val="304CD2C1"/>
    <w:rsid w:val="308F25A4"/>
    <w:rsid w:val="30B434C6"/>
    <w:rsid w:val="30C674EE"/>
    <w:rsid w:val="30CC41A1"/>
    <w:rsid w:val="30DE110C"/>
    <w:rsid w:val="30F89B0A"/>
    <w:rsid w:val="31183D25"/>
    <w:rsid w:val="32079335"/>
    <w:rsid w:val="3231C25D"/>
    <w:rsid w:val="32A11364"/>
    <w:rsid w:val="32A500EF"/>
    <w:rsid w:val="32ADBD27"/>
    <w:rsid w:val="32B33436"/>
    <w:rsid w:val="32C820B6"/>
    <w:rsid w:val="32FA862E"/>
    <w:rsid w:val="3301B68C"/>
    <w:rsid w:val="33837764"/>
    <w:rsid w:val="33B05ED1"/>
    <w:rsid w:val="33FE15B0"/>
    <w:rsid w:val="344AD622"/>
    <w:rsid w:val="34583A69"/>
    <w:rsid w:val="346B971B"/>
    <w:rsid w:val="346D172A"/>
    <w:rsid w:val="34DAB238"/>
    <w:rsid w:val="350FE258"/>
    <w:rsid w:val="351F47C5"/>
    <w:rsid w:val="3521F52A"/>
    <w:rsid w:val="354FD3EC"/>
    <w:rsid w:val="355ABE92"/>
    <w:rsid w:val="355B2177"/>
    <w:rsid w:val="35641561"/>
    <w:rsid w:val="3599E611"/>
    <w:rsid w:val="35DDDE71"/>
    <w:rsid w:val="35F368FD"/>
    <w:rsid w:val="3610D511"/>
    <w:rsid w:val="362BB2A8"/>
    <w:rsid w:val="36982389"/>
    <w:rsid w:val="36988912"/>
    <w:rsid w:val="36CE1D93"/>
    <w:rsid w:val="37712A9D"/>
    <w:rsid w:val="377C28C2"/>
    <w:rsid w:val="37B84C86"/>
    <w:rsid w:val="37C6D9D1"/>
    <w:rsid w:val="37D7038E"/>
    <w:rsid w:val="37D8E613"/>
    <w:rsid w:val="386D4F32"/>
    <w:rsid w:val="38C820AB"/>
    <w:rsid w:val="38D8BED4"/>
    <w:rsid w:val="38DA4263"/>
    <w:rsid w:val="39067C17"/>
    <w:rsid w:val="39397116"/>
    <w:rsid w:val="3940884D"/>
    <w:rsid w:val="39620F44"/>
    <w:rsid w:val="397A812E"/>
    <w:rsid w:val="39C044BC"/>
    <w:rsid w:val="39D134C1"/>
    <w:rsid w:val="3A3B9318"/>
    <w:rsid w:val="3A43CFA3"/>
    <w:rsid w:val="3A734B81"/>
    <w:rsid w:val="3AD3329B"/>
    <w:rsid w:val="3AD66B6F"/>
    <w:rsid w:val="3B3C9FCA"/>
    <w:rsid w:val="3BAB31FE"/>
    <w:rsid w:val="3C60F8A6"/>
    <w:rsid w:val="3C83485B"/>
    <w:rsid w:val="3C889F97"/>
    <w:rsid w:val="3CC3CB87"/>
    <w:rsid w:val="3D433E22"/>
    <w:rsid w:val="3D4554DC"/>
    <w:rsid w:val="3D75D53D"/>
    <w:rsid w:val="3D8CE4CF"/>
    <w:rsid w:val="3DAAEC43"/>
    <w:rsid w:val="3E436157"/>
    <w:rsid w:val="3EA3FEEF"/>
    <w:rsid w:val="3F3F5538"/>
    <w:rsid w:val="3F52E2A7"/>
    <w:rsid w:val="3FA6561C"/>
    <w:rsid w:val="3FB979DC"/>
    <w:rsid w:val="404F9E0D"/>
    <w:rsid w:val="40639AF9"/>
    <w:rsid w:val="407CF59E"/>
    <w:rsid w:val="408F69E4"/>
    <w:rsid w:val="40AB0D42"/>
    <w:rsid w:val="40BEAD5F"/>
    <w:rsid w:val="40C8414B"/>
    <w:rsid w:val="40D3664C"/>
    <w:rsid w:val="40D6BC35"/>
    <w:rsid w:val="410928C3"/>
    <w:rsid w:val="41262D6A"/>
    <w:rsid w:val="412E9E15"/>
    <w:rsid w:val="41415D2F"/>
    <w:rsid w:val="4143E93C"/>
    <w:rsid w:val="415FF6BC"/>
    <w:rsid w:val="41E42899"/>
    <w:rsid w:val="41F359C0"/>
    <w:rsid w:val="424162CB"/>
    <w:rsid w:val="4251316F"/>
    <w:rsid w:val="427D0999"/>
    <w:rsid w:val="42969FBD"/>
    <w:rsid w:val="42B8D5DF"/>
    <w:rsid w:val="42B96575"/>
    <w:rsid w:val="42C95FD2"/>
    <w:rsid w:val="432D9664"/>
    <w:rsid w:val="436228AF"/>
    <w:rsid w:val="436777AC"/>
    <w:rsid w:val="438B211C"/>
    <w:rsid w:val="43BBE99E"/>
    <w:rsid w:val="440D7928"/>
    <w:rsid w:val="44129CC7"/>
    <w:rsid w:val="445CA1F9"/>
    <w:rsid w:val="4466EFC2"/>
    <w:rsid w:val="447A4850"/>
    <w:rsid w:val="44ECEB30"/>
    <w:rsid w:val="44ED19A5"/>
    <w:rsid w:val="451B372D"/>
    <w:rsid w:val="456DF0E2"/>
    <w:rsid w:val="456FA8D4"/>
    <w:rsid w:val="457D6014"/>
    <w:rsid w:val="4595C21D"/>
    <w:rsid w:val="45E15FED"/>
    <w:rsid w:val="45F99E8D"/>
    <w:rsid w:val="4644EA99"/>
    <w:rsid w:val="4684A708"/>
    <w:rsid w:val="46BF9CF1"/>
    <w:rsid w:val="46D13657"/>
    <w:rsid w:val="46EE365C"/>
    <w:rsid w:val="474519EA"/>
    <w:rsid w:val="475CE242"/>
    <w:rsid w:val="475DF48C"/>
    <w:rsid w:val="4782AC13"/>
    <w:rsid w:val="4789BA2F"/>
    <w:rsid w:val="47F346AA"/>
    <w:rsid w:val="480BC30C"/>
    <w:rsid w:val="483D061C"/>
    <w:rsid w:val="4853793F"/>
    <w:rsid w:val="487EB0CE"/>
    <w:rsid w:val="48A653C4"/>
    <w:rsid w:val="48D14728"/>
    <w:rsid w:val="48EAEFB8"/>
    <w:rsid w:val="491F5731"/>
    <w:rsid w:val="4943A721"/>
    <w:rsid w:val="49482F42"/>
    <w:rsid w:val="495F0AB1"/>
    <w:rsid w:val="49AB8564"/>
    <w:rsid w:val="49CED4E2"/>
    <w:rsid w:val="49E161DD"/>
    <w:rsid w:val="49F5D9B1"/>
    <w:rsid w:val="4A0D7287"/>
    <w:rsid w:val="4A0F05A5"/>
    <w:rsid w:val="4A61B6F9"/>
    <w:rsid w:val="4A9F7B49"/>
    <w:rsid w:val="4AADFB88"/>
    <w:rsid w:val="4AF915A5"/>
    <w:rsid w:val="4B14036F"/>
    <w:rsid w:val="4B383DB0"/>
    <w:rsid w:val="4B3DDB78"/>
    <w:rsid w:val="4B71EDD1"/>
    <w:rsid w:val="4B942262"/>
    <w:rsid w:val="4BBE604D"/>
    <w:rsid w:val="4BC2FDB2"/>
    <w:rsid w:val="4BF4E82B"/>
    <w:rsid w:val="4C7E6A05"/>
    <w:rsid w:val="4CB689FD"/>
    <w:rsid w:val="4CB8E2DE"/>
    <w:rsid w:val="4D0B8AD0"/>
    <w:rsid w:val="4D574258"/>
    <w:rsid w:val="4E00BD87"/>
    <w:rsid w:val="4E1E9EC0"/>
    <w:rsid w:val="4E294A78"/>
    <w:rsid w:val="4E38F235"/>
    <w:rsid w:val="4E54B33F"/>
    <w:rsid w:val="4E69F181"/>
    <w:rsid w:val="4E6D52C0"/>
    <w:rsid w:val="4E9AB9BB"/>
    <w:rsid w:val="4EC22918"/>
    <w:rsid w:val="4EEFDB0F"/>
    <w:rsid w:val="4F146C78"/>
    <w:rsid w:val="4F37DC70"/>
    <w:rsid w:val="4F64DAED"/>
    <w:rsid w:val="4F77F830"/>
    <w:rsid w:val="4F787B7F"/>
    <w:rsid w:val="4FF83BCD"/>
    <w:rsid w:val="50054A62"/>
    <w:rsid w:val="50190165"/>
    <w:rsid w:val="5034E065"/>
    <w:rsid w:val="50624540"/>
    <w:rsid w:val="5067C87E"/>
    <w:rsid w:val="507054CC"/>
    <w:rsid w:val="50DBC684"/>
    <w:rsid w:val="50E4C06A"/>
    <w:rsid w:val="50EA568C"/>
    <w:rsid w:val="50F3437C"/>
    <w:rsid w:val="510CC458"/>
    <w:rsid w:val="5154E94C"/>
    <w:rsid w:val="51EE5A91"/>
    <w:rsid w:val="5214F3E8"/>
    <w:rsid w:val="52280F9C"/>
    <w:rsid w:val="52301427"/>
    <w:rsid w:val="524A8CDC"/>
    <w:rsid w:val="524D5108"/>
    <w:rsid w:val="52EEE423"/>
    <w:rsid w:val="530A1301"/>
    <w:rsid w:val="5340FED5"/>
    <w:rsid w:val="5382F756"/>
    <w:rsid w:val="53E58B10"/>
    <w:rsid w:val="541ACC72"/>
    <w:rsid w:val="54238720"/>
    <w:rsid w:val="5464FAC4"/>
    <w:rsid w:val="54DC14CC"/>
    <w:rsid w:val="54FF0BE0"/>
    <w:rsid w:val="55820DF8"/>
    <w:rsid w:val="55AB6895"/>
    <w:rsid w:val="5613CD90"/>
    <w:rsid w:val="5628BAA0"/>
    <w:rsid w:val="563BB221"/>
    <w:rsid w:val="566D2D7A"/>
    <w:rsid w:val="56877933"/>
    <w:rsid w:val="56FB327E"/>
    <w:rsid w:val="5702EF1D"/>
    <w:rsid w:val="5719D039"/>
    <w:rsid w:val="57B69E96"/>
    <w:rsid w:val="57C2F8BB"/>
    <w:rsid w:val="57D95E1A"/>
    <w:rsid w:val="58207A69"/>
    <w:rsid w:val="582B5DC5"/>
    <w:rsid w:val="582CC9F1"/>
    <w:rsid w:val="58577D8D"/>
    <w:rsid w:val="587E18C3"/>
    <w:rsid w:val="588EC90C"/>
    <w:rsid w:val="58973811"/>
    <w:rsid w:val="589A5F3F"/>
    <w:rsid w:val="58B60BD5"/>
    <w:rsid w:val="58BBAF08"/>
    <w:rsid w:val="58BD10F0"/>
    <w:rsid w:val="58E63C02"/>
    <w:rsid w:val="593B6070"/>
    <w:rsid w:val="5956BD61"/>
    <w:rsid w:val="5996AF67"/>
    <w:rsid w:val="59D8F759"/>
    <w:rsid w:val="5A1834ED"/>
    <w:rsid w:val="5AB3A69E"/>
    <w:rsid w:val="5AB483CD"/>
    <w:rsid w:val="5AB5CD7A"/>
    <w:rsid w:val="5AD2C8EB"/>
    <w:rsid w:val="5B083C9C"/>
    <w:rsid w:val="5B3A3E91"/>
    <w:rsid w:val="5B5F658D"/>
    <w:rsid w:val="5C097082"/>
    <w:rsid w:val="5C212BB6"/>
    <w:rsid w:val="5C31EDEC"/>
    <w:rsid w:val="5C8AFA66"/>
    <w:rsid w:val="5CF61814"/>
    <w:rsid w:val="5CFF8569"/>
    <w:rsid w:val="5D5C8AF3"/>
    <w:rsid w:val="5D620F1C"/>
    <w:rsid w:val="5D6623F7"/>
    <w:rsid w:val="5D7E78C0"/>
    <w:rsid w:val="5DB37406"/>
    <w:rsid w:val="5E22C1C2"/>
    <w:rsid w:val="5E419748"/>
    <w:rsid w:val="5E4626D7"/>
    <w:rsid w:val="5E62D99A"/>
    <w:rsid w:val="5E69F685"/>
    <w:rsid w:val="5E72CE2C"/>
    <w:rsid w:val="5E99A58B"/>
    <w:rsid w:val="5EA3C59F"/>
    <w:rsid w:val="5EDF3F4E"/>
    <w:rsid w:val="5EFDDF7D"/>
    <w:rsid w:val="5F22C920"/>
    <w:rsid w:val="5F35E164"/>
    <w:rsid w:val="5F73D72F"/>
    <w:rsid w:val="5F7D8251"/>
    <w:rsid w:val="5F9B88FC"/>
    <w:rsid w:val="5FE36C72"/>
    <w:rsid w:val="5FE5A6FC"/>
    <w:rsid w:val="600FC200"/>
    <w:rsid w:val="60122CDD"/>
    <w:rsid w:val="6012A7EB"/>
    <w:rsid w:val="60379469"/>
    <w:rsid w:val="604F9807"/>
    <w:rsid w:val="605F362B"/>
    <w:rsid w:val="6073A60F"/>
    <w:rsid w:val="60832C85"/>
    <w:rsid w:val="6099AFDE"/>
    <w:rsid w:val="60B25516"/>
    <w:rsid w:val="60EC9BF8"/>
    <w:rsid w:val="613B8405"/>
    <w:rsid w:val="615F9648"/>
    <w:rsid w:val="618AC02F"/>
    <w:rsid w:val="625E0981"/>
    <w:rsid w:val="628CB584"/>
    <w:rsid w:val="6291D923"/>
    <w:rsid w:val="62C87A2B"/>
    <w:rsid w:val="63031624"/>
    <w:rsid w:val="6319BE55"/>
    <w:rsid w:val="632AB5D1"/>
    <w:rsid w:val="635FAA1E"/>
    <w:rsid w:val="6368E7CE"/>
    <w:rsid w:val="6381AA9F"/>
    <w:rsid w:val="638D19E7"/>
    <w:rsid w:val="639FD4B4"/>
    <w:rsid w:val="63FFE473"/>
    <w:rsid w:val="64644A8C"/>
    <w:rsid w:val="64FEF9C0"/>
    <w:rsid w:val="6557FE6E"/>
    <w:rsid w:val="6563918B"/>
    <w:rsid w:val="6585C639"/>
    <w:rsid w:val="65C48B67"/>
    <w:rsid w:val="65C8C494"/>
    <w:rsid w:val="65C979E5"/>
    <w:rsid w:val="65CB2F57"/>
    <w:rsid w:val="65E13C0A"/>
    <w:rsid w:val="65F5F8A2"/>
    <w:rsid w:val="66398599"/>
    <w:rsid w:val="665D3DC9"/>
    <w:rsid w:val="674052CA"/>
    <w:rsid w:val="6786AC18"/>
    <w:rsid w:val="67A55389"/>
    <w:rsid w:val="68039434"/>
    <w:rsid w:val="686C4BD6"/>
    <w:rsid w:val="686CC43C"/>
    <w:rsid w:val="68D85426"/>
    <w:rsid w:val="68F72EB3"/>
    <w:rsid w:val="690EEE99"/>
    <w:rsid w:val="69785201"/>
    <w:rsid w:val="69E7A6F3"/>
    <w:rsid w:val="69FC7B93"/>
    <w:rsid w:val="6A55A7A8"/>
    <w:rsid w:val="6A62F791"/>
    <w:rsid w:val="6AA38C19"/>
    <w:rsid w:val="6AE15E02"/>
    <w:rsid w:val="6B1D8538"/>
    <w:rsid w:val="6B544F62"/>
    <w:rsid w:val="6B55F25D"/>
    <w:rsid w:val="6B6781DE"/>
    <w:rsid w:val="6B984BF4"/>
    <w:rsid w:val="6B9A4F51"/>
    <w:rsid w:val="6BD15E4D"/>
    <w:rsid w:val="6BE89405"/>
    <w:rsid w:val="6BECEA23"/>
    <w:rsid w:val="6C2DA79A"/>
    <w:rsid w:val="6C4C726C"/>
    <w:rsid w:val="6CA85B16"/>
    <w:rsid w:val="6CE20DDC"/>
    <w:rsid w:val="6CE46FC0"/>
    <w:rsid w:val="6D2E180A"/>
    <w:rsid w:val="6D898A53"/>
    <w:rsid w:val="6DABE1DB"/>
    <w:rsid w:val="6E93B083"/>
    <w:rsid w:val="6E967D1E"/>
    <w:rsid w:val="6EAE4AEE"/>
    <w:rsid w:val="6FEE6BBF"/>
    <w:rsid w:val="70175E0D"/>
    <w:rsid w:val="70188CFD"/>
    <w:rsid w:val="70AB6E36"/>
    <w:rsid w:val="70C38274"/>
    <w:rsid w:val="714B71FA"/>
    <w:rsid w:val="71A7B01A"/>
    <w:rsid w:val="71B57EFF"/>
    <w:rsid w:val="71BFDF28"/>
    <w:rsid w:val="71C8803E"/>
    <w:rsid w:val="71FE13A7"/>
    <w:rsid w:val="723C7D2F"/>
    <w:rsid w:val="7253B5D8"/>
    <w:rsid w:val="728B9376"/>
    <w:rsid w:val="72A2B3CC"/>
    <w:rsid w:val="7325382B"/>
    <w:rsid w:val="734B3E1B"/>
    <w:rsid w:val="7364C1B3"/>
    <w:rsid w:val="73BE1469"/>
    <w:rsid w:val="73CD6CC3"/>
    <w:rsid w:val="73D3E1F4"/>
    <w:rsid w:val="73D89F38"/>
    <w:rsid w:val="747CB9C4"/>
    <w:rsid w:val="74A9C59B"/>
    <w:rsid w:val="74D65544"/>
    <w:rsid w:val="74D855BF"/>
    <w:rsid w:val="75009214"/>
    <w:rsid w:val="75410810"/>
    <w:rsid w:val="7566917E"/>
    <w:rsid w:val="7592BC2B"/>
    <w:rsid w:val="75939D2F"/>
    <w:rsid w:val="759FEF99"/>
    <w:rsid w:val="75B3BB93"/>
    <w:rsid w:val="75B61917"/>
    <w:rsid w:val="762448E8"/>
    <w:rsid w:val="763CAAF1"/>
    <w:rsid w:val="768ED4D5"/>
    <w:rsid w:val="7696D1B8"/>
    <w:rsid w:val="76BC939C"/>
    <w:rsid w:val="772C4A62"/>
    <w:rsid w:val="77B8C8EB"/>
    <w:rsid w:val="77EFC882"/>
    <w:rsid w:val="7839BA00"/>
    <w:rsid w:val="7850DF6A"/>
    <w:rsid w:val="7884A343"/>
    <w:rsid w:val="78A29658"/>
    <w:rsid w:val="790D949A"/>
    <w:rsid w:val="7932E2FA"/>
    <w:rsid w:val="79526294"/>
    <w:rsid w:val="79891AFA"/>
    <w:rsid w:val="798C4B59"/>
    <w:rsid w:val="79AE981F"/>
    <w:rsid w:val="7A1DA61D"/>
    <w:rsid w:val="7AAF4838"/>
    <w:rsid w:val="7AAFE963"/>
    <w:rsid w:val="7ACD1692"/>
    <w:rsid w:val="7AEC3C12"/>
    <w:rsid w:val="7B1ACD2B"/>
    <w:rsid w:val="7B1F42B4"/>
    <w:rsid w:val="7B241893"/>
    <w:rsid w:val="7B2C0B99"/>
    <w:rsid w:val="7B535938"/>
    <w:rsid w:val="7B55168D"/>
    <w:rsid w:val="7B65D6CF"/>
    <w:rsid w:val="7C30DDEF"/>
    <w:rsid w:val="7C443FA2"/>
    <w:rsid w:val="7C7CDB25"/>
    <w:rsid w:val="7C8BBB09"/>
    <w:rsid w:val="7CB8490D"/>
    <w:rsid w:val="7CBFE8F4"/>
    <w:rsid w:val="7D14B307"/>
    <w:rsid w:val="7D255666"/>
    <w:rsid w:val="7D2638AF"/>
    <w:rsid w:val="7D536BDC"/>
    <w:rsid w:val="7DC179D4"/>
    <w:rsid w:val="7DCBCC2F"/>
    <w:rsid w:val="7DE0DE99"/>
    <w:rsid w:val="7DEF56CF"/>
    <w:rsid w:val="7E008874"/>
    <w:rsid w:val="7E24CDBC"/>
    <w:rsid w:val="7E377F84"/>
    <w:rsid w:val="7E3DBC4D"/>
    <w:rsid w:val="7E3FDCE8"/>
    <w:rsid w:val="7E5BB955"/>
    <w:rsid w:val="7EABA33A"/>
    <w:rsid w:val="7EAEBB9A"/>
    <w:rsid w:val="7EB2C1E5"/>
    <w:rsid w:val="7EEB045F"/>
    <w:rsid w:val="7F08802A"/>
    <w:rsid w:val="7F576F4E"/>
    <w:rsid w:val="7F83B6DA"/>
    <w:rsid w:val="7FA7EC41"/>
    <w:rsid w:val="7FAE0DF4"/>
    <w:rsid w:val="7FAFCF4D"/>
    <w:rsid w:val="7FC0A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C897"/>
  <w14:defaultImageDpi w14:val="32767"/>
  <w15:chartTrackingRefBased/>
  <w15:docId w15:val="{877991C4-DBEB-9747-8F55-F14AC1EE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3D"/>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D3596C"/>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D3596C"/>
    <w:pPr>
      <w:keepNext/>
      <w:keepLines/>
      <w:spacing w:before="40" w:line="259" w:lineRule="auto"/>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B60"/>
    <w:pPr>
      <w:autoSpaceDE w:val="0"/>
      <w:autoSpaceDN w:val="0"/>
      <w:adjustRightInd w:val="0"/>
    </w:pPr>
    <w:rPr>
      <w:rFonts w:ascii="Calibri" w:eastAsiaTheme="minorEastAsia" w:hAnsi="Calibri" w:cs="Calibri"/>
      <w:color w:val="000000"/>
      <w:lang w:val="fr-CA" w:eastAsia="fr-CA"/>
    </w:rPr>
  </w:style>
  <w:style w:type="table" w:styleId="TableGrid">
    <w:name w:val="Table Grid"/>
    <w:basedOn w:val="TableNormal"/>
    <w:uiPriority w:val="39"/>
    <w:rsid w:val="00CE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775F"/>
    <w:pPr>
      <w:spacing w:after="200"/>
    </w:pPr>
    <w:rPr>
      <w:rFonts w:asciiTheme="minorHAnsi" w:eastAsiaTheme="minorEastAsia" w:hAnsiTheme="minorHAnsi" w:cstheme="minorBidi"/>
      <w:i/>
      <w:iCs/>
      <w:color w:val="44546A" w:themeColor="text2"/>
      <w:sz w:val="18"/>
      <w:szCs w:val="18"/>
      <w:lang w:eastAsia="fr-CA"/>
    </w:rPr>
  </w:style>
  <w:style w:type="paragraph" w:styleId="ListParagraph">
    <w:name w:val="List Paragraph"/>
    <w:basedOn w:val="Normal"/>
    <w:uiPriority w:val="34"/>
    <w:qFormat/>
    <w:rsid w:val="00094B4C"/>
    <w:pPr>
      <w:spacing w:after="200" w:line="276" w:lineRule="auto"/>
      <w:ind w:left="720"/>
      <w:contextualSpacing/>
    </w:pPr>
    <w:rPr>
      <w:rFonts w:asciiTheme="minorHAnsi" w:eastAsiaTheme="minorEastAsia" w:hAnsiTheme="minorHAnsi" w:cstheme="minorBidi"/>
      <w:sz w:val="22"/>
      <w:szCs w:val="22"/>
      <w:lang w:eastAsia="fr-CA"/>
    </w:rPr>
  </w:style>
  <w:style w:type="character" w:styleId="LineNumber">
    <w:name w:val="line number"/>
    <w:basedOn w:val="DefaultParagraphFont"/>
    <w:uiPriority w:val="99"/>
    <w:semiHidden/>
    <w:unhideWhenUsed/>
    <w:rsid w:val="007446B7"/>
  </w:style>
  <w:style w:type="character" w:styleId="PlaceholderText">
    <w:name w:val="Placeholder Text"/>
    <w:basedOn w:val="DefaultParagraphFont"/>
    <w:uiPriority w:val="99"/>
    <w:semiHidden/>
    <w:rsid w:val="00DB6609"/>
    <w:rPr>
      <w:color w:val="808080"/>
    </w:rPr>
  </w:style>
  <w:style w:type="character" w:styleId="CommentReference">
    <w:name w:val="annotation reference"/>
    <w:basedOn w:val="DefaultParagraphFont"/>
    <w:uiPriority w:val="99"/>
    <w:semiHidden/>
    <w:unhideWhenUsed/>
    <w:rsid w:val="00173204"/>
    <w:rPr>
      <w:sz w:val="16"/>
      <w:szCs w:val="16"/>
    </w:rPr>
  </w:style>
  <w:style w:type="paragraph" w:styleId="CommentText">
    <w:name w:val="annotation text"/>
    <w:basedOn w:val="Normal"/>
    <w:link w:val="CommentTextChar"/>
    <w:uiPriority w:val="99"/>
    <w:unhideWhenUsed/>
    <w:rsid w:val="00173204"/>
    <w:rPr>
      <w:sz w:val="20"/>
      <w:szCs w:val="20"/>
    </w:rPr>
  </w:style>
  <w:style w:type="character" w:customStyle="1" w:styleId="CommentTextChar">
    <w:name w:val="Comment Text Char"/>
    <w:basedOn w:val="DefaultParagraphFont"/>
    <w:link w:val="CommentText"/>
    <w:uiPriority w:val="99"/>
    <w:rsid w:val="001732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204"/>
    <w:rPr>
      <w:b/>
      <w:bCs/>
    </w:rPr>
  </w:style>
  <w:style w:type="character" w:customStyle="1" w:styleId="CommentSubjectChar">
    <w:name w:val="Comment Subject Char"/>
    <w:basedOn w:val="CommentTextChar"/>
    <w:link w:val="CommentSubject"/>
    <w:uiPriority w:val="99"/>
    <w:semiHidden/>
    <w:rsid w:val="001732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3204"/>
    <w:rPr>
      <w:sz w:val="18"/>
      <w:szCs w:val="18"/>
    </w:rPr>
  </w:style>
  <w:style w:type="character" w:customStyle="1" w:styleId="BalloonTextChar">
    <w:name w:val="Balloon Text Char"/>
    <w:basedOn w:val="DefaultParagraphFont"/>
    <w:link w:val="BalloonText"/>
    <w:uiPriority w:val="99"/>
    <w:semiHidden/>
    <w:rsid w:val="0017320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E6D77"/>
    <w:pPr>
      <w:tabs>
        <w:tab w:val="center" w:pos="4680"/>
        <w:tab w:val="right" w:pos="9360"/>
      </w:tabs>
    </w:pPr>
  </w:style>
  <w:style w:type="character" w:customStyle="1" w:styleId="HeaderChar">
    <w:name w:val="Header Char"/>
    <w:basedOn w:val="DefaultParagraphFont"/>
    <w:link w:val="Header"/>
    <w:uiPriority w:val="99"/>
    <w:rsid w:val="00AE6D77"/>
    <w:rPr>
      <w:rFonts w:ascii="Times New Roman" w:eastAsia="Times New Roman" w:hAnsi="Times New Roman" w:cs="Times New Roman"/>
    </w:rPr>
  </w:style>
  <w:style w:type="paragraph" w:styleId="Footer">
    <w:name w:val="footer"/>
    <w:basedOn w:val="Normal"/>
    <w:link w:val="FooterChar"/>
    <w:uiPriority w:val="99"/>
    <w:unhideWhenUsed/>
    <w:rsid w:val="00AE6D77"/>
    <w:pPr>
      <w:tabs>
        <w:tab w:val="center" w:pos="4680"/>
        <w:tab w:val="right" w:pos="9360"/>
      </w:tabs>
    </w:pPr>
  </w:style>
  <w:style w:type="character" w:customStyle="1" w:styleId="FooterChar">
    <w:name w:val="Footer Char"/>
    <w:basedOn w:val="DefaultParagraphFont"/>
    <w:link w:val="Footer"/>
    <w:uiPriority w:val="99"/>
    <w:rsid w:val="00AE6D77"/>
    <w:rPr>
      <w:rFonts w:ascii="Times New Roman" w:eastAsia="Times New Roman" w:hAnsi="Times New Roman" w:cs="Times New Roman"/>
    </w:rPr>
  </w:style>
  <w:style w:type="character" w:styleId="Hyperlink">
    <w:name w:val="Hyperlink"/>
    <w:basedOn w:val="DefaultParagraphFont"/>
    <w:uiPriority w:val="99"/>
    <w:unhideWhenUsed/>
    <w:rsid w:val="00627F82"/>
    <w:rPr>
      <w:color w:val="0563C1" w:themeColor="hyperlink"/>
      <w:u w:val="single"/>
    </w:rPr>
  </w:style>
  <w:style w:type="character" w:customStyle="1" w:styleId="UnresolvedMention1">
    <w:name w:val="Unresolved Mention1"/>
    <w:basedOn w:val="DefaultParagraphFont"/>
    <w:uiPriority w:val="99"/>
    <w:rsid w:val="00627F82"/>
    <w:rPr>
      <w:color w:val="605E5C"/>
      <w:shd w:val="clear" w:color="auto" w:fill="E1DFDD"/>
    </w:rPr>
  </w:style>
  <w:style w:type="paragraph" w:styleId="Revision">
    <w:name w:val="Revision"/>
    <w:hidden/>
    <w:uiPriority w:val="99"/>
    <w:semiHidden/>
    <w:rsid w:val="000835BC"/>
    <w:rPr>
      <w:rFonts w:ascii="Times New Roman" w:eastAsia="Times New Roman" w:hAnsi="Times New Roman" w:cs="Times New Roman"/>
    </w:rPr>
  </w:style>
  <w:style w:type="character" w:styleId="PageNumber">
    <w:name w:val="page number"/>
    <w:basedOn w:val="DefaultParagraphFont"/>
    <w:uiPriority w:val="99"/>
    <w:semiHidden/>
    <w:unhideWhenUsed/>
    <w:rsid w:val="001D7DA7"/>
  </w:style>
  <w:style w:type="paragraph" w:styleId="NormalWeb">
    <w:name w:val="Normal (Web)"/>
    <w:basedOn w:val="Normal"/>
    <w:uiPriority w:val="99"/>
    <w:semiHidden/>
    <w:unhideWhenUsed/>
    <w:rsid w:val="00EF5216"/>
    <w:pPr>
      <w:spacing w:before="100" w:beforeAutospacing="1" w:after="100" w:afterAutospacing="1"/>
    </w:pPr>
  </w:style>
  <w:style w:type="character" w:styleId="FollowedHyperlink">
    <w:name w:val="FollowedHyperlink"/>
    <w:basedOn w:val="DefaultParagraphFont"/>
    <w:uiPriority w:val="99"/>
    <w:semiHidden/>
    <w:unhideWhenUsed/>
    <w:rsid w:val="0073627B"/>
    <w:rPr>
      <w:color w:val="954F72" w:themeColor="followedHyperlink"/>
      <w:u w:val="single"/>
    </w:rPr>
  </w:style>
  <w:style w:type="character" w:customStyle="1" w:styleId="Heading2Char">
    <w:name w:val="Heading 2 Char"/>
    <w:basedOn w:val="DefaultParagraphFont"/>
    <w:link w:val="Heading2"/>
    <w:uiPriority w:val="9"/>
    <w:rsid w:val="00D3596C"/>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D3596C"/>
    <w:rPr>
      <w:rFonts w:asciiTheme="majorHAnsi" w:eastAsiaTheme="majorEastAsia" w:hAnsiTheme="majorHAnsi" w:cstheme="majorBidi"/>
      <w:color w:val="1F3763" w:themeColor="accent1" w:themeShade="7F"/>
      <w:kern w:val="2"/>
      <w14:ligatures w14:val="standardContextual"/>
    </w:rPr>
  </w:style>
  <w:style w:type="character" w:styleId="Strong">
    <w:name w:val="Strong"/>
    <w:basedOn w:val="DefaultParagraphFont"/>
    <w:uiPriority w:val="22"/>
    <w:qFormat/>
    <w:rsid w:val="00210FAE"/>
    <w:rPr>
      <w:b/>
      <w:bCs/>
    </w:rPr>
  </w:style>
  <w:style w:type="character" w:styleId="UnresolvedMention">
    <w:name w:val="Unresolved Mention"/>
    <w:basedOn w:val="DefaultParagraphFont"/>
    <w:uiPriority w:val="99"/>
    <w:semiHidden/>
    <w:unhideWhenUsed/>
    <w:rsid w:val="00B02D9C"/>
    <w:rPr>
      <w:color w:val="605E5C"/>
      <w:shd w:val="clear" w:color="auto" w:fill="E1DFDD"/>
    </w:rPr>
  </w:style>
  <w:style w:type="character" w:customStyle="1" w:styleId="cf01">
    <w:name w:val="cf01"/>
    <w:basedOn w:val="DefaultParagraphFont"/>
    <w:rsid w:val="0079750B"/>
    <w:rPr>
      <w:rFonts w:ascii="Segoe UI" w:hAnsi="Segoe UI" w:cs="Segoe UI" w:hint="default"/>
      <w:sz w:val="18"/>
      <w:szCs w:val="18"/>
    </w:rPr>
  </w:style>
  <w:style w:type="character" w:customStyle="1" w:styleId="cf11">
    <w:name w:val="cf11"/>
    <w:basedOn w:val="DefaultParagraphFont"/>
    <w:rsid w:val="0079750B"/>
    <w:rPr>
      <w:rFonts w:ascii="Segoe UI" w:hAnsi="Segoe UI" w:cs="Segoe UI" w:hint="default"/>
      <w:sz w:val="18"/>
      <w:szCs w:val="18"/>
    </w:rPr>
  </w:style>
  <w:style w:type="character" w:customStyle="1" w:styleId="cf21">
    <w:name w:val="cf21"/>
    <w:basedOn w:val="DefaultParagraphFont"/>
    <w:rsid w:val="0079750B"/>
    <w:rPr>
      <w:rFonts w:ascii="Segoe UI" w:hAnsi="Segoe UI" w:cs="Segoe UI" w:hint="default"/>
      <w:i/>
      <w:iCs/>
      <w:sz w:val="18"/>
      <w:szCs w:val="18"/>
    </w:rPr>
  </w:style>
  <w:style w:type="character" w:customStyle="1" w:styleId="cf31">
    <w:name w:val="cf31"/>
    <w:basedOn w:val="DefaultParagraphFont"/>
    <w:rsid w:val="0079750B"/>
    <w:rPr>
      <w:rFonts w:ascii="Segoe UI" w:hAnsi="Segoe UI" w:cs="Segoe UI" w:hint="default"/>
      <w:sz w:val="18"/>
      <w:szCs w:val="18"/>
    </w:rPr>
  </w:style>
  <w:style w:type="paragraph" w:customStyle="1" w:styleId="pf0">
    <w:name w:val="pf0"/>
    <w:basedOn w:val="Normal"/>
    <w:rsid w:val="007A73E5"/>
    <w:pPr>
      <w:spacing w:before="100" w:beforeAutospacing="1" w:after="100" w:afterAutospacing="1"/>
    </w:pPr>
  </w:style>
  <w:style w:type="paragraph" w:styleId="HTMLPreformatted">
    <w:name w:val="HTML Preformatted"/>
    <w:basedOn w:val="Normal"/>
    <w:link w:val="HTMLPreformattedChar"/>
    <w:uiPriority w:val="99"/>
    <w:semiHidden/>
    <w:unhideWhenUsed/>
    <w:rsid w:val="0097535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5350"/>
    <w:rPr>
      <w:rFonts w:ascii="Consolas" w:eastAsia="Times New Roman" w:hAnsi="Consolas" w:cs="Times New Roman"/>
      <w:sz w:val="20"/>
      <w:szCs w:val="20"/>
    </w:rPr>
  </w:style>
  <w:style w:type="paragraph" w:customStyle="1" w:styleId="Body">
    <w:name w:val="Body"/>
    <w:rsid w:val="00C95AD9"/>
    <w:pPr>
      <w:widowControl w:val="0"/>
      <w:pBdr>
        <w:top w:val="nil"/>
        <w:left w:val="nil"/>
        <w:bottom w:val="nil"/>
        <w:right w:val="nil"/>
        <w:between w:val="nil"/>
        <w:bar w:val="nil"/>
      </w:pBdr>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Hyperlink2">
    <w:name w:val="Hyperlink.2"/>
    <w:basedOn w:val="DefaultParagraphFont"/>
    <w:rsid w:val="00C9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864">
      <w:bodyDiv w:val="1"/>
      <w:marLeft w:val="0"/>
      <w:marRight w:val="0"/>
      <w:marTop w:val="0"/>
      <w:marBottom w:val="0"/>
      <w:divBdr>
        <w:top w:val="none" w:sz="0" w:space="0" w:color="auto"/>
        <w:left w:val="none" w:sz="0" w:space="0" w:color="auto"/>
        <w:bottom w:val="none" w:sz="0" w:space="0" w:color="auto"/>
        <w:right w:val="none" w:sz="0" w:space="0" w:color="auto"/>
      </w:divBdr>
    </w:div>
    <w:div w:id="37359245">
      <w:bodyDiv w:val="1"/>
      <w:marLeft w:val="0"/>
      <w:marRight w:val="0"/>
      <w:marTop w:val="0"/>
      <w:marBottom w:val="0"/>
      <w:divBdr>
        <w:top w:val="none" w:sz="0" w:space="0" w:color="auto"/>
        <w:left w:val="none" w:sz="0" w:space="0" w:color="auto"/>
        <w:bottom w:val="none" w:sz="0" w:space="0" w:color="auto"/>
        <w:right w:val="none" w:sz="0" w:space="0" w:color="auto"/>
      </w:divBdr>
    </w:div>
    <w:div w:id="62260966">
      <w:bodyDiv w:val="1"/>
      <w:marLeft w:val="0"/>
      <w:marRight w:val="0"/>
      <w:marTop w:val="0"/>
      <w:marBottom w:val="0"/>
      <w:divBdr>
        <w:top w:val="none" w:sz="0" w:space="0" w:color="auto"/>
        <w:left w:val="none" w:sz="0" w:space="0" w:color="auto"/>
        <w:bottom w:val="none" w:sz="0" w:space="0" w:color="auto"/>
        <w:right w:val="none" w:sz="0" w:space="0" w:color="auto"/>
      </w:divBdr>
    </w:div>
    <w:div w:id="94903388">
      <w:bodyDiv w:val="1"/>
      <w:marLeft w:val="0"/>
      <w:marRight w:val="0"/>
      <w:marTop w:val="0"/>
      <w:marBottom w:val="0"/>
      <w:divBdr>
        <w:top w:val="none" w:sz="0" w:space="0" w:color="auto"/>
        <w:left w:val="none" w:sz="0" w:space="0" w:color="auto"/>
        <w:bottom w:val="none" w:sz="0" w:space="0" w:color="auto"/>
        <w:right w:val="none" w:sz="0" w:space="0" w:color="auto"/>
      </w:divBdr>
    </w:div>
    <w:div w:id="101925221">
      <w:bodyDiv w:val="1"/>
      <w:marLeft w:val="0"/>
      <w:marRight w:val="0"/>
      <w:marTop w:val="0"/>
      <w:marBottom w:val="0"/>
      <w:divBdr>
        <w:top w:val="none" w:sz="0" w:space="0" w:color="auto"/>
        <w:left w:val="none" w:sz="0" w:space="0" w:color="auto"/>
        <w:bottom w:val="none" w:sz="0" w:space="0" w:color="auto"/>
        <w:right w:val="none" w:sz="0" w:space="0" w:color="auto"/>
      </w:divBdr>
    </w:div>
    <w:div w:id="119341770">
      <w:bodyDiv w:val="1"/>
      <w:marLeft w:val="0"/>
      <w:marRight w:val="0"/>
      <w:marTop w:val="0"/>
      <w:marBottom w:val="0"/>
      <w:divBdr>
        <w:top w:val="none" w:sz="0" w:space="0" w:color="auto"/>
        <w:left w:val="none" w:sz="0" w:space="0" w:color="auto"/>
        <w:bottom w:val="none" w:sz="0" w:space="0" w:color="auto"/>
        <w:right w:val="none" w:sz="0" w:space="0" w:color="auto"/>
      </w:divBdr>
    </w:div>
    <w:div w:id="162287096">
      <w:bodyDiv w:val="1"/>
      <w:marLeft w:val="0"/>
      <w:marRight w:val="0"/>
      <w:marTop w:val="0"/>
      <w:marBottom w:val="0"/>
      <w:divBdr>
        <w:top w:val="none" w:sz="0" w:space="0" w:color="auto"/>
        <w:left w:val="none" w:sz="0" w:space="0" w:color="auto"/>
        <w:bottom w:val="none" w:sz="0" w:space="0" w:color="auto"/>
        <w:right w:val="none" w:sz="0" w:space="0" w:color="auto"/>
      </w:divBdr>
    </w:div>
    <w:div w:id="163013155">
      <w:bodyDiv w:val="1"/>
      <w:marLeft w:val="0"/>
      <w:marRight w:val="0"/>
      <w:marTop w:val="0"/>
      <w:marBottom w:val="0"/>
      <w:divBdr>
        <w:top w:val="none" w:sz="0" w:space="0" w:color="auto"/>
        <w:left w:val="none" w:sz="0" w:space="0" w:color="auto"/>
        <w:bottom w:val="none" w:sz="0" w:space="0" w:color="auto"/>
        <w:right w:val="none" w:sz="0" w:space="0" w:color="auto"/>
      </w:divBdr>
    </w:div>
    <w:div w:id="281763473">
      <w:bodyDiv w:val="1"/>
      <w:marLeft w:val="0"/>
      <w:marRight w:val="0"/>
      <w:marTop w:val="0"/>
      <w:marBottom w:val="0"/>
      <w:divBdr>
        <w:top w:val="none" w:sz="0" w:space="0" w:color="auto"/>
        <w:left w:val="none" w:sz="0" w:space="0" w:color="auto"/>
        <w:bottom w:val="none" w:sz="0" w:space="0" w:color="auto"/>
        <w:right w:val="none" w:sz="0" w:space="0" w:color="auto"/>
      </w:divBdr>
    </w:div>
    <w:div w:id="292834450">
      <w:bodyDiv w:val="1"/>
      <w:marLeft w:val="0"/>
      <w:marRight w:val="0"/>
      <w:marTop w:val="0"/>
      <w:marBottom w:val="0"/>
      <w:divBdr>
        <w:top w:val="none" w:sz="0" w:space="0" w:color="auto"/>
        <w:left w:val="none" w:sz="0" w:space="0" w:color="auto"/>
        <w:bottom w:val="none" w:sz="0" w:space="0" w:color="auto"/>
        <w:right w:val="none" w:sz="0" w:space="0" w:color="auto"/>
      </w:divBdr>
    </w:div>
    <w:div w:id="358089689">
      <w:bodyDiv w:val="1"/>
      <w:marLeft w:val="0"/>
      <w:marRight w:val="0"/>
      <w:marTop w:val="0"/>
      <w:marBottom w:val="0"/>
      <w:divBdr>
        <w:top w:val="none" w:sz="0" w:space="0" w:color="auto"/>
        <w:left w:val="none" w:sz="0" w:space="0" w:color="auto"/>
        <w:bottom w:val="none" w:sz="0" w:space="0" w:color="auto"/>
        <w:right w:val="none" w:sz="0" w:space="0" w:color="auto"/>
      </w:divBdr>
    </w:div>
    <w:div w:id="398283894">
      <w:bodyDiv w:val="1"/>
      <w:marLeft w:val="0"/>
      <w:marRight w:val="0"/>
      <w:marTop w:val="0"/>
      <w:marBottom w:val="0"/>
      <w:divBdr>
        <w:top w:val="none" w:sz="0" w:space="0" w:color="auto"/>
        <w:left w:val="none" w:sz="0" w:space="0" w:color="auto"/>
        <w:bottom w:val="none" w:sz="0" w:space="0" w:color="auto"/>
        <w:right w:val="none" w:sz="0" w:space="0" w:color="auto"/>
      </w:divBdr>
    </w:div>
    <w:div w:id="422452718">
      <w:bodyDiv w:val="1"/>
      <w:marLeft w:val="0"/>
      <w:marRight w:val="0"/>
      <w:marTop w:val="0"/>
      <w:marBottom w:val="0"/>
      <w:divBdr>
        <w:top w:val="none" w:sz="0" w:space="0" w:color="auto"/>
        <w:left w:val="none" w:sz="0" w:space="0" w:color="auto"/>
        <w:bottom w:val="none" w:sz="0" w:space="0" w:color="auto"/>
        <w:right w:val="none" w:sz="0" w:space="0" w:color="auto"/>
      </w:divBdr>
    </w:div>
    <w:div w:id="430662317">
      <w:bodyDiv w:val="1"/>
      <w:marLeft w:val="0"/>
      <w:marRight w:val="0"/>
      <w:marTop w:val="0"/>
      <w:marBottom w:val="0"/>
      <w:divBdr>
        <w:top w:val="none" w:sz="0" w:space="0" w:color="auto"/>
        <w:left w:val="none" w:sz="0" w:space="0" w:color="auto"/>
        <w:bottom w:val="none" w:sz="0" w:space="0" w:color="auto"/>
        <w:right w:val="none" w:sz="0" w:space="0" w:color="auto"/>
      </w:divBdr>
    </w:div>
    <w:div w:id="437407541">
      <w:bodyDiv w:val="1"/>
      <w:marLeft w:val="0"/>
      <w:marRight w:val="0"/>
      <w:marTop w:val="0"/>
      <w:marBottom w:val="0"/>
      <w:divBdr>
        <w:top w:val="none" w:sz="0" w:space="0" w:color="auto"/>
        <w:left w:val="none" w:sz="0" w:space="0" w:color="auto"/>
        <w:bottom w:val="none" w:sz="0" w:space="0" w:color="auto"/>
        <w:right w:val="none" w:sz="0" w:space="0" w:color="auto"/>
      </w:divBdr>
    </w:div>
    <w:div w:id="451629938">
      <w:bodyDiv w:val="1"/>
      <w:marLeft w:val="0"/>
      <w:marRight w:val="0"/>
      <w:marTop w:val="0"/>
      <w:marBottom w:val="0"/>
      <w:divBdr>
        <w:top w:val="none" w:sz="0" w:space="0" w:color="auto"/>
        <w:left w:val="none" w:sz="0" w:space="0" w:color="auto"/>
        <w:bottom w:val="none" w:sz="0" w:space="0" w:color="auto"/>
        <w:right w:val="none" w:sz="0" w:space="0" w:color="auto"/>
      </w:divBdr>
    </w:div>
    <w:div w:id="456485880">
      <w:bodyDiv w:val="1"/>
      <w:marLeft w:val="0"/>
      <w:marRight w:val="0"/>
      <w:marTop w:val="0"/>
      <w:marBottom w:val="0"/>
      <w:divBdr>
        <w:top w:val="none" w:sz="0" w:space="0" w:color="auto"/>
        <w:left w:val="none" w:sz="0" w:space="0" w:color="auto"/>
        <w:bottom w:val="none" w:sz="0" w:space="0" w:color="auto"/>
        <w:right w:val="none" w:sz="0" w:space="0" w:color="auto"/>
      </w:divBdr>
    </w:div>
    <w:div w:id="504591423">
      <w:bodyDiv w:val="1"/>
      <w:marLeft w:val="0"/>
      <w:marRight w:val="0"/>
      <w:marTop w:val="0"/>
      <w:marBottom w:val="0"/>
      <w:divBdr>
        <w:top w:val="none" w:sz="0" w:space="0" w:color="auto"/>
        <w:left w:val="none" w:sz="0" w:space="0" w:color="auto"/>
        <w:bottom w:val="none" w:sz="0" w:space="0" w:color="auto"/>
        <w:right w:val="none" w:sz="0" w:space="0" w:color="auto"/>
      </w:divBdr>
    </w:div>
    <w:div w:id="532228834">
      <w:bodyDiv w:val="1"/>
      <w:marLeft w:val="0"/>
      <w:marRight w:val="0"/>
      <w:marTop w:val="0"/>
      <w:marBottom w:val="0"/>
      <w:divBdr>
        <w:top w:val="none" w:sz="0" w:space="0" w:color="auto"/>
        <w:left w:val="none" w:sz="0" w:space="0" w:color="auto"/>
        <w:bottom w:val="none" w:sz="0" w:space="0" w:color="auto"/>
        <w:right w:val="none" w:sz="0" w:space="0" w:color="auto"/>
      </w:divBdr>
    </w:div>
    <w:div w:id="543176660">
      <w:bodyDiv w:val="1"/>
      <w:marLeft w:val="0"/>
      <w:marRight w:val="0"/>
      <w:marTop w:val="0"/>
      <w:marBottom w:val="0"/>
      <w:divBdr>
        <w:top w:val="none" w:sz="0" w:space="0" w:color="auto"/>
        <w:left w:val="none" w:sz="0" w:space="0" w:color="auto"/>
        <w:bottom w:val="none" w:sz="0" w:space="0" w:color="auto"/>
        <w:right w:val="none" w:sz="0" w:space="0" w:color="auto"/>
      </w:divBdr>
    </w:div>
    <w:div w:id="588006095">
      <w:bodyDiv w:val="1"/>
      <w:marLeft w:val="0"/>
      <w:marRight w:val="0"/>
      <w:marTop w:val="0"/>
      <w:marBottom w:val="0"/>
      <w:divBdr>
        <w:top w:val="none" w:sz="0" w:space="0" w:color="auto"/>
        <w:left w:val="none" w:sz="0" w:space="0" w:color="auto"/>
        <w:bottom w:val="none" w:sz="0" w:space="0" w:color="auto"/>
        <w:right w:val="none" w:sz="0" w:space="0" w:color="auto"/>
      </w:divBdr>
    </w:div>
    <w:div w:id="597905829">
      <w:bodyDiv w:val="1"/>
      <w:marLeft w:val="0"/>
      <w:marRight w:val="0"/>
      <w:marTop w:val="0"/>
      <w:marBottom w:val="0"/>
      <w:divBdr>
        <w:top w:val="none" w:sz="0" w:space="0" w:color="auto"/>
        <w:left w:val="none" w:sz="0" w:space="0" w:color="auto"/>
        <w:bottom w:val="none" w:sz="0" w:space="0" w:color="auto"/>
        <w:right w:val="none" w:sz="0" w:space="0" w:color="auto"/>
      </w:divBdr>
    </w:div>
    <w:div w:id="637959817">
      <w:bodyDiv w:val="1"/>
      <w:marLeft w:val="0"/>
      <w:marRight w:val="0"/>
      <w:marTop w:val="0"/>
      <w:marBottom w:val="0"/>
      <w:divBdr>
        <w:top w:val="none" w:sz="0" w:space="0" w:color="auto"/>
        <w:left w:val="none" w:sz="0" w:space="0" w:color="auto"/>
        <w:bottom w:val="none" w:sz="0" w:space="0" w:color="auto"/>
        <w:right w:val="none" w:sz="0" w:space="0" w:color="auto"/>
      </w:divBdr>
    </w:div>
    <w:div w:id="668408947">
      <w:bodyDiv w:val="1"/>
      <w:marLeft w:val="0"/>
      <w:marRight w:val="0"/>
      <w:marTop w:val="0"/>
      <w:marBottom w:val="0"/>
      <w:divBdr>
        <w:top w:val="none" w:sz="0" w:space="0" w:color="auto"/>
        <w:left w:val="none" w:sz="0" w:space="0" w:color="auto"/>
        <w:bottom w:val="none" w:sz="0" w:space="0" w:color="auto"/>
        <w:right w:val="none" w:sz="0" w:space="0" w:color="auto"/>
      </w:divBdr>
    </w:div>
    <w:div w:id="696154906">
      <w:bodyDiv w:val="1"/>
      <w:marLeft w:val="0"/>
      <w:marRight w:val="0"/>
      <w:marTop w:val="0"/>
      <w:marBottom w:val="0"/>
      <w:divBdr>
        <w:top w:val="none" w:sz="0" w:space="0" w:color="auto"/>
        <w:left w:val="none" w:sz="0" w:space="0" w:color="auto"/>
        <w:bottom w:val="none" w:sz="0" w:space="0" w:color="auto"/>
        <w:right w:val="none" w:sz="0" w:space="0" w:color="auto"/>
      </w:divBdr>
    </w:div>
    <w:div w:id="704329144">
      <w:bodyDiv w:val="1"/>
      <w:marLeft w:val="0"/>
      <w:marRight w:val="0"/>
      <w:marTop w:val="0"/>
      <w:marBottom w:val="0"/>
      <w:divBdr>
        <w:top w:val="none" w:sz="0" w:space="0" w:color="auto"/>
        <w:left w:val="none" w:sz="0" w:space="0" w:color="auto"/>
        <w:bottom w:val="none" w:sz="0" w:space="0" w:color="auto"/>
        <w:right w:val="none" w:sz="0" w:space="0" w:color="auto"/>
      </w:divBdr>
    </w:div>
    <w:div w:id="722287064">
      <w:bodyDiv w:val="1"/>
      <w:marLeft w:val="0"/>
      <w:marRight w:val="0"/>
      <w:marTop w:val="0"/>
      <w:marBottom w:val="0"/>
      <w:divBdr>
        <w:top w:val="none" w:sz="0" w:space="0" w:color="auto"/>
        <w:left w:val="none" w:sz="0" w:space="0" w:color="auto"/>
        <w:bottom w:val="none" w:sz="0" w:space="0" w:color="auto"/>
        <w:right w:val="none" w:sz="0" w:space="0" w:color="auto"/>
      </w:divBdr>
      <w:divsChild>
        <w:div w:id="148056248">
          <w:marLeft w:val="0"/>
          <w:marRight w:val="0"/>
          <w:marTop w:val="0"/>
          <w:marBottom w:val="0"/>
          <w:divBdr>
            <w:top w:val="none" w:sz="0" w:space="0" w:color="auto"/>
            <w:left w:val="none" w:sz="0" w:space="0" w:color="auto"/>
            <w:bottom w:val="none" w:sz="0" w:space="0" w:color="auto"/>
            <w:right w:val="none" w:sz="0" w:space="0" w:color="auto"/>
          </w:divBdr>
        </w:div>
        <w:div w:id="718214270">
          <w:marLeft w:val="0"/>
          <w:marRight w:val="0"/>
          <w:marTop w:val="0"/>
          <w:marBottom w:val="0"/>
          <w:divBdr>
            <w:top w:val="none" w:sz="0" w:space="0" w:color="auto"/>
            <w:left w:val="none" w:sz="0" w:space="0" w:color="auto"/>
            <w:bottom w:val="none" w:sz="0" w:space="0" w:color="auto"/>
            <w:right w:val="none" w:sz="0" w:space="0" w:color="auto"/>
          </w:divBdr>
          <w:divsChild>
            <w:div w:id="1200051901">
              <w:marLeft w:val="0"/>
              <w:marRight w:val="165"/>
              <w:marTop w:val="150"/>
              <w:marBottom w:val="0"/>
              <w:divBdr>
                <w:top w:val="none" w:sz="0" w:space="0" w:color="auto"/>
                <w:left w:val="none" w:sz="0" w:space="0" w:color="auto"/>
                <w:bottom w:val="none" w:sz="0" w:space="0" w:color="auto"/>
                <w:right w:val="none" w:sz="0" w:space="0" w:color="auto"/>
              </w:divBdr>
              <w:divsChild>
                <w:div w:id="1499804704">
                  <w:marLeft w:val="0"/>
                  <w:marRight w:val="0"/>
                  <w:marTop w:val="0"/>
                  <w:marBottom w:val="0"/>
                  <w:divBdr>
                    <w:top w:val="none" w:sz="0" w:space="0" w:color="auto"/>
                    <w:left w:val="none" w:sz="0" w:space="0" w:color="auto"/>
                    <w:bottom w:val="none" w:sz="0" w:space="0" w:color="auto"/>
                    <w:right w:val="none" w:sz="0" w:space="0" w:color="auto"/>
                  </w:divBdr>
                  <w:divsChild>
                    <w:div w:id="5107547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93634">
      <w:bodyDiv w:val="1"/>
      <w:marLeft w:val="0"/>
      <w:marRight w:val="0"/>
      <w:marTop w:val="0"/>
      <w:marBottom w:val="0"/>
      <w:divBdr>
        <w:top w:val="none" w:sz="0" w:space="0" w:color="auto"/>
        <w:left w:val="none" w:sz="0" w:space="0" w:color="auto"/>
        <w:bottom w:val="none" w:sz="0" w:space="0" w:color="auto"/>
        <w:right w:val="none" w:sz="0" w:space="0" w:color="auto"/>
      </w:divBdr>
      <w:divsChild>
        <w:div w:id="837229034">
          <w:marLeft w:val="0"/>
          <w:marRight w:val="0"/>
          <w:marTop w:val="0"/>
          <w:marBottom w:val="0"/>
          <w:divBdr>
            <w:top w:val="none" w:sz="0" w:space="0" w:color="auto"/>
            <w:left w:val="none" w:sz="0" w:space="0" w:color="auto"/>
            <w:bottom w:val="none" w:sz="0" w:space="0" w:color="auto"/>
            <w:right w:val="none" w:sz="0" w:space="0" w:color="auto"/>
          </w:divBdr>
          <w:divsChild>
            <w:div w:id="1864857670">
              <w:marLeft w:val="0"/>
              <w:marRight w:val="0"/>
              <w:marTop w:val="0"/>
              <w:marBottom w:val="0"/>
              <w:divBdr>
                <w:top w:val="none" w:sz="0" w:space="0" w:color="auto"/>
                <w:left w:val="none" w:sz="0" w:space="0" w:color="auto"/>
                <w:bottom w:val="none" w:sz="0" w:space="0" w:color="auto"/>
                <w:right w:val="none" w:sz="0" w:space="0" w:color="auto"/>
              </w:divBdr>
              <w:divsChild>
                <w:div w:id="836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3520">
      <w:bodyDiv w:val="1"/>
      <w:marLeft w:val="0"/>
      <w:marRight w:val="0"/>
      <w:marTop w:val="0"/>
      <w:marBottom w:val="0"/>
      <w:divBdr>
        <w:top w:val="none" w:sz="0" w:space="0" w:color="auto"/>
        <w:left w:val="none" w:sz="0" w:space="0" w:color="auto"/>
        <w:bottom w:val="none" w:sz="0" w:space="0" w:color="auto"/>
        <w:right w:val="none" w:sz="0" w:space="0" w:color="auto"/>
      </w:divBdr>
    </w:div>
    <w:div w:id="783117481">
      <w:bodyDiv w:val="1"/>
      <w:marLeft w:val="0"/>
      <w:marRight w:val="0"/>
      <w:marTop w:val="0"/>
      <w:marBottom w:val="0"/>
      <w:divBdr>
        <w:top w:val="none" w:sz="0" w:space="0" w:color="auto"/>
        <w:left w:val="none" w:sz="0" w:space="0" w:color="auto"/>
        <w:bottom w:val="none" w:sz="0" w:space="0" w:color="auto"/>
        <w:right w:val="none" w:sz="0" w:space="0" w:color="auto"/>
      </w:divBdr>
    </w:div>
    <w:div w:id="800853630">
      <w:bodyDiv w:val="1"/>
      <w:marLeft w:val="0"/>
      <w:marRight w:val="0"/>
      <w:marTop w:val="0"/>
      <w:marBottom w:val="0"/>
      <w:divBdr>
        <w:top w:val="none" w:sz="0" w:space="0" w:color="auto"/>
        <w:left w:val="none" w:sz="0" w:space="0" w:color="auto"/>
        <w:bottom w:val="none" w:sz="0" w:space="0" w:color="auto"/>
        <w:right w:val="none" w:sz="0" w:space="0" w:color="auto"/>
      </w:divBdr>
    </w:div>
    <w:div w:id="802816823">
      <w:bodyDiv w:val="1"/>
      <w:marLeft w:val="0"/>
      <w:marRight w:val="0"/>
      <w:marTop w:val="0"/>
      <w:marBottom w:val="0"/>
      <w:divBdr>
        <w:top w:val="none" w:sz="0" w:space="0" w:color="auto"/>
        <w:left w:val="none" w:sz="0" w:space="0" w:color="auto"/>
        <w:bottom w:val="none" w:sz="0" w:space="0" w:color="auto"/>
        <w:right w:val="none" w:sz="0" w:space="0" w:color="auto"/>
      </w:divBdr>
    </w:div>
    <w:div w:id="803428602">
      <w:bodyDiv w:val="1"/>
      <w:marLeft w:val="0"/>
      <w:marRight w:val="0"/>
      <w:marTop w:val="0"/>
      <w:marBottom w:val="0"/>
      <w:divBdr>
        <w:top w:val="none" w:sz="0" w:space="0" w:color="auto"/>
        <w:left w:val="none" w:sz="0" w:space="0" w:color="auto"/>
        <w:bottom w:val="none" w:sz="0" w:space="0" w:color="auto"/>
        <w:right w:val="none" w:sz="0" w:space="0" w:color="auto"/>
      </w:divBdr>
    </w:div>
    <w:div w:id="881746668">
      <w:bodyDiv w:val="1"/>
      <w:marLeft w:val="0"/>
      <w:marRight w:val="0"/>
      <w:marTop w:val="0"/>
      <w:marBottom w:val="0"/>
      <w:divBdr>
        <w:top w:val="none" w:sz="0" w:space="0" w:color="auto"/>
        <w:left w:val="none" w:sz="0" w:space="0" w:color="auto"/>
        <w:bottom w:val="none" w:sz="0" w:space="0" w:color="auto"/>
        <w:right w:val="none" w:sz="0" w:space="0" w:color="auto"/>
      </w:divBdr>
    </w:div>
    <w:div w:id="887836501">
      <w:bodyDiv w:val="1"/>
      <w:marLeft w:val="0"/>
      <w:marRight w:val="0"/>
      <w:marTop w:val="0"/>
      <w:marBottom w:val="0"/>
      <w:divBdr>
        <w:top w:val="none" w:sz="0" w:space="0" w:color="auto"/>
        <w:left w:val="none" w:sz="0" w:space="0" w:color="auto"/>
        <w:bottom w:val="none" w:sz="0" w:space="0" w:color="auto"/>
        <w:right w:val="none" w:sz="0" w:space="0" w:color="auto"/>
      </w:divBdr>
    </w:div>
    <w:div w:id="899906376">
      <w:bodyDiv w:val="1"/>
      <w:marLeft w:val="0"/>
      <w:marRight w:val="0"/>
      <w:marTop w:val="0"/>
      <w:marBottom w:val="0"/>
      <w:divBdr>
        <w:top w:val="none" w:sz="0" w:space="0" w:color="auto"/>
        <w:left w:val="none" w:sz="0" w:space="0" w:color="auto"/>
        <w:bottom w:val="none" w:sz="0" w:space="0" w:color="auto"/>
        <w:right w:val="none" w:sz="0" w:space="0" w:color="auto"/>
      </w:divBdr>
    </w:div>
    <w:div w:id="954870829">
      <w:bodyDiv w:val="1"/>
      <w:marLeft w:val="0"/>
      <w:marRight w:val="0"/>
      <w:marTop w:val="0"/>
      <w:marBottom w:val="0"/>
      <w:divBdr>
        <w:top w:val="none" w:sz="0" w:space="0" w:color="auto"/>
        <w:left w:val="none" w:sz="0" w:space="0" w:color="auto"/>
        <w:bottom w:val="none" w:sz="0" w:space="0" w:color="auto"/>
        <w:right w:val="none" w:sz="0" w:space="0" w:color="auto"/>
      </w:divBdr>
    </w:div>
    <w:div w:id="961157690">
      <w:bodyDiv w:val="1"/>
      <w:marLeft w:val="0"/>
      <w:marRight w:val="0"/>
      <w:marTop w:val="0"/>
      <w:marBottom w:val="0"/>
      <w:divBdr>
        <w:top w:val="none" w:sz="0" w:space="0" w:color="auto"/>
        <w:left w:val="none" w:sz="0" w:space="0" w:color="auto"/>
        <w:bottom w:val="none" w:sz="0" w:space="0" w:color="auto"/>
        <w:right w:val="none" w:sz="0" w:space="0" w:color="auto"/>
      </w:divBdr>
    </w:div>
    <w:div w:id="984965286">
      <w:bodyDiv w:val="1"/>
      <w:marLeft w:val="0"/>
      <w:marRight w:val="0"/>
      <w:marTop w:val="0"/>
      <w:marBottom w:val="0"/>
      <w:divBdr>
        <w:top w:val="none" w:sz="0" w:space="0" w:color="auto"/>
        <w:left w:val="none" w:sz="0" w:space="0" w:color="auto"/>
        <w:bottom w:val="none" w:sz="0" w:space="0" w:color="auto"/>
        <w:right w:val="none" w:sz="0" w:space="0" w:color="auto"/>
      </w:divBdr>
    </w:div>
    <w:div w:id="993144141">
      <w:bodyDiv w:val="1"/>
      <w:marLeft w:val="0"/>
      <w:marRight w:val="0"/>
      <w:marTop w:val="0"/>
      <w:marBottom w:val="0"/>
      <w:divBdr>
        <w:top w:val="none" w:sz="0" w:space="0" w:color="auto"/>
        <w:left w:val="none" w:sz="0" w:space="0" w:color="auto"/>
        <w:bottom w:val="none" w:sz="0" w:space="0" w:color="auto"/>
        <w:right w:val="none" w:sz="0" w:space="0" w:color="auto"/>
      </w:divBdr>
    </w:div>
    <w:div w:id="1080909888">
      <w:bodyDiv w:val="1"/>
      <w:marLeft w:val="0"/>
      <w:marRight w:val="0"/>
      <w:marTop w:val="0"/>
      <w:marBottom w:val="0"/>
      <w:divBdr>
        <w:top w:val="none" w:sz="0" w:space="0" w:color="auto"/>
        <w:left w:val="none" w:sz="0" w:space="0" w:color="auto"/>
        <w:bottom w:val="none" w:sz="0" w:space="0" w:color="auto"/>
        <w:right w:val="none" w:sz="0" w:space="0" w:color="auto"/>
      </w:divBdr>
    </w:div>
    <w:div w:id="1082213859">
      <w:bodyDiv w:val="1"/>
      <w:marLeft w:val="0"/>
      <w:marRight w:val="0"/>
      <w:marTop w:val="0"/>
      <w:marBottom w:val="0"/>
      <w:divBdr>
        <w:top w:val="none" w:sz="0" w:space="0" w:color="auto"/>
        <w:left w:val="none" w:sz="0" w:space="0" w:color="auto"/>
        <w:bottom w:val="none" w:sz="0" w:space="0" w:color="auto"/>
        <w:right w:val="none" w:sz="0" w:space="0" w:color="auto"/>
      </w:divBdr>
    </w:div>
    <w:div w:id="1087191472">
      <w:bodyDiv w:val="1"/>
      <w:marLeft w:val="0"/>
      <w:marRight w:val="0"/>
      <w:marTop w:val="0"/>
      <w:marBottom w:val="0"/>
      <w:divBdr>
        <w:top w:val="none" w:sz="0" w:space="0" w:color="auto"/>
        <w:left w:val="none" w:sz="0" w:space="0" w:color="auto"/>
        <w:bottom w:val="none" w:sz="0" w:space="0" w:color="auto"/>
        <w:right w:val="none" w:sz="0" w:space="0" w:color="auto"/>
      </w:divBdr>
    </w:div>
    <w:div w:id="1146165935">
      <w:bodyDiv w:val="1"/>
      <w:marLeft w:val="0"/>
      <w:marRight w:val="0"/>
      <w:marTop w:val="0"/>
      <w:marBottom w:val="0"/>
      <w:divBdr>
        <w:top w:val="none" w:sz="0" w:space="0" w:color="auto"/>
        <w:left w:val="none" w:sz="0" w:space="0" w:color="auto"/>
        <w:bottom w:val="none" w:sz="0" w:space="0" w:color="auto"/>
        <w:right w:val="none" w:sz="0" w:space="0" w:color="auto"/>
      </w:divBdr>
    </w:div>
    <w:div w:id="1165851830">
      <w:bodyDiv w:val="1"/>
      <w:marLeft w:val="0"/>
      <w:marRight w:val="0"/>
      <w:marTop w:val="0"/>
      <w:marBottom w:val="0"/>
      <w:divBdr>
        <w:top w:val="none" w:sz="0" w:space="0" w:color="auto"/>
        <w:left w:val="none" w:sz="0" w:space="0" w:color="auto"/>
        <w:bottom w:val="none" w:sz="0" w:space="0" w:color="auto"/>
        <w:right w:val="none" w:sz="0" w:space="0" w:color="auto"/>
      </w:divBdr>
    </w:div>
    <w:div w:id="1183786128">
      <w:bodyDiv w:val="1"/>
      <w:marLeft w:val="0"/>
      <w:marRight w:val="0"/>
      <w:marTop w:val="0"/>
      <w:marBottom w:val="0"/>
      <w:divBdr>
        <w:top w:val="none" w:sz="0" w:space="0" w:color="auto"/>
        <w:left w:val="none" w:sz="0" w:space="0" w:color="auto"/>
        <w:bottom w:val="none" w:sz="0" w:space="0" w:color="auto"/>
        <w:right w:val="none" w:sz="0" w:space="0" w:color="auto"/>
      </w:divBdr>
    </w:div>
    <w:div w:id="1204517409">
      <w:bodyDiv w:val="1"/>
      <w:marLeft w:val="0"/>
      <w:marRight w:val="0"/>
      <w:marTop w:val="0"/>
      <w:marBottom w:val="0"/>
      <w:divBdr>
        <w:top w:val="none" w:sz="0" w:space="0" w:color="auto"/>
        <w:left w:val="none" w:sz="0" w:space="0" w:color="auto"/>
        <w:bottom w:val="none" w:sz="0" w:space="0" w:color="auto"/>
        <w:right w:val="none" w:sz="0" w:space="0" w:color="auto"/>
      </w:divBdr>
    </w:div>
    <w:div w:id="1206018140">
      <w:bodyDiv w:val="1"/>
      <w:marLeft w:val="0"/>
      <w:marRight w:val="0"/>
      <w:marTop w:val="0"/>
      <w:marBottom w:val="0"/>
      <w:divBdr>
        <w:top w:val="none" w:sz="0" w:space="0" w:color="auto"/>
        <w:left w:val="none" w:sz="0" w:space="0" w:color="auto"/>
        <w:bottom w:val="none" w:sz="0" w:space="0" w:color="auto"/>
        <w:right w:val="none" w:sz="0" w:space="0" w:color="auto"/>
      </w:divBdr>
    </w:div>
    <w:div w:id="1218929120">
      <w:bodyDiv w:val="1"/>
      <w:marLeft w:val="0"/>
      <w:marRight w:val="0"/>
      <w:marTop w:val="0"/>
      <w:marBottom w:val="0"/>
      <w:divBdr>
        <w:top w:val="none" w:sz="0" w:space="0" w:color="auto"/>
        <w:left w:val="none" w:sz="0" w:space="0" w:color="auto"/>
        <w:bottom w:val="none" w:sz="0" w:space="0" w:color="auto"/>
        <w:right w:val="none" w:sz="0" w:space="0" w:color="auto"/>
      </w:divBdr>
    </w:div>
    <w:div w:id="1221863992">
      <w:bodyDiv w:val="1"/>
      <w:marLeft w:val="0"/>
      <w:marRight w:val="0"/>
      <w:marTop w:val="0"/>
      <w:marBottom w:val="0"/>
      <w:divBdr>
        <w:top w:val="none" w:sz="0" w:space="0" w:color="auto"/>
        <w:left w:val="none" w:sz="0" w:space="0" w:color="auto"/>
        <w:bottom w:val="none" w:sz="0" w:space="0" w:color="auto"/>
        <w:right w:val="none" w:sz="0" w:space="0" w:color="auto"/>
      </w:divBdr>
    </w:div>
    <w:div w:id="1275139800">
      <w:bodyDiv w:val="1"/>
      <w:marLeft w:val="0"/>
      <w:marRight w:val="0"/>
      <w:marTop w:val="0"/>
      <w:marBottom w:val="0"/>
      <w:divBdr>
        <w:top w:val="none" w:sz="0" w:space="0" w:color="auto"/>
        <w:left w:val="none" w:sz="0" w:space="0" w:color="auto"/>
        <w:bottom w:val="none" w:sz="0" w:space="0" w:color="auto"/>
        <w:right w:val="none" w:sz="0" w:space="0" w:color="auto"/>
      </w:divBdr>
    </w:div>
    <w:div w:id="1325818335">
      <w:bodyDiv w:val="1"/>
      <w:marLeft w:val="0"/>
      <w:marRight w:val="0"/>
      <w:marTop w:val="0"/>
      <w:marBottom w:val="0"/>
      <w:divBdr>
        <w:top w:val="none" w:sz="0" w:space="0" w:color="auto"/>
        <w:left w:val="none" w:sz="0" w:space="0" w:color="auto"/>
        <w:bottom w:val="none" w:sz="0" w:space="0" w:color="auto"/>
        <w:right w:val="none" w:sz="0" w:space="0" w:color="auto"/>
      </w:divBdr>
    </w:div>
    <w:div w:id="1331954934">
      <w:bodyDiv w:val="1"/>
      <w:marLeft w:val="0"/>
      <w:marRight w:val="0"/>
      <w:marTop w:val="0"/>
      <w:marBottom w:val="0"/>
      <w:divBdr>
        <w:top w:val="none" w:sz="0" w:space="0" w:color="auto"/>
        <w:left w:val="none" w:sz="0" w:space="0" w:color="auto"/>
        <w:bottom w:val="none" w:sz="0" w:space="0" w:color="auto"/>
        <w:right w:val="none" w:sz="0" w:space="0" w:color="auto"/>
      </w:divBdr>
    </w:div>
    <w:div w:id="1341931492">
      <w:bodyDiv w:val="1"/>
      <w:marLeft w:val="0"/>
      <w:marRight w:val="0"/>
      <w:marTop w:val="0"/>
      <w:marBottom w:val="0"/>
      <w:divBdr>
        <w:top w:val="none" w:sz="0" w:space="0" w:color="auto"/>
        <w:left w:val="none" w:sz="0" w:space="0" w:color="auto"/>
        <w:bottom w:val="none" w:sz="0" w:space="0" w:color="auto"/>
        <w:right w:val="none" w:sz="0" w:space="0" w:color="auto"/>
      </w:divBdr>
    </w:div>
    <w:div w:id="1349214507">
      <w:bodyDiv w:val="1"/>
      <w:marLeft w:val="0"/>
      <w:marRight w:val="0"/>
      <w:marTop w:val="0"/>
      <w:marBottom w:val="0"/>
      <w:divBdr>
        <w:top w:val="none" w:sz="0" w:space="0" w:color="auto"/>
        <w:left w:val="none" w:sz="0" w:space="0" w:color="auto"/>
        <w:bottom w:val="none" w:sz="0" w:space="0" w:color="auto"/>
        <w:right w:val="none" w:sz="0" w:space="0" w:color="auto"/>
      </w:divBdr>
    </w:div>
    <w:div w:id="1350176599">
      <w:bodyDiv w:val="1"/>
      <w:marLeft w:val="0"/>
      <w:marRight w:val="0"/>
      <w:marTop w:val="0"/>
      <w:marBottom w:val="0"/>
      <w:divBdr>
        <w:top w:val="none" w:sz="0" w:space="0" w:color="auto"/>
        <w:left w:val="none" w:sz="0" w:space="0" w:color="auto"/>
        <w:bottom w:val="none" w:sz="0" w:space="0" w:color="auto"/>
        <w:right w:val="none" w:sz="0" w:space="0" w:color="auto"/>
      </w:divBdr>
    </w:div>
    <w:div w:id="1356998934">
      <w:bodyDiv w:val="1"/>
      <w:marLeft w:val="0"/>
      <w:marRight w:val="0"/>
      <w:marTop w:val="0"/>
      <w:marBottom w:val="0"/>
      <w:divBdr>
        <w:top w:val="none" w:sz="0" w:space="0" w:color="auto"/>
        <w:left w:val="none" w:sz="0" w:space="0" w:color="auto"/>
        <w:bottom w:val="none" w:sz="0" w:space="0" w:color="auto"/>
        <w:right w:val="none" w:sz="0" w:space="0" w:color="auto"/>
      </w:divBdr>
    </w:div>
    <w:div w:id="1364984095">
      <w:bodyDiv w:val="1"/>
      <w:marLeft w:val="0"/>
      <w:marRight w:val="0"/>
      <w:marTop w:val="0"/>
      <w:marBottom w:val="0"/>
      <w:divBdr>
        <w:top w:val="none" w:sz="0" w:space="0" w:color="auto"/>
        <w:left w:val="none" w:sz="0" w:space="0" w:color="auto"/>
        <w:bottom w:val="none" w:sz="0" w:space="0" w:color="auto"/>
        <w:right w:val="none" w:sz="0" w:space="0" w:color="auto"/>
      </w:divBdr>
    </w:div>
    <w:div w:id="1399861540">
      <w:bodyDiv w:val="1"/>
      <w:marLeft w:val="0"/>
      <w:marRight w:val="0"/>
      <w:marTop w:val="0"/>
      <w:marBottom w:val="0"/>
      <w:divBdr>
        <w:top w:val="none" w:sz="0" w:space="0" w:color="auto"/>
        <w:left w:val="none" w:sz="0" w:space="0" w:color="auto"/>
        <w:bottom w:val="none" w:sz="0" w:space="0" w:color="auto"/>
        <w:right w:val="none" w:sz="0" w:space="0" w:color="auto"/>
      </w:divBdr>
    </w:div>
    <w:div w:id="1419786234">
      <w:bodyDiv w:val="1"/>
      <w:marLeft w:val="0"/>
      <w:marRight w:val="0"/>
      <w:marTop w:val="0"/>
      <w:marBottom w:val="0"/>
      <w:divBdr>
        <w:top w:val="none" w:sz="0" w:space="0" w:color="auto"/>
        <w:left w:val="none" w:sz="0" w:space="0" w:color="auto"/>
        <w:bottom w:val="none" w:sz="0" w:space="0" w:color="auto"/>
        <w:right w:val="none" w:sz="0" w:space="0" w:color="auto"/>
      </w:divBdr>
    </w:div>
    <w:div w:id="1443914629">
      <w:bodyDiv w:val="1"/>
      <w:marLeft w:val="0"/>
      <w:marRight w:val="0"/>
      <w:marTop w:val="0"/>
      <w:marBottom w:val="0"/>
      <w:divBdr>
        <w:top w:val="none" w:sz="0" w:space="0" w:color="auto"/>
        <w:left w:val="none" w:sz="0" w:space="0" w:color="auto"/>
        <w:bottom w:val="none" w:sz="0" w:space="0" w:color="auto"/>
        <w:right w:val="none" w:sz="0" w:space="0" w:color="auto"/>
      </w:divBdr>
    </w:div>
    <w:div w:id="1489250081">
      <w:bodyDiv w:val="1"/>
      <w:marLeft w:val="0"/>
      <w:marRight w:val="0"/>
      <w:marTop w:val="0"/>
      <w:marBottom w:val="0"/>
      <w:divBdr>
        <w:top w:val="none" w:sz="0" w:space="0" w:color="auto"/>
        <w:left w:val="none" w:sz="0" w:space="0" w:color="auto"/>
        <w:bottom w:val="none" w:sz="0" w:space="0" w:color="auto"/>
        <w:right w:val="none" w:sz="0" w:space="0" w:color="auto"/>
      </w:divBdr>
    </w:div>
    <w:div w:id="1492212803">
      <w:bodyDiv w:val="1"/>
      <w:marLeft w:val="0"/>
      <w:marRight w:val="0"/>
      <w:marTop w:val="0"/>
      <w:marBottom w:val="0"/>
      <w:divBdr>
        <w:top w:val="none" w:sz="0" w:space="0" w:color="auto"/>
        <w:left w:val="none" w:sz="0" w:space="0" w:color="auto"/>
        <w:bottom w:val="none" w:sz="0" w:space="0" w:color="auto"/>
        <w:right w:val="none" w:sz="0" w:space="0" w:color="auto"/>
      </w:divBdr>
    </w:div>
    <w:div w:id="1504470236">
      <w:bodyDiv w:val="1"/>
      <w:marLeft w:val="0"/>
      <w:marRight w:val="0"/>
      <w:marTop w:val="0"/>
      <w:marBottom w:val="0"/>
      <w:divBdr>
        <w:top w:val="none" w:sz="0" w:space="0" w:color="auto"/>
        <w:left w:val="none" w:sz="0" w:space="0" w:color="auto"/>
        <w:bottom w:val="none" w:sz="0" w:space="0" w:color="auto"/>
        <w:right w:val="none" w:sz="0" w:space="0" w:color="auto"/>
      </w:divBdr>
    </w:div>
    <w:div w:id="1556504713">
      <w:bodyDiv w:val="1"/>
      <w:marLeft w:val="0"/>
      <w:marRight w:val="0"/>
      <w:marTop w:val="0"/>
      <w:marBottom w:val="0"/>
      <w:divBdr>
        <w:top w:val="none" w:sz="0" w:space="0" w:color="auto"/>
        <w:left w:val="none" w:sz="0" w:space="0" w:color="auto"/>
        <w:bottom w:val="none" w:sz="0" w:space="0" w:color="auto"/>
        <w:right w:val="none" w:sz="0" w:space="0" w:color="auto"/>
      </w:divBdr>
    </w:div>
    <w:div w:id="1559510798">
      <w:bodyDiv w:val="1"/>
      <w:marLeft w:val="0"/>
      <w:marRight w:val="0"/>
      <w:marTop w:val="0"/>
      <w:marBottom w:val="0"/>
      <w:divBdr>
        <w:top w:val="none" w:sz="0" w:space="0" w:color="auto"/>
        <w:left w:val="none" w:sz="0" w:space="0" w:color="auto"/>
        <w:bottom w:val="none" w:sz="0" w:space="0" w:color="auto"/>
        <w:right w:val="none" w:sz="0" w:space="0" w:color="auto"/>
      </w:divBdr>
    </w:div>
    <w:div w:id="1619332488">
      <w:bodyDiv w:val="1"/>
      <w:marLeft w:val="0"/>
      <w:marRight w:val="0"/>
      <w:marTop w:val="0"/>
      <w:marBottom w:val="0"/>
      <w:divBdr>
        <w:top w:val="none" w:sz="0" w:space="0" w:color="auto"/>
        <w:left w:val="none" w:sz="0" w:space="0" w:color="auto"/>
        <w:bottom w:val="none" w:sz="0" w:space="0" w:color="auto"/>
        <w:right w:val="none" w:sz="0" w:space="0" w:color="auto"/>
      </w:divBdr>
    </w:div>
    <w:div w:id="1691686330">
      <w:bodyDiv w:val="1"/>
      <w:marLeft w:val="0"/>
      <w:marRight w:val="0"/>
      <w:marTop w:val="0"/>
      <w:marBottom w:val="0"/>
      <w:divBdr>
        <w:top w:val="none" w:sz="0" w:space="0" w:color="auto"/>
        <w:left w:val="none" w:sz="0" w:space="0" w:color="auto"/>
        <w:bottom w:val="none" w:sz="0" w:space="0" w:color="auto"/>
        <w:right w:val="none" w:sz="0" w:space="0" w:color="auto"/>
      </w:divBdr>
    </w:div>
    <w:div w:id="1713380346">
      <w:bodyDiv w:val="1"/>
      <w:marLeft w:val="0"/>
      <w:marRight w:val="0"/>
      <w:marTop w:val="0"/>
      <w:marBottom w:val="0"/>
      <w:divBdr>
        <w:top w:val="none" w:sz="0" w:space="0" w:color="auto"/>
        <w:left w:val="none" w:sz="0" w:space="0" w:color="auto"/>
        <w:bottom w:val="none" w:sz="0" w:space="0" w:color="auto"/>
        <w:right w:val="none" w:sz="0" w:space="0" w:color="auto"/>
      </w:divBdr>
    </w:div>
    <w:div w:id="1730953140">
      <w:bodyDiv w:val="1"/>
      <w:marLeft w:val="0"/>
      <w:marRight w:val="0"/>
      <w:marTop w:val="0"/>
      <w:marBottom w:val="0"/>
      <w:divBdr>
        <w:top w:val="none" w:sz="0" w:space="0" w:color="auto"/>
        <w:left w:val="none" w:sz="0" w:space="0" w:color="auto"/>
        <w:bottom w:val="none" w:sz="0" w:space="0" w:color="auto"/>
        <w:right w:val="none" w:sz="0" w:space="0" w:color="auto"/>
      </w:divBdr>
    </w:div>
    <w:div w:id="1787195338">
      <w:bodyDiv w:val="1"/>
      <w:marLeft w:val="0"/>
      <w:marRight w:val="0"/>
      <w:marTop w:val="0"/>
      <w:marBottom w:val="0"/>
      <w:divBdr>
        <w:top w:val="none" w:sz="0" w:space="0" w:color="auto"/>
        <w:left w:val="none" w:sz="0" w:space="0" w:color="auto"/>
        <w:bottom w:val="none" w:sz="0" w:space="0" w:color="auto"/>
        <w:right w:val="none" w:sz="0" w:space="0" w:color="auto"/>
      </w:divBdr>
    </w:div>
    <w:div w:id="1789274707">
      <w:bodyDiv w:val="1"/>
      <w:marLeft w:val="0"/>
      <w:marRight w:val="0"/>
      <w:marTop w:val="0"/>
      <w:marBottom w:val="0"/>
      <w:divBdr>
        <w:top w:val="none" w:sz="0" w:space="0" w:color="auto"/>
        <w:left w:val="none" w:sz="0" w:space="0" w:color="auto"/>
        <w:bottom w:val="none" w:sz="0" w:space="0" w:color="auto"/>
        <w:right w:val="none" w:sz="0" w:space="0" w:color="auto"/>
      </w:divBdr>
    </w:div>
    <w:div w:id="1806308646">
      <w:bodyDiv w:val="1"/>
      <w:marLeft w:val="0"/>
      <w:marRight w:val="0"/>
      <w:marTop w:val="0"/>
      <w:marBottom w:val="0"/>
      <w:divBdr>
        <w:top w:val="none" w:sz="0" w:space="0" w:color="auto"/>
        <w:left w:val="none" w:sz="0" w:space="0" w:color="auto"/>
        <w:bottom w:val="none" w:sz="0" w:space="0" w:color="auto"/>
        <w:right w:val="none" w:sz="0" w:space="0" w:color="auto"/>
      </w:divBdr>
    </w:div>
    <w:div w:id="1854494649">
      <w:bodyDiv w:val="1"/>
      <w:marLeft w:val="0"/>
      <w:marRight w:val="0"/>
      <w:marTop w:val="0"/>
      <w:marBottom w:val="0"/>
      <w:divBdr>
        <w:top w:val="none" w:sz="0" w:space="0" w:color="auto"/>
        <w:left w:val="none" w:sz="0" w:space="0" w:color="auto"/>
        <w:bottom w:val="none" w:sz="0" w:space="0" w:color="auto"/>
        <w:right w:val="none" w:sz="0" w:space="0" w:color="auto"/>
      </w:divBdr>
    </w:div>
    <w:div w:id="1856075934">
      <w:bodyDiv w:val="1"/>
      <w:marLeft w:val="0"/>
      <w:marRight w:val="0"/>
      <w:marTop w:val="0"/>
      <w:marBottom w:val="0"/>
      <w:divBdr>
        <w:top w:val="none" w:sz="0" w:space="0" w:color="auto"/>
        <w:left w:val="none" w:sz="0" w:space="0" w:color="auto"/>
        <w:bottom w:val="none" w:sz="0" w:space="0" w:color="auto"/>
        <w:right w:val="none" w:sz="0" w:space="0" w:color="auto"/>
      </w:divBdr>
    </w:div>
    <w:div w:id="1871533527">
      <w:bodyDiv w:val="1"/>
      <w:marLeft w:val="0"/>
      <w:marRight w:val="0"/>
      <w:marTop w:val="0"/>
      <w:marBottom w:val="0"/>
      <w:divBdr>
        <w:top w:val="none" w:sz="0" w:space="0" w:color="auto"/>
        <w:left w:val="none" w:sz="0" w:space="0" w:color="auto"/>
        <w:bottom w:val="none" w:sz="0" w:space="0" w:color="auto"/>
        <w:right w:val="none" w:sz="0" w:space="0" w:color="auto"/>
      </w:divBdr>
    </w:div>
    <w:div w:id="1879275568">
      <w:bodyDiv w:val="1"/>
      <w:marLeft w:val="0"/>
      <w:marRight w:val="0"/>
      <w:marTop w:val="0"/>
      <w:marBottom w:val="0"/>
      <w:divBdr>
        <w:top w:val="none" w:sz="0" w:space="0" w:color="auto"/>
        <w:left w:val="none" w:sz="0" w:space="0" w:color="auto"/>
        <w:bottom w:val="none" w:sz="0" w:space="0" w:color="auto"/>
        <w:right w:val="none" w:sz="0" w:space="0" w:color="auto"/>
      </w:divBdr>
    </w:div>
    <w:div w:id="1906409382">
      <w:bodyDiv w:val="1"/>
      <w:marLeft w:val="0"/>
      <w:marRight w:val="0"/>
      <w:marTop w:val="0"/>
      <w:marBottom w:val="0"/>
      <w:divBdr>
        <w:top w:val="none" w:sz="0" w:space="0" w:color="auto"/>
        <w:left w:val="none" w:sz="0" w:space="0" w:color="auto"/>
        <w:bottom w:val="none" w:sz="0" w:space="0" w:color="auto"/>
        <w:right w:val="none" w:sz="0" w:space="0" w:color="auto"/>
      </w:divBdr>
    </w:div>
    <w:div w:id="1938169952">
      <w:bodyDiv w:val="1"/>
      <w:marLeft w:val="0"/>
      <w:marRight w:val="0"/>
      <w:marTop w:val="0"/>
      <w:marBottom w:val="0"/>
      <w:divBdr>
        <w:top w:val="none" w:sz="0" w:space="0" w:color="auto"/>
        <w:left w:val="none" w:sz="0" w:space="0" w:color="auto"/>
        <w:bottom w:val="none" w:sz="0" w:space="0" w:color="auto"/>
        <w:right w:val="none" w:sz="0" w:space="0" w:color="auto"/>
      </w:divBdr>
    </w:div>
    <w:div w:id="1969237207">
      <w:bodyDiv w:val="1"/>
      <w:marLeft w:val="0"/>
      <w:marRight w:val="0"/>
      <w:marTop w:val="0"/>
      <w:marBottom w:val="0"/>
      <w:divBdr>
        <w:top w:val="none" w:sz="0" w:space="0" w:color="auto"/>
        <w:left w:val="none" w:sz="0" w:space="0" w:color="auto"/>
        <w:bottom w:val="none" w:sz="0" w:space="0" w:color="auto"/>
        <w:right w:val="none" w:sz="0" w:space="0" w:color="auto"/>
      </w:divBdr>
    </w:div>
    <w:div w:id="1999459564">
      <w:bodyDiv w:val="1"/>
      <w:marLeft w:val="0"/>
      <w:marRight w:val="0"/>
      <w:marTop w:val="0"/>
      <w:marBottom w:val="0"/>
      <w:divBdr>
        <w:top w:val="none" w:sz="0" w:space="0" w:color="auto"/>
        <w:left w:val="none" w:sz="0" w:space="0" w:color="auto"/>
        <w:bottom w:val="none" w:sz="0" w:space="0" w:color="auto"/>
        <w:right w:val="none" w:sz="0" w:space="0" w:color="auto"/>
      </w:divBdr>
    </w:div>
    <w:div w:id="1999576386">
      <w:bodyDiv w:val="1"/>
      <w:marLeft w:val="0"/>
      <w:marRight w:val="0"/>
      <w:marTop w:val="0"/>
      <w:marBottom w:val="0"/>
      <w:divBdr>
        <w:top w:val="none" w:sz="0" w:space="0" w:color="auto"/>
        <w:left w:val="none" w:sz="0" w:space="0" w:color="auto"/>
        <w:bottom w:val="none" w:sz="0" w:space="0" w:color="auto"/>
        <w:right w:val="none" w:sz="0" w:space="0" w:color="auto"/>
      </w:divBdr>
    </w:div>
    <w:div w:id="2024699054">
      <w:bodyDiv w:val="1"/>
      <w:marLeft w:val="0"/>
      <w:marRight w:val="0"/>
      <w:marTop w:val="0"/>
      <w:marBottom w:val="0"/>
      <w:divBdr>
        <w:top w:val="none" w:sz="0" w:space="0" w:color="auto"/>
        <w:left w:val="none" w:sz="0" w:space="0" w:color="auto"/>
        <w:bottom w:val="none" w:sz="0" w:space="0" w:color="auto"/>
        <w:right w:val="none" w:sz="0" w:space="0" w:color="auto"/>
      </w:divBdr>
      <w:divsChild>
        <w:div w:id="1140685864">
          <w:marLeft w:val="0"/>
          <w:marRight w:val="0"/>
          <w:marTop w:val="0"/>
          <w:marBottom w:val="0"/>
          <w:divBdr>
            <w:top w:val="none" w:sz="0" w:space="0" w:color="auto"/>
            <w:left w:val="none" w:sz="0" w:space="0" w:color="auto"/>
            <w:bottom w:val="none" w:sz="0" w:space="0" w:color="auto"/>
            <w:right w:val="none" w:sz="0" w:space="0" w:color="auto"/>
          </w:divBdr>
          <w:divsChild>
            <w:div w:id="378357650">
              <w:marLeft w:val="0"/>
              <w:marRight w:val="0"/>
              <w:marTop w:val="0"/>
              <w:marBottom w:val="0"/>
              <w:divBdr>
                <w:top w:val="none" w:sz="0" w:space="0" w:color="auto"/>
                <w:left w:val="none" w:sz="0" w:space="0" w:color="auto"/>
                <w:bottom w:val="none" w:sz="0" w:space="0" w:color="auto"/>
                <w:right w:val="none" w:sz="0" w:space="0" w:color="auto"/>
              </w:divBdr>
              <w:divsChild>
                <w:div w:id="105538694">
                  <w:marLeft w:val="0"/>
                  <w:marRight w:val="0"/>
                  <w:marTop w:val="0"/>
                  <w:marBottom w:val="0"/>
                  <w:divBdr>
                    <w:top w:val="none" w:sz="0" w:space="0" w:color="auto"/>
                    <w:left w:val="none" w:sz="0" w:space="0" w:color="auto"/>
                    <w:bottom w:val="none" w:sz="0" w:space="0" w:color="auto"/>
                    <w:right w:val="none" w:sz="0" w:space="0" w:color="auto"/>
                  </w:divBdr>
                  <w:divsChild>
                    <w:div w:id="1527792461">
                      <w:marLeft w:val="0"/>
                      <w:marRight w:val="0"/>
                      <w:marTop w:val="0"/>
                      <w:marBottom w:val="0"/>
                      <w:divBdr>
                        <w:top w:val="none" w:sz="0" w:space="0" w:color="auto"/>
                        <w:left w:val="none" w:sz="0" w:space="0" w:color="auto"/>
                        <w:bottom w:val="none" w:sz="0" w:space="0" w:color="auto"/>
                        <w:right w:val="none" w:sz="0" w:space="0" w:color="auto"/>
                      </w:divBdr>
                      <w:divsChild>
                        <w:div w:id="858083346">
                          <w:marLeft w:val="0"/>
                          <w:marRight w:val="0"/>
                          <w:marTop w:val="0"/>
                          <w:marBottom w:val="0"/>
                          <w:divBdr>
                            <w:top w:val="none" w:sz="0" w:space="0" w:color="auto"/>
                            <w:left w:val="none" w:sz="0" w:space="0" w:color="auto"/>
                            <w:bottom w:val="none" w:sz="0" w:space="0" w:color="auto"/>
                            <w:right w:val="none" w:sz="0" w:space="0" w:color="auto"/>
                          </w:divBdr>
                          <w:divsChild>
                            <w:div w:id="1130635594">
                              <w:marLeft w:val="0"/>
                              <w:marRight w:val="0"/>
                              <w:marTop w:val="0"/>
                              <w:marBottom w:val="0"/>
                              <w:divBdr>
                                <w:top w:val="none" w:sz="0" w:space="0" w:color="auto"/>
                                <w:left w:val="none" w:sz="0" w:space="0" w:color="auto"/>
                                <w:bottom w:val="none" w:sz="0" w:space="0" w:color="auto"/>
                                <w:right w:val="none" w:sz="0" w:space="0" w:color="auto"/>
                              </w:divBdr>
                              <w:divsChild>
                                <w:div w:id="454568407">
                                  <w:marLeft w:val="0"/>
                                  <w:marRight w:val="0"/>
                                  <w:marTop w:val="0"/>
                                  <w:marBottom w:val="0"/>
                                  <w:divBdr>
                                    <w:top w:val="none" w:sz="0" w:space="0" w:color="auto"/>
                                    <w:left w:val="none" w:sz="0" w:space="0" w:color="auto"/>
                                    <w:bottom w:val="none" w:sz="0" w:space="0" w:color="auto"/>
                                    <w:right w:val="none" w:sz="0" w:space="0" w:color="auto"/>
                                  </w:divBdr>
                                  <w:divsChild>
                                    <w:div w:id="1755273907">
                                      <w:marLeft w:val="0"/>
                                      <w:marRight w:val="0"/>
                                      <w:marTop w:val="0"/>
                                      <w:marBottom w:val="0"/>
                                      <w:divBdr>
                                        <w:top w:val="none" w:sz="0" w:space="0" w:color="auto"/>
                                        <w:left w:val="none" w:sz="0" w:space="0" w:color="auto"/>
                                        <w:bottom w:val="none" w:sz="0" w:space="0" w:color="auto"/>
                                        <w:right w:val="none" w:sz="0" w:space="0" w:color="auto"/>
                                      </w:divBdr>
                                    </w:div>
                                    <w:div w:id="1675497921">
                                      <w:marLeft w:val="0"/>
                                      <w:marRight w:val="0"/>
                                      <w:marTop w:val="0"/>
                                      <w:marBottom w:val="0"/>
                                      <w:divBdr>
                                        <w:top w:val="none" w:sz="0" w:space="0" w:color="auto"/>
                                        <w:left w:val="none" w:sz="0" w:space="0" w:color="auto"/>
                                        <w:bottom w:val="none" w:sz="0" w:space="0" w:color="auto"/>
                                        <w:right w:val="none" w:sz="0" w:space="0" w:color="auto"/>
                                      </w:divBdr>
                                      <w:divsChild>
                                        <w:div w:id="964235578">
                                          <w:marLeft w:val="0"/>
                                          <w:marRight w:val="165"/>
                                          <w:marTop w:val="150"/>
                                          <w:marBottom w:val="0"/>
                                          <w:divBdr>
                                            <w:top w:val="none" w:sz="0" w:space="0" w:color="auto"/>
                                            <w:left w:val="none" w:sz="0" w:space="0" w:color="auto"/>
                                            <w:bottom w:val="none" w:sz="0" w:space="0" w:color="auto"/>
                                            <w:right w:val="none" w:sz="0" w:space="0" w:color="auto"/>
                                          </w:divBdr>
                                          <w:divsChild>
                                            <w:div w:id="61292800">
                                              <w:marLeft w:val="0"/>
                                              <w:marRight w:val="0"/>
                                              <w:marTop w:val="0"/>
                                              <w:marBottom w:val="0"/>
                                              <w:divBdr>
                                                <w:top w:val="none" w:sz="0" w:space="0" w:color="auto"/>
                                                <w:left w:val="none" w:sz="0" w:space="0" w:color="auto"/>
                                                <w:bottom w:val="none" w:sz="0" w:space="0" w:color="auto"/>
                                                <w:right w:val="none" w:sz="0" w:space="0" w:color="auto"/>
                                              </w:divBdr>
                                              <w:divsChild>
                                                <w:div w:id="951128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137124">
      <w:bodyDiv w:val="1"/>
      <w:marLeft w:val="0"/>
      <w:marRight w:val="0"/>
      <w:marTop w:val="0"/>
      <w:marBottom w:val="0"/>
      <w:divBdr>
        <w:top w:val="none" w:sz="0" w:space="0" w:color="auto"/>
        <w:left w:val="none" w:sz="0" w:space="0" w:color="auto"/>
        <w:bottom w:val="none" w:sz="0" w:space="0" w:color="auto"/>
        <w:right w:val="none" w:sz="0" w:space="0" w:color="auto"/>
      </w:divBdr>
    </w:div>
    <w:div w:id="2064021795">
      <w:bodyDiv w:val="1"/>
      <w:marLeft w:val="0"/>
      <w:marRight w:val="0"/>
      <w:marTop w:val="0"/>
      <w:marBottom w:val="0"/>
      <w:divBdr>
        <w:top w:val="none" w:sz="0" w:space="0" w:color="auto"/>
        <w:left w:val="none" w:sz="0" w:space="0" w:color="auto"/>
        <w:bottom w:val="none" w:sz="0" w:space="0" w:color="auto"/>
        <w:right w:val="none" w:sz="0" w:space="0" w:color="auto"/>
      </w:divBdr>
    </w:div>
    <w:div w:id="2114544601">
      <w:bodyDiv w:val="1"/>
      <w:marLeft w:val="0"/>
      <w:marRight w:val="0"/>
      <w:marTop w:val="0"/>
      <w:marBottom w:val="0"/>
      <w:divBdr>
        <w:top w:val="none" w:sz="0" w:space="0" w:color="auto"/>
        <w:left w:val="none" w:sz="0" w:space="0" w:color="auto"/>
        <w:bottom w:val="none" w:sz="0" w:space="0" w:color="auto"/>
        <w:right w:val="none" w:sz="0" w:space="0" w:color="auto"/>
      </w:divBdr>
    </w:div>
    <w:div w:id="21440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642/AUK-14-11.1" TargetMode="External"/><Relationship Id="rId18" Type="http://schemas.openxmlformats.org/officeDocument/2006/relationships/hyperlink" Target="http://dx.doi.org/10.5751/ACE-00819-110103" TargetMode="Externa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he-peregrine-fund.github.io/Snowy-Owl-Population-Trends/" TargetMode="External"/><Relationship Id="rId2" Type="http://schemas.openxmlformats.org/officeDocument/2006/relationships/numbering" Target="numbering.xml"/><Relationship Id="rId16" Type="http://schemas.openxmlformats.org/officeDocument/2006/relationships/hyperlink" Target="https://github.com/The-Peregrine-Fund/Snowy-Owl-Population-Tren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birdlife.or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98/rspb.2023.2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D447-67A4-6243-B007-3C89BF46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2943</Words>
  <Characters>16776</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Rolek</dc:creator>
  <cp:keywords/>
  <dc:description/>
  <cp:lastModifiedBy>Rebecca McCabe</cp:lastModifiedBy>
  <cp:revision>2</cp:revision>
  <cp:lastPrinted>2024-05-22T18:25:00Z</cp:lastPrinted>
  <dcterms:created xsi:type="dcterms:W3CDTF">2024-11-08T21:15:00Z</dcterms:created>
  <dcterms:modified xsi:type="dcterms:W3CDTF">2024-11-08T21:15:00Z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http://www.zotero.org/styles/ecology</vt:lpwstr>
  </property>
  <property fmtid="{D5CDD505-2E9C-101B-9397-08002B2CF9AE}" pid="13" name="Mendeley Recent Style Name 5_1">
    <vt:lpwstr>Ecology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http://www.zotero.org/styles/the-condor</vt:lpwstr>
  </property>
  <property fmtid="{D5CDD505-2E9C-101B-9397-08002B2CF9AE}" pid="21" name="Mendeley Recent Style Name 9_1">
    <vt:lpwstr>The Condor</vt:lpwstr>
  </property>
  <property fmtid="{D5CDD505-2E9C-101B-9397-08002B2CF9AE}" pid="22" name="Mendeley Document_1">
    <vt:lpwstr>True</vt:lpwstr>
  </property>
  <property fmtid="{D5CDD505-2E9C-101B-9397-08002B2CF9AE}" pid="23" name="Mendeley Unique User Id_1">
    <vt:lpwstr>811a8cec-5720-3ebc-b5e9-59de43cd67e7</vt:lpwstr>
  </property>
</Properties>
</file>