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02639" w14:textId="77777777" w:rsidR="00014F25" w:rsidRPr="00733E46" w:rsidRDefault="00014F25" w:rsidP="00014F25">
      <w:pPr>
        <w:spacing w:line="360" w:lineRule="auto"/>
        <w:jc w:val="center"/>
        <w:rPr>
          <w:rFonts w:ascii="Times New Roman" w:hAnsi="Times New Roman" w:cs="Times New Roman"/>
          <w:b/>
          <w:bCs/>
        </w:rPr>
      </w:pPr>
      <w:r w:rsidRPr="00733E46">
        <w:rPr>
          <w:rFonts w:ascii="Times New Roman" w:hAnsi="Times New Roman" w:cs="Times New Roman"/>
          <w:b/>
          <w:bCs/>
        </w:rPr>
        <w:t>Doing the ‘donor dance’: agency in unequal NGO partnerships in Nigeria’s farmer-herder conflict</w:t>
      </w:r>
    </w:p>
    <w:p w14:paraId="79581922" w14:textId="751F3CE2" w:rsidR="005E54E7" w:rsidRPr="00733E46" w:rsidRDefault="00014F25" w:rsidP="00F6159C">
      <w:pPr>
        <w:spacing w:line="360" w:lineRule="auto"/>
        <w:jc w:val="center"/>
        <w:rPr>
          <w:rFonts w:ascii="Times New Roman" w:hAnsi="Times New Roman" w:cs="Times New Roman"/>
          <w:b/>
          <w:bCs/>
        </w:rPr>
      </w:pPr>
      <w:r w:rsidRPr="00733E46">
        <w:rPr>
          <w:rFonts w:ascii="Times New Roman" w:hAnsi="Times New Roman" w:cs="Times New Roman"/>
          <w:b/>
          <w:bCs/>
        </w:rPr>
        <w:t>Methodological and contextual appendix</w:t>
      </w:r>
    </w:p>
    <w:p w14:paraId="3A28C23E" w14:textId="77777777" w:rsidR="00F6159C" w:rsidRPr="00733E46" w:rsidRDefault="00F6159C" w:rsidP="00014F25">
      <w:pPr>
        <w:spacing w:line="360" w:lineRule="auto"/>
        <w:rPr>
          <w:rFonts w:ascii="Times New Roman" w:hAnsi="Times New Roman" w:cs="Times New Roman"/>
        </w:rPr>
      </w:pPr>
    </w:p>
    <w:p w14:paraId="74E58465" w14:textId="597A0BEF" w:rsidR="00014F25" w:rsidRPr="00733E46" w:rsidRDefault="00014F25" w:rsidP="00014F25">
      <w:pPr>
        <w:spacing w:line="360" w:lineRule="auto"/>
        <w:rPr>
          <w:rFonts w:ascii="Times New Roman" w:hAnsi="Times New Roman" w:cs="Times New Roman"/>
          <w:b/>
          <w:bCs/>
        </w:rPr>
      </w:pPr>
      <w:r w:rsidRPr="00733E46">
        <w:rPr>
          <w:rFonts w:ascii="Times New Roman" w:hAnsi="Times New Roman" w:cs="Times New Roman"/>
          <w:b/>
          <w:bCs/>
        </w:rPr>
        <w:t>Methods</w:t>
      </w:r>
    </w:p>
    <w:p w14:paraId="4A8C44BB" w14:textId="77777777" w:rsidR="00F6159C" w:rsidRPr="00733E46" w:rsidRDefault="00F6159C" w:rsidP="00F6159C">
      <w:pPr>
        <w:spacing w:line="360" w:lineRule="auto"/>
        <w:jc w:val="both"/>
        <w:rPr>
          <w:rFonts w:ascii="Times New Roman" w:hAnsi="Times New Roman" w:cs="Times New Roman"/>
        </w:rPr>
      </w:pPr>
      <w:r w:rsidRPr="00733E46">
        <w:rPr>
          <w:rFonts w:ascii="Times New Roman" w:hAnsi="Times New Roman" w:cs="Times New Roman"/>
        </w:rPr>
        <w:t xml:space="preserve">When seeking ethical approval for researching this project, the primary consideration was to ensure the safety of all participants, given the ongoing conflict. After extensive discussions with our university’s Ethics Committee in mid-2021, we agreed that the best solution was to anonymize not only the individual respondents, but also the NGOs and communities involved. Given their relatively small sizes, it was felt that individuals would still be identifiable even if respondent names were withheld. </w:t>
      </w:r>
    </w:p>
    <w:p w14:paraId="171ABDB4" w14:textId="5FD9F113" w:rsidR="00786CB1" w:rsidRPr="00733E46" w:rsidRDefault="00F6159C" w:rsidP="00F6159C">
      <w:pPr>
        <w:spacing w:line="360" w:lineRule="auto"/>
        <w:jc w:val="both"/>
        <w:rPr>
          <w:rFonts w:ascii="Times New Roman" w:hAnsi="Times New Roman" w:cs="Times New Roman"/>
        </w:rPr>
      </w:pPr>
      <w:r w:rsidRPr="00733E46">
        <w:rPr>
          <w:rFonts w:ascii="Times New Roman" w:hAnsi="Times New Roman" w:cs="Times New Roman"/>
        </w:rPr>
        <w:t xml:space="preserve">Data was collected through in-depth interviews in late 2022 and early 2023. Questions were open-ended and discussed topics around how </w:t>
      </w:r>
      <w:r w:rsidR="00786CB1" w:rsidRPr="00733E46">
        <w:rPr>
          <w:rFonts w:ascii="Times New Roman" w:hAnsi="Times New Roman" w:cs="Times New Roman"/>
        </w:rPr>
        <w:t>interviewees</w:t>
      </w:r>
      <w:r w:rsidRPr="00733E46">
        <w:rPr>
          <w:rFonts w:ascii="Times New Roman" w:hAnsi="Times New Roman" w:cs="Times New Roman"/>
        </w:rPr>
        <w:t xml:space="preserve"> experienced the project and the partnership,</w:t>
      </w:r>
      <w:r w:rsidR="00595F71" w:rsidRPr="00733E46">
        <w:rPr>
          <w:rFonts w:ascii="Times New Roman" w:hAnsi="Times New Roman" w:cs="Times New Roman"/>
        </w:rPr>
        <w:t xml:space="preserve"> and</w:t>
      </w:r>
      <w:r w:rsidRPr="00733E46">
        <w:rPr>
          <w:rFonts w:ascii="Times New Roman" w:hAnsi="Times New Roman" w:cs="Times New Roman"/>
        </w:rPr>
        <w:t xml:space="preserve"> what challenges and strengths they </w:t>
      </w:r>
      <w:r w:rsidR="00786CB1" w:rsidRPr="00733E46">
        <w:rPr>
          <w:rFonts w:ascii="Times New Roman" w:hAnsi="Times New Roman" w:cs="Times New Roman"/>
        </w:rPr>
        <w:t>encountered. Further</w:t>
      </w:r>
      <w:r w:rsidRPr="00733E46">
        <w:rPr>
          <w:rFonts w:ascii="Times New Roman" w:hAnsi="Times New Roman" w:cs="Times New Roman"/>
        </w:rPr>
        <w:t xml:space="preserve"> questions aimed at investigating their access to the three sources of power. Interviews were conducted with senior staff of the INGO, the two LNGOs, and host communities. Participants were purposively selected based on their role in the project, or their leadership position in the community. We were only able to secure one interview with senior staff of the INGO, but have complemented this with further interviews with development experts familiar with INGO-LNGO relations in the Nigerian context. A list of the interviews (13 in total) is provided at the end of the paper.</w:t>
      </w:r>
      <w:r w:rsidR="00786CB1" w:rsidRPr="00733E46">
        <w:rPr>
          <w:rFonts w:ascii="Times New Roman" w:hAnsi="Times New Roman" w:cs="Times New Roman"/>
        </w:rPr>
        <w:t xml:space="preserve"> </w:t>
      </w:r>
      <w:r w:rsidRPr="00733E46">
        <w:rPr>
          <w:rFonts w:ascii="Times New Roman" w:hAnsi="Times New Roman" w:cs="Times New Roman"/>
        </w:rPr>
        <w:t xml:space="preserve">The interview data was complemented by various documents, including the original project proposal (Document#1), the funder’s mid-term review (Document#2), an independent final impact evaluation (Document#3), and annual reports and websites of the two LNGOs (Documents #4 to #8). </w:t>
      </w:r>
    </w:p>
    <w:p w14:paraId="5C2827F6" w14:textId="0AE77C85" w:rsidR="00F6159C" w:rsidRPr="00733E46" w:rsidRDefault="00F6159C" w:rsidP="00F6159C">
      <w:pPr>
        <w:spacing w:line="360" w:lineRule="auto"/>
        <w:jc w:val="both"/>
        <w:rPr>
          <w:rFonts w:ascii="Times New Roman" w:hAnsi="Times New Roman" w:cs="Times New Roman"/>
        </w:rPr>
      </w:pPr>
      <w:r w:rsidRPr="00733E46">
        <w:rPr>
          <w:rFonts w:ascii="Times New Roman" w:hAnsi="Times New Roman" w:cs="Times New Roman"/>
        </w:rPr>
        <w:t>The data collected through the interviews and documents was analysed using a qualitative thematic approach, using four major themes: (</w:t>
      </w:r>
      <w:bookmarkStart w:id="0" w:name="_Hlk194654400"/>
      <w:r w:rsidRPr="00733E46">
        <w:rPr>
          <w:rFonts w:ascii="Times New Roman" w:hAnsi="Times New Roman" w:cs="Times New Roman"/>
        </w:rPr>
        <w:t xml:space="preserve">1) how the partnership operated; (2) material power; (3) organizational power; and (4) ideational power. </w:t>
      </w:r>
      <w:bookmarkStart w:id="1" w:name="_Hlk194655624"/>
      <w:bookmarkEnd w:id="0"/>
      <w:r w:rsidRPr="00733E46">
        <w:rPr>
          <w:rFonts w:ascii="Times New Roman" w:hAnsi="Times New Roman" w:cs="Times New Roman"/>
        </w:rPr>
        <w:t xml:space="preserve">Our primary approach was deductive: these themes were established based on the paper’s theoretical grounding in agency theory and the potential sources of power that LNGOs can draw upon to improve their bargaining position, as discussed in the </w:t>
      </w:r>
      <w:r w:rsidR="00595F71" w:rsidRPr="00733E46">
        <w:rPr>
          <w:rFonts w:ascii="Times New Roman" w:hAnsi="Times New Roman" w:cs="Times New Roman"/>
        </w:rPr>
        <w:t>paper’s theoretical framework</w:t>
      </w:r>
      <w:r w:rsidRPr="00733E46">
        <w:rPr>
          <w:rFonts w:ascii="Times New Roman" w:hAnsi="Times New Roman" w:cs="Times New Roman"/>
        </w:rPr>
        <w:t xml:space="preserve">. We then proceeded to apply the four themes to interpret patterns in the data (Ashworth et al. 2019). However, we also </w:t>
      </w:r>
      <w:r w:rsidRPr="00733E46">
        <w:rPr>
          <w:rFonts w:ascii="Times New Roman" w:hAnsi="Times New Roman" w:cs="Times New Roman"/>
        </w:rPr>
        <w:lastRenderedPageBreak/>
        <w:t xml:space="preserve">ensured that any emerging findings not accounted for in the original framework were fed back to refine the theory. </w:t>
      </w:r>
    </w:p>
    <w:p w14:paraId="481DAF38" w14:textId="291E89CA" w:rsidR="00786CB1" w:rsidRPr="00733E46" w:rsidRDefault="00786CB1" w:rsidP="00F6159C">
      <w:pPr>
        <w:spacing w:line="360" w:lineRule="auto"/>
        <w:jc w:val="both"/>
        <w:rPr>
          <w:rFonts w:ascii="Times New Roman" w:hAnsi="Times New Roman" w:cs="Times New Roman"/>
        </w:rPr>
      </w:pPr>
      <w:r w:rsidRPr="00733E46">
        <w:rPr>
          <w:rFonts w:ascii="Times New Roman" w:hAnsi="Times New Roman" w:cs="Times New Roman"/>
        </w:rPr>
        <w:t>The interviews and documents were coded with NVivo, because it facilitates systematic data organization, retrieval, and visualization, allowing for more transparent and reproducible analysis. The interviews were first transcribed, using a naturalized transcription approach, capturing all speech elements, including pauses, stutters, and repetitions. This method ensured a faithful representation of participants’ thoughts and minimized data loss (Peräkylä and Ruusuvuori 2017). One of the authors personally transcribed all interviews instead of relying on automated tools or external transcribers. This decision was based on concerns about potential inaccuracies arising from differences in cultural understanding, local accents, and colloquialisms (MacLean et al. 2004). Following transcription, all interview transcripts and documents were read carefully, and initial codes were generated which were then collated into the four themes. This was done by one of the authors, but a number of well-established consistency and reliability checks were also applied. First, the author doing the coding revisited the coding after a set period of time to ensure consistency (O’Connor and Joffe 2020). Second, we held regular discussions to review coding decisions and interpretations, ensuring that the coding decisions made by one of us were scrutinised and discussed (Nowell et al. 2017). Third, our preliminary findings were shared with some participants to confirm the accuracy of our interpretations (Birt et al. 2016).</w:t>
      </w:r>
    </w:p>
    <w:bookmarkEnd w:id="1"/>
    <w:p w14:paraId="0B92002F" w14:textId="77777777" w:rsidR="00F6159C" w:rsidRPr="00733E46" w:rsidRDefault="00F6159C" w:rsidP="00F6159C">
      <w:pPr>
        <w:spacing w:line="360" w:lineRule="auto"/>
        <w:jc w:val="both"/>
        <w:rPr>
          <w:rFonts w:ascii="Times New Roman" w:hAnsi="Times New Roman" w:cs="Times New Roman"/>
        </w:rPr>
      </w:pPr>
    </w:p>
    <w:p w14:paraId="491DD4B2" w14:textId="586FF0E9" w:rsidR="00F6159C" w:rsidRPr="00733E46" w:rsidRDefault="00F6159C" w:rsidP="00F6159C">
      <w:pPr>
        <w:spacing w:line="360" w:lineRule="auto"/>
        <w:jc w:val="both"/>
        <w:rPr>
          <w:rFonts w:ascii="Times New Roman" w:hAnsi="Times New Roman" w:cs="Times New Roman"/>
          <w:b/>
          <w:bCs/>
        </w:rPr>
      </w:pPr>
      <w:bookmarkStart w:id="2" w:name="_Hlk179271879"/>
      <w:r w:rsidRPr="00733E46">
        <w:rPr>
          <w:rFonts w:ascii="Times New Roman" w:hAnsi="Times New Roman" w:cs="Times New Roman"/>
          <w:b/>
          <w:bCs/>
        </w:rPr>
        <w:t>Context: Nigeria’s farmer-herder conflict</w:t>
      </w:r>
    </w:p>
    <w:bookmarkEnd w:id="2"/>
    <w:p w14:paraId="18759811" w14:textId="12119F41" w:rsidR="00F6159C" w:rsidRPr="00733E46" w:rsidRDefault="00F6159C" w:rsidP="00F6159C">
      <w:pPr>
        <w:spacing w:line="360" w:lineRule="auto"/>
        <w:jc w:val="both"/>
        <w:rPr>
          <w:rFonts w:ascii="Times New Roman" w:hAnsi="Times New Roman" w:cs="Times New Roman"/>
        </w:rPr>
      </w:pPr>
      <w:r w:rsidRPr="00733E46">
        <w:rPr>
          <w:rFonts w:ascii="Times New Roman" w:hAnsi="Times New Roman" w:cs="Times New Roman"/>
        </w:rPr>
        <w:t xml:space="preserve">To make sense of the dynamics between the NGOs involved in the project, understanding the context is essential. The primary driver of Nigeria’s farmer-herder conflict is the contestation of access to land and water between semi-nomadic, mostly Muslim Fulani pastoralists, and mostly Christian crop farmers (ICG 2017). Skirmishes between the two groups have become increasingly deadly since the late 1990s, and have also spread geographically. Desertification in the Sahel, population growth, porous borders, the rise of armed non-state actors and the proliferation of arms have been key contributing factors (Nwaneri 2019 and Ombugadu; ICG 2017), with the religious and ethnic dimensions adding to its volatility. The conflict has had significant human and socio-economic costs: violence between herdsmen and farming communities has claimed more than 10,000 lives between 2011 and 2019 (Ilo et al. 2019). Fulani herdsmen were designated the fourth deadliest terror group in the world by the 2015 </w:t>
      </w:r>
      <w:r w:rsidRPr="00733E46">
        <w:rPr>
          <w:rFonts w:ascii="Times New Roman" w:hAnsi="Times New Roman" w:cs="Times New Roman"/>
        </w:rPr>
        <w:lastRenderedPageBreak/>
        <w:t xml:space="preserve">Global Terrorism Index (Chiluwa and Chiluwa 2022). The North Central region has become a humanitarian disaster zone: communities have been razed, tens of thousands displaced, famine has followed, and significant numbers of children have dropped out of school (Ogunode et al. 2022). Figure 1 shows the number of clashes and casualties in the four states where the case study project was implemented. </w:t>
      </w:r>
    </w:p>
    <w:p w14:paraId="72579120" w14:textId="77777777" w:rsidR="00F6159C" w:rsidRPr="00733E46" w:rsidRDefault="00F6159C" w:rsidP="00F6159C">
      <w:pPr>
        <w:spacing w:line="360" w:lineRule="auto"/>
        <w:jc w:val="both"/>
        <w:rPr>
          <w:rFonts w:ascii="Times New Roman" w:hAnsi="Times New Roman" w:cs="Times New Roman"/>
        </w:rPr>
      </w:pPr>
    </w:p>
    <w:p w14:paraId="2467675F" w14:textId="77777777" w:rsidR="00F6159C" w:rsidRPr="00733E46" w:rsidRDefault="00F6159C" w:rsidP="00F6159C">
      <w:pPr>
        <w:spacing w:line="360" w:lineRule="auto"/>
        <w:jc w:val="center"/>
        <w:rPr>
          <w:rFonts w:ascii="Times New Roman" w:hAnsi="Times New Roman" w:cs="Times New Roman"/>
        </w:rPr>
      </w:pPr>
      <w:r w:rsidRPr="00733E46">
        <w:rPr>
          <w:rFonts w:ascii="Times New Roman" w:hAnsi="Times New Roman" w:cs="Times New Roman"/>
        </w:rPr>
        <w:t>Figure 1. Farmer-herder conflict intensity in Benue, Nasarawa, Plateau and Kaduna states, 2010-2020</w:t>
      </w:r>
    </w:p>
    <w:p w14:paraId="2DF56CF9" w14:textId="77777777" w:rsidR="00F6159C" w:rsidRPr="00733E46" w:rsidRDefault="00F6159C" w:rsidP="00F6159C">
      <w:pPr>
        <w:spacing w:line="360" w:lineRule="auto"/>
        <w:jc w:val="center"/>
        <w:rPr>
          <w:rFonts w:ascii="Times New Roman" w:hAnsi="Times New Roman" w:cs="Times New Roman"/>
        </w:rPr>
      </w:pPr>
      <w:r w:rsidRPr="00733E46">
        <w:rPr>
          <w:noProof/>
        </w:rPr>
        <w:drawing>
          <wp:inline distT="0" distB="0" distL="0" distR="0" wp14:anchorId="0D27B6C7" wp14:editId="479BA006">
            <wp:extent cx="5318125" cy="3051175"/>
            <wp:effectExtent l="0" t="0" r="15875" b="15875"/>
            <wp:docPr id="1329894035" name="Chart 1">
              <a:extLst xmlns:a="http://schemas.openxmlformats.org/drawingml/2006/main">
                <a:ext uri="{FF2B5EF4-FFF2-40B4-BE49-F238E27FC236}">
                  <a16:creationId xmlns:a16="http://schemas.microsoft.com/office/drawing/2014/main" id="{00D3C806-DD2C-2568-9115-568A388DD8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3B624E8B" w14:textId="77777777" w:rsidR="00F6159C" w:rsidRPr="00733E46" w:rsidRDefault="00F6159C" w:rsidP="00F6159C">
      <w:pPr>
        <w:spacing w:line="360" w:lineRule="auto"/>
        <w:jc w:val="center"/>
        <w:rPr>
          <w:rFonts w:ascii="Times New Roman" w:hAnsi="Times New Roman" w:cs="Times New Roman"/>
        </w:rPr>
      </w:pPr>
      <w:r w:rsidRPr="00733E46">
        <w:rPr>
          <w:rFonts w:ascii="Times New Roman" w:hAnsi="Times New Roman" w:cs="Times New Roman"/>
        </w:rPr>
        <w:t>Source: Nigerian Watch (2023).</w:t>
      </w:r>
    </w:p>
    <w:p w14:paraId="456C0C47" w14:textId="77777777" w:rsidR="00F6159C" w:rsidRPr="00733E46" w:rsidRDefault="00F6159C" w:rsidP="00F6159C">
      <w:pPr>
        <w:spacing w:line="360" w:lineRule="auto"/>
        <w:jc w:val="both"/>
        <w:rPr>
          <w:rFonts w:ascii="Times New Roman" w:hAnsi="Times New Roman" w:cs="Times New Roman"/>
        </w:rPr>
      </w:pPr>
    </w:p>
    <w:p w14:paraId="5D1FDB34" w14:textId="55C3F092" w:rsidR="00F6159C" w:rsidRPr="00733E46" w:rsidRDefault="00F6159C" w:rsidP="00F6159C">
      <w:pPr>
        <w:spacing w:line="360" w:lineRule="auto"/>
        <w:jc w:val="both"/>
        <w:rPr>
          <w:rFonts w:ascii="Times New Roman" w:hAnsi="Times New Roman" w:cs="Times New Roman"/>
        </w:rPr>
      </w:pPr>
      <w:r w:rsidRPr="00733E46">
        <w:rPr>
          <w:rFonts w:ascii="Times New Roman" w:hAnsi="Times New Roman" w:cs="Times New Roman"/>
        </w:rPr>
        <w:t xml:space="preserve">Nigeria’s federal and state governments have long attempted to manage the conflict. However, their efforts have been weak, poorly implemented, or even counter-productive. Efforts to map out routes for cattle movement, or ‘modernize’ the way of life of the pastoralists have failed (Kwaja and Ademola-Adelehin 2018). Law enforcement operations have been seen as reactive and arriving too late to stop violence or arrest and prosecute perpetrators. From 2015, the federal government tried to establish grazing reserves, but this was met with resistance from states, who saw it as a federal land grab favouring the Fulani (ICG 2017). Some states enacted laws that banned open grazing, which the federal government refused to enforce. </w:t>
      </w:r>
    </w:p>
    <w:p w14:paraId="2A294ACF" w14:textId="77777777" w:rsidR="00F6159C" w:rsidRPr="00733E46" w:rsidRDefault="00F6159C" w:rsidP="00F6159C">
      <w:pPr>
        <w:spacing w:line="360" w:lineRule="auto"/>
        <w:jc w:val="both"/>
        <w:rPr>
          <w:rFonts w:ascii="Times New Roman" w:hAnsi="Times New Roman" w:cs="Times New Roman"/>
        </w:rPr>
      </w:pPr>
      <w:r w:rsidRPr="00733E46">
        <w:rPr>
          <w:rFonts w:ascii="Times New Roman" w:hAnsi="Times New Roman" w:cs="Times New Roman"/>
        </w:rPr>
        <w:lastRenderedPageBreak/>
        <w:t>Given the state’s inability to manage the conflict, many NGOs have intervened, including Oxfam, Search for Common Ground and others. These groups have provided relief, healthcare and education for those displaced, and have supported their resettlement (Hashim et al. 2020). Peacebuilding interventions have focused on restorative justice and on bringing farmers and herders together through dialogue and mediation (Adzande 2021). Workshops on conflict prevention and supporting economic empowerment have also been common. However, NGO peacebuilding efforts have been constrained by a lack of coordination, or any commensurate efforts from the authorities (World Bank 2014). Local Nigerian NGOs involved in peacebuilding face government hostility. For example, the state’s counter-terrorism measures limit the ability of LNGOs to raise funding and to advocate for the most marginalised (Njoku 2018). Receiving funding from abroad has especially become difficult due to anti-money laundering regulations (Njoku 2018), forcing LNGOs to raise more funds domestically, including through partnerships with locally present INGOs.</w:t>
      </w:r>
    </w:p>
    <w:p w14:paraId="0FCD1150" w14:textId="77777777" w:rsidR="00F6159C" w:rsidRPr="00733E46" w:rsidRDefault="00F6159C" w:rsidP="00F6159C">
      <w:pPr>
        <w:spacing w:line="360" w:lineRule="auto"/>
        <w:jc w:val="both"/>
        <w:rPr>
          <w:rFonts w:ascii="Times New Roman" w:hAnsi="Times New Roman" w:cs="Times New Roman"/>
        </w:rPr>
      </w:pPr>
    </w:p>
    <w:p w14:paraId="68A60953" w14:textId="5A58F850" w:rsidR="00F6159C" w:rsidRPr="00733E46" w:rsidRDefault="00F6159C" w:rsidP="00F6159C">
      <w:pPr>
        <w:spacing w:line="360" w:lineRule="auto"/>
        <w:jc w:val="both"/>
        <w:rPr>
          <w:rFonts w:ascii="Times New Roman" w:hAnsi="Times New Roman" w:cs="Times New Roman"/>
          <w:b/>
          <w:bCs/>
        </w:rPr>
      </w:pPr>
      <w:r w:rsidRPr="00733E46">
        <w:rPr>
          <w:rFonts w:ascii="Times New Roman" w:hAnsi="Times New Roman" w:cs="Times New Roman"/>
          <w:b/>
          <w:bCs/>
        </w:rPr>
        <w:t>References</w:t>
      </w:r>
    </w:p>
    <w:p w14:paraId="20565D55" w14:textId="77777777" w:rsidR="009D54B4" w:rsidRPr="00733E46" w:rsidRDefault="00F6159C" w:rsidP="009D54B4">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Adzande, P. (2021). Why peacebuilding fails. The experience of managing conflicts between farmers and herders in Nigeria. In T.K. Tieku, A. Coffie, M. Boatemaa Setrana &amp; A. Taiwo (Eds) </w:t>
      </w:r>
      <w:r w:rsidRPr="00733E46">
        <w:rPr>
          <w:rFonts w:ascii="Times New Roman" w:hAnsi="Times New Roman" w:cs="Times New Roman"/>
          <w:i/>
          <w:iCs/>
        </w:rPr>
        <w:t>The Politics of Peacebuilding in Africa</w:t>
      </w:r>
      <w:r w:rsidRPr="00733E46">
        <w:rPr>
          <w:rFonts w:ascii="Times New Roman" w:hAnsi="Times New Roman" w:cs="Times New Roman"/>
        </w:rPr>
        <w:t>. Routledge.</w:t>
      </w:r>
    </w:p>
    <w:p w14:paraId="7B1DC032" w14:textId="35E1D4B9" w:rsidR="00F6159C" w:rsidRPr="00733E46" w:rsidRDefault="00F6159C" w:rsidP="009D54B4">
      <w:pPr>
        <w:spacing w:after="120" w:line="360" w:lineRule="auto"/>
        <w:ind w:left="426" w:hanging="426"/>
        <w:jc w:val="both"/>
        <w:rPr>
          <w:rFonts w:ascii="Times New Roman" w:hAnsi="Times New Roman" w:cs="Times New Roman"/>
        </w:rPr>
      </w:pPr>
      <w:bookmarkStart w:id="3" w:name="_Hlk195170394"/>
      <w:r w:rsidRPr="00733E46">
        <w:rPr>
          <w:rFonts w:ascii="Times New Roman" w:hAnsi="Times New Roman" w:cs="Times New Roman"/>
        </w:rPr>
        <w:t xml:space="preserve">Ashworth, R., McDermott, A., &amp; Currie, G. (2019). Theorizing from qualitative research in public administration. </w:t>
      </w:r>
      <w:r w:rsidRPr="00733E46">
        <w:rPr>
          <w:rFonts w:ascii="Times New Roman" w:hAnsi="Times New Roman" w:cs="Times New Roman"/>
          <w:i/>
          <w:iCs/>
        </w:rPr>
        <w:t>Journal of Public Administration Research and Theory</w:t>
      </w:r>
      <w:r w:rsidRPr="00733E46">
        <w:rPr>
          <w:rFonts w:ascii="Times New Roman" w:hAnsi="Times New Roman" w:cs="Times New Roman"/>
        </w:rPr>
        <w:t>, 29(2), 318–333.</w:t>
      </w:r>
      <w:r w:rsidR="00C93199" w:rsidRPr="00733E46">
        <w:rPr>
          <w:rFonts w:ascii="Times New Roman" w:hAnsi="Times New Roman" w:cs="Times New Roman"/>
        </w:rPr>
        <w:t xml:space="preserve"> </w:t>
      </w:r>
      <w:hyperlink r:id="rId5" w:history="1">
        <w:r w:rsidR="00C93199" w:rsidRPr="00733E46">
          <w:rPr>
            <w:rStyle w:val="Hyperlink"/>
            <w:rFonts w:ascii="Times New Roman" w:hAnsi="Times New Roman" w:cs="Times New Roman"/>
          </w:rPr>
          <w:t>https://doi.org/10.1093/jopart/muy057</w:t>
        </w:r>
      </w:hyperlink>
    </w:p>
    <w:p w14:paraId="794633AD" w14:textId="02C073BA" w:rsidR="00C93199" w:rsidRPr="00733E46" w:rsidRDefault="00C93199" w:rsidP="009D54B4">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Birt, L., Scott, S., Cavers, D., Campbell, C., &amp; Walter, F. (2016). Member checking: A tool to enhance trustworthiness or merely a nod to validation? </w:t>
      </w:r>
      <w:r w:rsidRPr="00733E46">
        <w:rPr>
          <w:rFonts w:ascii="Times New Roman" w:hAnsi="Times New Roman" w:cs="Times New Roman"/>
          <w:i/>
          <w:iCs/>
        </w:rPr>
        <w:t>Qualitative Health Research</w:t>
      </w:r>
      <w:r w:rsidRPr="00733E46">
        <w:rPr>
          <w:rFonts w:ascii="Times New Roman" w:hAnsi="Times New Roman" w:cs="Times New Roman"/>
        </w:rPr>
        <w:t xml:space="preserve">, 26(13), 1802–1811. </w:t>
      </w:r>
      <w:hyperlink r:id="rId6" w:history="1">
        <w:r w:rsidRPr="00733E46">
          <w:rPr>
            <w:rStyle w:val="Hyperlink"/>
            <w:rFonts w:ascii="Times New Roman" w:hAnsi="Times New Roman" w:cs="Times New Roman"/>
          </w:rPr>
          <w:t>https://doi.org/10.1177/1049732316654870</w:t>
        </w:r>
      </w:hyperlink>
      <w:r w:rsidRPr="00733E46">
        <w:rPr>
          <w:rFonts w:ascii="Times New Roman" w:hAnsi="Times New Roman" w:cs="Times New Roman"/>
        </w:rPr>
        <w:t xml:space="preserve"> </w:t>
      </w:r>
    </w:p>
    <w:bookmarkEnd w:id="3"/>
    <w:p w14:paraId="186D40C4" w14:textId="77777777" w:rsidR="00F6159C" w:rsidRPr="00733E46" w:rsidRDefault="00F6159C" w:rsidP="00F6159C">
      <w:pPr>
        <w:spacing w:after="120" w:line="360" w:lineRule="auto"/>
        <w:ind w:left="426" w:hanging="426"/>
        <w:jc w:val="both"/>
        <w:rPr>
          <w:rStyle w:val="Hyperlink"/>
          <w:rFonts w:ascii="Times New Roman" w:hAnsi="Times New Roman" w:cs="Times New Roman"/>
        </w:rPr>
      </w:pPr>
      <w:r w:rsidRPr="00733E46">
        <w:rPr>
          <w:rFonts w:ascii="Times New Roman" w:hAnsi="Times New Roman" w:cs="Times New Roman"/>
        </w:rPr>
        <w:t xml:space="preserve">Chiluwa, I. &amp; Chiluwa, I.M. (2022). ‘Deadlier than Boko Haram’: Representations of the Nigerian herder–farmer conflict in the local and foreign press. </w:t>
      </w:r>
      <w:r w:rsidRPr="00733E46">
        <w:rPr>
          <w:rFonts w:ascii="Times New Roman" w:hAnsi="Times New Roman" w:cs="Times New Roman"/>
          <w:i/>
          <w:iCs/>
        </w:rPr>
        <w:t>Media, War &amp; Conflict</w:t>
      </w:r>
      <w:r w:rsidRPr="00733E46">
        <w:rPr>
          <w:rFonts w:ascii="Times New Roman" w:hAnsi="Times New Roman" w:cs="Times New Roman"/>
        </w:rPr>
        <w:t xml:space="preserve">, 15(1), 3-24. </w:t>
      </w:r>
      <w:hyperlink r:id="rId7" w:history="1">
        <w:r w:rsidRPr="00733E46">
          <w:rPr>
            <w:rStyle w:val="Hyperlink"/>
            <w:rFonts w:ascii="Times New Roman" w:hAnsi="Times New Roman" w:cs="Times New Roman"/>
          </w:rPr>
          <w:t>https://doi.org/10.1177/1750635220902490</w:t>
        </w:r>
      </w:hyperlink>
    </w:p>
    <w:p w14:paraId="71564A62" w14:textId="77777777" w:rsidR="00F6159C" w:rsidRPr="00733E46" w:rsidRDefault="00F6159C"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Hashim, A., Sidi, B., Umar, B., Aliero, H. &amp; Yelwa, F. (2020). Role of local non-governmental organizations (NGOs) in community development in Zamfara State, Nigeria. </w:t>
      </w:r>
      <w:r w:rsidRPr="00733E46">
        <w:rPr>
          <w:rFonts w:ascii="Times New Roman" w:hAnsi="Times New Roman" w:cs="Times New Roman"/>
          <w:i/>
          <w:iCs/>
        </w:rPr>
        <w:t>International Journal of Environment, Agriculture and Biotechnology</w:t>
      </w:r>
      <w:r w:rsidRPr="00733E46">
        <w:rPr>
          <w:rFonts w:ascii="Times New Roman" w:hAnsi="Times New Roman" w:cs="Times New Roman"/>
        </w:rPr>
        <w:t xml:space="preserve">, 5, 42-50. </w:t>
      </w:r>
      <w:hyperlink r:id="rId8" w:history="1">
        <w:r w:rsidRPr="00733E46">
          <w:rPr>
            <w:rStyle w:val="Hyperlink"/>
            <w:rFonts w:ascii="Times New Roman" w:hAnsi="Times New Roman" w:cs="Times New Roman"/>
          </w:rPr>
          <w:t>https://doi.org/10.22161/ijeab.51.6</w:t>
        </w:r>
      </w:hyperlink>
    </w:p>
    <w:p w14:paraId="136E5247" w14:textId="16707DF3" w:rsidR="00F6159C" w:rsidRPr="00733E46" w:rsidRDefault="00F6159C"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lastRenderedPageBreak/>
        <w:t xml:space="preserve">ICG (2017). Herders against Farmers: Nigeria’s expanding deadly conflict. </w:t>
      </w:r>
      <w:r w:rsidRPr="00733E46">
        <w:rPr>
          <w:rFonts w:ascii="Times New Roman" w:hAnsi="Times New Roman" w:cs="Times New Roman"/>
          <w:i/>
          <w:iCs/>
        </w:rPr>
        <w:t>International Crisis Group Africa Report</w:t>
      </w:r>
      <w:r w:rsidRPr="00733E46">
        <w:rPr>
          <w:rFonts w:ascii="Times New Roman" w:hAnsi="Times New Roman" w:cs="Times New Roman"/>
        </w:rPr>
        <w:t xml:space="preserve"> 252.</w:t>
      </w:r>
    </w:p>
    <w:p w14:paraId="7249EBD0" w14:textId="77777777" w:rsidR="00F6159C" w:rsidRPr="00733E46" w:rsidRDefault="00F6159C"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Ilo U.J., Jonathan-Ichaver, L. &amp; Adamolekun, Y. (2019) The deadliest conflict you’ve never heard of: Nigeria’s cattle herders and farmers wage a resource war. </w:t>
      </w:r>
      <w:r w:rsidRPr="00733E46">
        <w:rPr>
          <w:rFonts w:ascii="Times New Roman" w:hAnsi="Times New Roman" w:cs="Times New Roman"/>
          <w:i/>
          <w:iCs/>
        </w:rPr>
        <w:t>Foreign Affairs</w:t>
      </w:r>
      <w:r w:rsidRPr="00733E46">
        <w:rPr>
          <w:rFonts w:ascii="Times New Roman" w:hAnsi="Times New Roman" w:cs="Times New Roman"/>
        </w:rPr>
        <w:t xml:space="preserve">. </w:t>
      </w:r>
      <w:hyperlink r:id="rId9" w:history="1">
        <w:r w:rsidRPr="00733E46">
          <w:rPr>
            <w:rStyle w:val="Hyperlink"/>
            <w:rFonts w:ascii="Times New Roman" w:hAnsi="Times New Roman" w:cs="Times New Roman"/>
          </w:rPr>
          <w:t>https://www.foreignaffairs.com/articles/nigeria/2019-01-23/deadliest-conflict-youve-never-heard</w:t>
        </w:r>
      </w:hyperlink>
      <w:r w:rsidRPr="00733E46">
        <w:rPr>
          <w:rFonts w:ascii="Times New Roman" w:hAnsi="Times New Roman" w:cs="Times New Roman"/>
        </w:rPr>
        <w:t xml:space="preserve"> </w:t>
      </w:r>
    </w:p>
    <w:p w14:paraId="4D8DF721" w14:textId="77777777" w:rsidR="00F6159C" w:rsidRPr="00733E46" w:rsidRDefault="00F6159C"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Kwaja, C. &amp; Ademola-Adelehin, B.I. (2018). </w:t>
      </w:r>
      <w:r w:rsidRPr="00733E46">
        <w:rPr>
          <w:rFonts w:ascii="Times New Roman" w:hAnsi="Times New Roman" w:cs="Times New Roman"/>
          <w:i/>
          <w:iCs/>
        </w:rPr>
        <w:t>Responses to conflict between Farmers and Herders in the Middle Belt of Nigeria</w:t>
      </w:r>
      <w:r w:rsidRPr="00733E46">
        <w:rPr>
          <w:rFonts w:ascii="Times New Roman" w:hAnsi="Times New Roman" w:cs="Times New Roman"/>
        </w:rPr>
        <w:t xml:space="preserve">. Search for Common Ground. </w:t>
      </w:r>
    </w:p>
    <w:p w14:paraId="5F1837AC" w14:textId="1442A8E7" w:rsidR="00FA3F89" w:rsidRPr="00733E46" w:rsidRDefault="00FA3F89"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MacLean L., Meyer M. &amp; Estable A. (2004). Improving accuracy of transcripts in qualitative research. </w:t>
      </w:r>
      <w:r w:rsidRPr="00733E46">
        <w:rPr>
          <w:rFonts w:ascii="Times New Roman" w:hAnsi="Times New Roman" w:cs="Times New Roman"/>
          <w:i/>
          <w:iCs/>
        </w:rPr>
        <w:t>Qualitative Health Research</w:t>
      </w:r>
      <w:r w:rsidRPr="00733E46">
        <w:rPr>
          <w:rFonts w:ascii="Times New Roman" w:hAnsi="Times New Roman" w:cs="Times New Roman"/>
        </w:rPr>
        <w:t xml:space="preserve">, 14, 1, 113-123. </w:t>
      </w:r>
      <w:hyperlink r:id="rId10" w:history="1">
        <w:r w:rsidRPr="00733E46">
          <w:rPr>
            <w:rStyle w:val="Hyperlink"/>
            <w:rFonts w:ascii="Times New Roman" w:hAnsi="Times New Roman" w:cs="Times New Roman"/>
          </w:rPr>
          <w:t>https://doi.org/10.1177/1049732303259804</w:t>
        </w:r>
      </w:hyperlink>
    </w:p>
    <w:p w14:paraId="3BB6CBBF" w14:textId="77777777" w:rsidR="00F6159C" w:rsidRPr="00733E46" w:rsidRDefault="00F6159C" w:rsidP="00F6159C">
      <w:pPr>
        <w:spacing w:after="120" w:line="360" w:lineRule="auto"/>
        <w:ind w:left="426" w:hanging="426"/>
        <w:jc w:val="both"/>
        <w:rPr>
          <w:rStyle w:val="Hyperlink"/>
          <w:rFonts w:ascii="Times New Roman" w:hAnsi="Times New Roman" w:cs="Times New Roman"/>
        </w:rPr>
      </w:pPr>
      <w:r w:rsidRPr="00733E46">
        <w:rPr>
          <w:rFonts w:ascii="Times New Roman" w:hAnsi="Times New Roman" w:cs="Times New Roman"/>
        </w:rPr>
        <w:t xml:space="preserve">Nigerian Watch (2023). Nigeria Watch database. </w:t>
      </w:r>
      <w:hyperlink r:id="rId11" w:history="1">
        <w:r w:rsidRPr="00733E46">
          <w:rPr>
            <w:rStyle w:val="Hyperlink"/>
            <w:rFonts w:ascii="Times New Roman" w:hAnsi="Times New Roman" w:cs="Times New Roman"/>
          </w:rPr>
          <w:t>https://www.nigeriawatch.org/index.php?urlaction=evtList&amp;cherche=1</w:t>
        </w:r>
      </w:hyperlink>
    </w:p>
    <w:p w14:paraId="0DA81704" w14:textId="77777777" w:rsidR="009D54B4" w:rsidRPr="00733E46" w:rsidRDefault="009D54B4" w:rsidP="009D54B4">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Njoku, E. (2018). Strategic exclusion: The state and the framing of a service delivery role for civil society organizations in the context of counterterrorism in Nigeria. </w:t>
      </w:r>
      <w:r w:rsidRPr="00733E46">
        <w:rPr>
          <w:rFonts w:ascii="Times New Roman" w:hAnsi="Times New Roman" w:cs="Times New Roman"/>
          <w:i/>
          <w:iCs/>
        </w:rPr>
        <w:t>Studies in Conflict &amp; Terrorism</w:t>
      </w:r>
      <w:r w:rsidRPr="00733E46">
        <w:rPr>
          <w:rFonts w:ascii="Times New Roman" w:hAnsi="Times New Roman" w:cs="Times New Roman"/>
        </w:rPr>
        <w:t xml:space="preserve">, 44(5), 410-430. </w:t>
      </w:r>
      <w:hyperlink r:id="rId12" w:history="1">
        <w:r w:rsidRPr="00733E46">
          <w:rPr>
            <w:rStyle w:val="Hyperlink"/>
            <w:rFonts w:ascii="Times New Roman" w:hAnsi="Times New Roman" w:cs="Times New Roman"/>
          </w:rPr>
          <w:t>https://doi.org/10/1080/1057610x.2018.1543131</w:t>
        </w:r>
      </w:hyperlink>
      <w:r w:rsidRPr="00733E46">
        <w:rPr>
          <w:rFonts w:ascii="Times New Roman" w:hAnsi="Times New Roman" w:cs="Times New Roman"/>
        </w:rPr>
        <w:t xml:space="preserve"> </w:t>
      </w:r>
    </w:p>
    <w:p w14:paraId="549FD5FC" w14:textId="4DC444E6" w:rsidR="00FA3F89" w:rsidRPr="00733E46" w:rsidRDefault="00FA3F89" w:rsidP="009D54B4">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Nowell, L., Norris, J., White, D. &amp; Moules, N. (2017). Thematic analysis: Striving to meet the trustworthiness criteria. </w:t>
      </w:r>
      <w:r w:rsidRPr="00733E46">
        <w:rPr>
          <w:rFonts w:ascii="Times New Roman" w:hAnsi="Times New Roman" w:cs="Times New Roman"/>
          <w:i/>
          <w:iCs/>
        </w:rPr>
        <w:t>International Journal of Qualitative Methods</w:t>
      </w:r>
      <w:r w:rsidRPr="00733E46">
        <w:rPr>
          <w:rFonts w:ascii="Times New Roman" w:hAnsi="Times New Roman" w:cs="Times New Roman"/>
        </w:rPr>
        <w:t xml:space="preserve">, 16, 1, 1–13. </w:t>
      </w:r>
      <w:hyperlink r:id="rId13" w:history="1">
        <w:r w:rsidRPr="00733E46">
          <w:rPr>
            <w:rStyle w:val="Hyperlink"/>
            <w:rFonts w:ascii="Times New Roman" w:hAnsi="Times New Roman" w:cs="Times New Roman"/>
          </w:rPr>
          <w:t>https://doi.org/10.1177/1609406917733847</w:t>
        </w:r>
      </w:hyperlink>
    </w:p>
    <w:p w14:paraId="29273DE3" w14:textId="77777777" w:rsidR="00F6159C" w:rsidRPr="00733E46" w:rsidRDefault="00F6159C"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Nwaneri, M. &amp; Ombugadu, V. (2019). Ethnic dimensions of farmer-herder conflicts in Nigeria: The Case of Berom-Fulani in Plateau State, 2001-2008. In M. Nwaneri &amp; V. Philip (Eds) </w:t>
      </w:r>
      <w:r w:rsidRPr="00733E46">
        <w:rPr>
          <w:rFonts w:ascii="Times New Roman" w:hAnsi="Times New Roman" w:cs="Times New Roman"/>
          <w:i/>
          <w:iCs/>
        </w:rPr>
        <w:t>History and Management of Farmer Herder Conflicts in Nigeria</w:t>
      </w:r>
      <w:r w:rsidRPr="00733E46">
        <w:rPr>
          <w:rFonts w:ascii="Times New Roman" w:hAnsi="Times New Roman" w:cs="Times New Roman"/>
        </w:rPr>
        <w:t>. Society for Peace Studies and Practice.</w:t>
      </w:r>
    </w:p>
    <w:p w14:paraId="4BD555A1" w14:textId="4A6921DD" w:rsidR="00510F3A" w:rsidRPr="00733E46" w:rsidRDefault="00510F3A"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O’Connor, C. &amp; Joffe, H. (2020). Intercoder reliability in qualitative research: Debates and practical guidelines. </w:t>
      </w:r>
      <w:r w:rsidRPr="00733E46">
        <w:rPr>
          <w:rFonts w:ascii="Times New Roman" w:hAnsi="Times New Roman" w:cs="Times New Roman"/>
          <w:i/>
          <w:iCs/>
        </w:rPr>
        <w:t>International Journal of Qualitative Methods</w:t>
      </w:r>
      <w:r w:rsidRPr="00733E46">
        <w:rPr>
          <w:rFonts w:ascii="Times New Roman" w:hAnsi="Times New Roman" w:cs="Times New Roman"/>
        </w:rPr>
        <w:t>, 19, 1–13. https://doi.org/10.1177/1609406919899220</w:t>
      </w:r>
    </w:p>
    <w:p w14:paraId="39E2A9EB" w14:textId="77777777" w:rsidR="00F6159C" w:rsidRPr="00733E46" w:rsidRDefault="00F6159C"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Ogunode, N., Chinwuba, A. &amp; Ayoko, V. (2022). Out of school children in Nigeria: Causes, social implications and way forward. </w:t>
      </w:r>
      <w:r w:rsidRPr="00733E46">
        <w:rPr>
          <w:rFonts w:ascii="Times New Roman" w:hAnsi="Times New Roman" w:cs="Times New Roman"/>
          <w:i/>
          <w:iCs/>
        </w:rPr>
        <w:t>International Journal on Integrated Education</w:t>
      </w:r>
      <w:r w:rsidRPr="00733E46">
        <w:rPr>
          <w:rFonts w:ascii="Times New Roman" w:hAnsi="Times New Roman" w:cs="Times New Roman"/>
        </w:rPr>
        <w:t>, 5(12), 82-91.</w:t>
      </w:r>
    </w:p>
    <w:p w14:paraId="0F82EE5B" w14:textId="0005DB91" w:rsidR="00510F3A" w:rsidRPr="00733E46" w:rsidRDefault="00510F3A" w:rsidP="00F6159C">
      <w:pPr>
        <w:spacing w:after="120" w:line="360" w:lineRule="auto"/>
        <w:ind w:left="426" w:hanging="426"/>
        <w:jc w:val="both"/>
        <w:rPr>
          <w:rFonts w:ascii="Times New Roman" w:hAnsi="Times New Roman" w:cs="Times New Roman"/>
        </w:rPr>
      </w:pPr>
      <w:r w:rsidRPr="00733E46">
        <w:rPr>
          <w:rFonts w:ascii="Times New Roman" w:hAnsi="Times New Roman" w:cs="Times New Roman"/>
        </w:rPr>
        <w:t xml:space="preserve">Peräkylä, A. &amp; Ruusuvuori, J. (2017). Analyzing talk and text. In N. Denzin &amp; Y. Lincoln (eds) </w:t>
      </w:r>
      <w:r w:rsidRPr="00733E46">
        <w:rPr>
          <w:rFonts w:ascii="Times New Roman" w:hAnsi="Times New Roman" w:cs="Times New Roman"/>
          <w:i/>
          <w:iCs/>
        </w:rPr>
        <w:t>The SAGE Handbook of Qualitative Research</w:t>
      </w:r>
      <w:r w:rsidRPr="00733E46">
        <w:rPr>
          <w:rFonts w:ascii="Times New Roman" w:hAnsi="Times New Roman" w:cs="Times New Roman"/>
        </w:rPr>
        <w:t xml:space="preserve"> (5th ed., pp. 669–690). SAGE Publications.</w:t>
      </w:r>
    </w:p>
    <w:p w14:paraId="39353DAF" w14:textId="6BD9DC97" w:rsidR="00F6159C" w:rsidRPr="00014F25" w:rsidRDefault="009D54B4" w:rsidP="00510F3A">
      <w:pPr>
        <w:spacing w:after="120" w:line="360" w:lineRule="auto"/>
        <w:ind w:left="426" w:hanging="426"/>
        <w:jc w:val="both"/>
        <w:rPr>
          <w:rFonts w:ascii="Times New Roman" w:hAnsi="Times New Roman" w:cs="Times New Roman"/>
        </w:rPr>
      </w:pPr>
      <w:r w:rsidRPr="00733E46">
        <w:rPr>
          <w:rFonts w:ascii="Times New Roman" w:hAnsi="Times New Roman" w:cs="Times New Roman"/>
        </w:rPr>
        <w:lastRenderedPageBreak/>
        <w:t xml:space="preserve">World Bank (2014). </w:t>
      </w:r>
      <w:r w:rsidRPr="00733E46">
        <w:rPr>
          <w:rFonts w:ascii="Times New Roman" w:hAnsi="Times New Roman" w:cs="Times New Roman"/>
          <w:i/>
          <w:iCs/>
        </w:rPr>
        <w:t>Micro level conflict analysis in five states of north-eastern Nigeria</w:t>
      </w:r>
      <w:r w:rsidRPr="00733E46">
        <w:rPr>
          <w:rFonts w:ascii="Times New Roman" w:hAnsi="Times New Roman" w:cs="Times New Roman"/>
        </w:rPr>
        <w:t>. The World Bank Group</w:t>
      </w:r>
      <w:r w:rsidR="00510F3A" w:rsidRPr="00733E46">
        <w:rPr>
          <w:rFonts w:ascii="Times New Roman" w:hAnsi="Times New Roman" w:cs="Times New Roman"/>
        </w:rPr>
        <w:t>.</w:t>
      </w:r>
    </w:p>
    <w:sectPr w:rsidR="00F6159C" w:rsidRPr="00014F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F25"/>
    <w:rsid w:val="00014F25"/>
    <w:rsid w:val="000613DC"/>
    <w:rsid w:val="00281E8E"/>
    <w:rsid w:val="00510F3A"/>
    <w:rsid w:val="00595F71"/>
    <w:rsid w:val="005E54E7"/>
    <w:rsid w:val="00705904"/>
    <w:rsid w:val="00733E46"/>
    <w:rsid w:val="00786CB1"/>
    <w:rsid w:val="009329B3"/>
    <w:rsid w:val="009D54B4"/>
    <w:rsid w:val="009F7630"/>
    <w:rsid w:val="00A76D9D"/>
    <w:rsid w:val="00C93199"/>
    <w:rsid w:val="00EB209A"/>
    <w:rsid w:val="00F6159C"/>
    <w:rsid w:val="00FA3F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C7D37"/>
  <w15:chartTrackingRefBased/>
  <w15:docId w15:val="{76CA1D6B-8F1D-42A7-B86A-7C836D29A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4F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4F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4F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4F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4F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4F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4F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4F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4F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4F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4F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4F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4F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4F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4F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4F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4F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4F25"/>
    <w:rPr>
      <w:rFonts w:eastAsiaTheme="majorEastAsia" w:cstheme="majorBidi"/>
      <w:color w:val="272727" w:themeColor="text1" w:themeTint="D8"/>
    </w:rPr>
  </w:style>
  <w:style w:type="paragraph" w:styleId="Title">
    <w:name w:val="Title"/>
    <w:basedOn w:val="Normal"/>
    <w:next w:val="Normal"/>
    <w:link w:val="TitleChar"/>
    <w:uiPriority w:val="10"/>
    <w:qFormat/>
    <w:rsid w:val="00014F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4F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4F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4F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4F25"/>
    <w:pPr>
      <w:spacing w:before="160"/>
      <w:jc w:val="center"/>
    </w:pPr>
    <w:rPr>
      <w:i/>
      <w:iCs/>
      <w:color w:val="404040" w:themeColor="text1" w:themeTint="BF"/>
    </w:rPr>
  </w:style>
  <w:style w:type="character" w:customStyle="1" w:styleId="QuoteChar">
    <w:name w:val="Quote Char"/>
    <w:basedOn w:val="DefaultParagraphFont"/>
    <w:link w:val="Quote"/>
    <w:uiPriority w:val="29"/>
    <w:rsid w:val="00014F25"/>
    <w:rPr>
      <w:i/>
      <w:iCs/>
      <w:color w:val="404040" w:themeColor="text1" w:themeTint="BF"/>
    </w:rPr>
  </w:style>
  <w:style w:type="paragraph" w:styleId="ListParagraph">
    <w:name w:val="List Paragraph"/>
    <w:basedOn w:val="Normal"/>
    <w:uiPriority w:val="34"/>
    <w:qFormat/>
    <w:rsid w:val="00014F25"/>
    <w:pPr>
      <w:ind w:left="720"/>
      <w:contextualSpacing/>
    </w:pPr>
  </w:style>
  <w:style w:type="character" w:styleId="IntenseEmphasis">
    <w:name w:val="Intense Emphasis"/>
    <w:basedOn w:val="DefaultParagraphFont"/>
    <w:uiPriority w:val="21"/>
    <w:qFormat/>
    <w:rsid w:val="00014F25"/>
    <w:rPr>
      <w:i/>
      <w:iCs/>
      <w:color w:val="0F4761" w:themeColor="accent1" w:themeShade="BF"/>
    </w:rPr>
  </w:style>
  <w:style w:type="paragraph" w:styleId="IntenseQuote">
    <w:name w:val="Intense Quote"/>
    <w:basedOn w:val="Normal"/>
    <w:next w:val="Normal"/>
    <w:link w:val="IntenseQuoteChar"/>
    <w:uiPriority w:val="30"/>
    <w:qFormat/>
    <w:rsid w:val="00014F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4F25"/>
    <w:rPr>
      <w:i/>
      <w:iCs/>
      <w:color w:val="0F4761" w:themeColor="accent1" w:themeShade="BF"/>
    </w:rPr>
  </w:style>
  <w:style w:type="character" w:styleId="IntenseReference">
    <w:name w:val="Intense Reference"/>
    <w:basedOn w:val="DefaultParagraphFont"/>
    <w:uiPriority w:val="32"/>
    <w:qFormat/>
    <w:rsid w:val="00014F25"/>
    <w:rPr>
      <w:b/>
      <w:bCs/>
      <w:smallCaps/>
      <w:color w:val="0F4761" w:themeColor="accent1" w:themeShade="BF"/>
      <w:spacing w:val="5"/>
    </w:rPr>
  </w:style>
  <w:style w:type="character" w:styleId="Hyperlink">
    <w:name w:val="Hyperlink"/>
    <w:basedOn w:val="DefaultParagraphFont"/>
    <w:uiPriority w:val="99"/>
    <w:unhideWhenUsed/>
    <w:rsid w:val="00F6159C"/>
    <w:rPr>
      <w:color w:val="467886" w:themeColor="hyperlink"/>
      <w:u w:val="single"/>
    </w:rPr>
  </w:style>
  <w:style w:type="character" w:styleId="UnresolvedMention">
    <w:name w:val="Unresolved Mention"/>
    <w:basedOn w:val="DefaultParagraphFont"/>
    <w:uiPriority w:val="99"/>
    <w:semiHidden/>
    <w:unhideWhenUsed/>
    <w:rsid w:val="00C931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22161/ijeab.51.6" TargetMode="External"/><Relationship Id="rId13" Type="http://schemas.openxmlformats.org/officeDocument/2006/relationships/hyperlink" Target="https://doi.org/10.1177/1609406917733847" TargetMode="External"/><Relationship Id="rId3" Type="http://schemas.openxmlformats.org/officeDocument/2006/relationships/webSettings" Target="webSettings.xml"/><Relationship Id="rId7" Type="http://schemas.openxmlformats.org/officeDocument/2006/relationships/hyperlink" Target="https://doi.org/10.1177/1750635220902490" TargetMode="External"/><Relationship Id="rId12" Type="http://schemas.openxmlformats.org/officeDocument/2006/relationships/hyperlink" Target="https://doi.org/10/1080/1057610x.2018.154313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77/1049732316654870" TargetMode="External"/><Relationship Id="rId11" Type="http://schemas.openxmlformats.org/officeDocument/2006/relationships/hyperlink" Target="https://www.nigeriawatch.org/index.php?urlaction=evtList&amp;cherche=1" TargetMode="External"/><Relationship Id="rId5" Type="http://schemas.openxmlformats.org/officeDocument/2006/relationships/hyperlink" Target="https://doi.org/10.1093/jopart/muy057" TargetMode="External"/><Relationship Id="rId15" Type="http://schemas.openxmlformats.org/officeDocument/2006/relationships/theme" Target="theme/theme1.xml"/><Relationship Id="rId10" Type="http://schemas.openxmlformats.org/officeDocument/2006/relationships/hyperlink" Target="https://doi.org/10.1177/1049732303259804" TargetMode="External"/><Relationship Id="rId4" Type="http://schemas.openxmlformats.org/officeDocument/2006/relationships/chart" Target="charts/chart1.xml"/><Relationship Id="rId9" Type="http://schemas.openxmlformats.org/officeDocument/2006/relationships/hyperlink" Target="https://www.foreignaffairs.com/articles/nigeria/2019-01-23/deadliest-conflict-youve-never-heard"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Incidents</c:v>
                </c:pt>
              </c:strCache>
            </c:strRef>
          </c:tx>
          <c:spPr>
            <a:solidFill>
              <a:schemeClr val="bg1">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Sheet1!$B$2:$B$12</c:f>
              <c:numCache>
                <c:formatCode>General</c:formatCode>
                <c:ptCount val="11"/>
                <c:pt idx="0">
                  <c:v>7</c:v>
                </c:pt>
                <c:pt idx="1">
                  <c:v>12</c:v>
                </c:pt>
                <c:pt idx="2">
                  <c:v>10</c:v>
                </c:pt>
                <c:pt idx="3">
                  <c:v>29</c:v>
                </c:pt>
                <c:pt idx="4">
                  <c:v>8</c:v>
                </c:pt>
                <c:pt idx="5">
                  <c:v>9</c:v>
                </c:pt>
                <c:pt idx="6">
                  <c:v>13</c:v>
                </c:pt>
                <c:pt idx="7">
                  <c:v>30</c:v>
                </c:pt>
                <c:pt idx="8">
                  <c:v>148</c:v>
                </c:pt>
                <c:pt idx="9">
                  <c:v>39</c:v>
                </c:pt>
                <c:pt idx="10">
                  <c:v>60</c:v>
                </c:pt>
              </c:numCache>
            </c:numRef>
          </c:val>
          <c:extLst>
            <c:ext xmlns:c16="http://schemas.microsoft.com/office/drawing/2014/chart" uri="{C3380CC4-5D6E-409C-BE32-E72D297353CC}">
              <c16:uniqueId val="{00000000-207E-49B0-8CCD-EFC323CF4A93}"/>
            </c:ext>
          </c:extLst>
        </c:ser>
        <c:ser>
          <c:idx val="1"/>
          <c:order val="1"/>
          <c:tx>
            <c:strRef>
              <c:f>Sheet1!$C$1</c:f>
              <c:strCache>
                <c:ptCount val="1"/>
                <c:pt idx="0">
                  <c:v>Deaths</c:v>
                </c:pt>
              </c:strCache>
            </c:strRef>
          </c:tx>
          <c:spPr>
            <a:solidFill>
              <a:schemeClr val="tx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Sheet1!$C$2:$C$12</c:f>
              <c:numCache>
                <c:formatCode>General</c:formatCode>
                <c:ptCount val="11"/>
                <c:pt idx="0">
                  <c:v>533</c:v>
                </c:pt>
                <c:pt idx="1">
                  <c:v>161</c:v>
                </c:pt>
                <c:pt idx="2">
                  <c:v>417</c:v>
                </c:pt>
                <c:pt idx="3">
                  <c:v>243</c:v>
                </c:pt>
                <c:pt idx="4">
                  <c:v>99</c:v>
                </c:pt>
                <c:pt idx="5">
                  <c:v>130</c:v>
                </c:pt>
                <c:pt idx="6">
                  <c:v>151</c:v>
                </c:pt>
                <c:pt idx="7">
                  <c:v>204</c:v>
                </c:pt>
                <c:pt idx="8">
                  <c:v>1268</c:v>
                </c:pt>
                <c:pt idx="9">
                  <c:v>375</c:v>
                </c:pt>
                <c:pt idx="10">
                  <c:v>362</c:v>
                </c:pt>
              </c:numCache>
            </c:numRef>
          </c:val>
          <c:extLst>
            <c:ext xmlns:c16="http://schemas.microsoft.com/office/drawing/2014/chart" uri="{C3380CC4-5D6E-409C-BE32-E72D297353CC}">
              <c16:uniqueId val="{00000001-207E-49B0-8CCD-EFC323CF4A93}"/>
            </c:ext>
          </c:extLst>
        </c:ser>
        <c:dLbls>
          <c:showLegendKey val="0"/>
          <c:showVal val="0"/>
          <c:showCatName val="0"/>
          <c:showSerName val="0"/>
          <c:showPercent val="0"/>
          <c:showBubbleSize val="0"/>
        </c:dLbls>
        <c:gapWidth val="219"/>
        <c:overlap val="-27"/>
        <c:axId val="473138319"/>
        <c:axId val="473134959"/>
      </c:barChart>
      <c:catAx>
        <c:axId val="4731383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3134959"/>
        <c:crosses val="autoZero"/>
        <c:auto val="1"/>
        <c:lblAlgn val="ctr"/>
        <c:lblOffset val="100"/>
        <c:noMultiLvlLbl val="0"/>
      </c:catAx>
      <c:valAx>
        <c:axId val="4731349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31383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1725</Words>
  <Characters>9836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Aston University</Company>
  <LinksUpToDate>false</LinksUpToDate>
  <CharactersWithSpaces>11538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Balazs Szent-Ivanyi</dc:creator>
  <cp:keywords/>
  <dc:description/>
  <cp:lastModifiedBy>Balazs Szent-Ivanyi</cp:lastModifiedBy>
  <cp:revision>6</cp:revision>
  <dcterms:created xsi:type="dcterms:W3CDTF">2025-04-08T10:01:00Z</dcterms:created>
  <dcterms:modified xsi:type="dcterms:W3CDTF">2025-07-18T10:33:00Z</dcterms:modified>
</cp:coreProperties>
</file>