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0FDA" w14:textId="52BB4F0D" w:rsidR="001A0C21" w:rsidRDefault="00892812" w:rsidP="00E16F9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 </w:t>
      </w:r>
      <w:r w:rsidR="00E16F94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16F94">
        <w:rPr>
          <w:rFonts w:ascii="Times New Roman" w:hAnsi="Times New Roman" w:cs="Times New Roman"/>
          <w:b/>
          <w:bCs/>
          <w:sz w:val="24"/>
          <w:szCs w:val="24"/>
        </w:rPr>
        <w:t xml:space="preserve">Sex Differences </w:t>
      </w:r>
    </w:p>
    <w:p w14:paraId="3D73CDEA" w14:textId="0715D2A3" w:rsidR="008D0A2F" w:rsidRPr="008D0A2F" w:rsidRDefault="008D0A2F" w:rsidP="00630DD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Hyperreactivity</w:t>
      </w:r>
    </w:p>
    <w:p w14:paraId="31B7F1DB" w14:textId="4E086859" w:rsidR="00630DD7" w:rsidRPr="00630DD7" w:rsidRDefault="00B9530F" w:rsidP="008D0A2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pattern of results for invariance testing of the IBQ-SS hyperreactivity subscale </w:t>
      </w:r>
      <w:r w:rsidR="00F80F18">
        <w:rPr>
          <w:rFonts w:ascii="Times New Roman" w:hAnsi="Times New Roman" w:cs="Times New Roman"/>
          <w:sz w:val="24"/>
          <w:szCs w:val="24"/>
        </w:rPr>
        <w:t>was similar to the full sample across both sexes, so the metric model was used to measure sensory hyperreactivity</w:t>
      </w:r>
      <w:r w:rsidR="000A22F0">
        <w:rPr>
          <w:rFonts w:ascii="Times New Roman" w:hAnsi="Times New Roman" w:cs="Times New Roman"/>
          <w:sz w:val="24"/>
          <w:szCs w:val="24"/>
        </w:rPr>
        <w:t xml:space="preserve"> (see Tables C.1 and C.2).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883"/>
        <w:gridCol w:w="1883"/>
        <w:gridCol w:w="1883"/>
        <w:gridCol w:w="1883"/>
      </w:tblGrid>
      <w:tr w:rsidR="006030D1" w14:paraId="61B23B73" w14:textId="77777777" w:rsidTr="003A6D24">
        <w:tc>
          <w:tcPr>
            <w:tcW w:w="9090" w:type="dxa"/>
            <w:gridSpan w:val="5"/>
            <w:tcBorders>
              <w:top w:val="nil"/>
              <w:left w:val="nil"/>
              <w:right w:val="nil"/>
            </w:tcBorders>
          </w:tcPr>
          <w:p w14:paraId="34134105" w14:textId="725E1265" w:rsidR="006030D1" w:rsidRPr="006030D1" w:rsidRDefault="006030D1" w:rsidP="00603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="00370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Invariance testing </w:t>
            </w:r>
            <w:r w:rsidR="003A6D24">
              <w:rPr>
                <w:rFonts w:ascii="Times New Roman" w:hAnsi="Times New Roman" w:cs="Times New Roman"/>
                <w:sz w:val="24"/>
                <w:szCs w:val="24"/>
              </w:rPr>
              <w:t xml:space="preserve">scaled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fit statistics compared to a baseline, unconstrained </w:t>
            </w:r>
            <w:r w:rsidR="009B4A62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AC4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4618" w14:paraId="5C57BC44" w14:textId="77777777" w:rsidTr="001A0C21">
        <w:tc>
          <w:tcPr>
            <w:tcW w:w="1558" w:type="dxa"/>
            <w:tcBorders>
              <w:left w:val="nil"/>
              <w:right w:val="nil"/>
            </w:tcBorders>
          </w:tcPr>
          <w:p w14:paraId="0D9F946E" w14:textId="77777777" w:rsidR="00AC4618" w:rsidRDefault="00AC4618" w:rsidP="00603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3E0DF7C8" w14:textId="32650BC6" w:rsidR="00AC4618" w:rsidRPr="00AC4618" w:rsidRDefault="00AC4618" w:rsidP="004A0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2 </w:t>
            </w: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(df)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38E799DC" w14:textId="5FAE624C" w:rsidR="00AC4618" w:rsidRPr="00AC4618" w:rsidRDefault="00795D35" w:rsidP="004A0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="00AC4618"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CFI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28065D79" w14:textId="0CF9A023" w:rsidR="00AC4618" w:rsidRPr="00AC4618" w:rsidRDefault="00795D35" w:rsidP="004A0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="00AC4618"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TLI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173CA88D" w14:textId="1E550935" w:rsidR="00AC4618" w:rsidRPr="00AC4618" w:rsidRDefault="00AC4618" w:rsidP="004A0F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AIC</w:t>
            </w:r>
          </w:p>
        </w:tc>
      </w:tr>
      <w:tr w:rsidR="009B4A62" w14:paraId="0F6F28D1" w14:textId="77777777" w:rsidTr="001A0C21">
        <w:tc>
          <w:tcPr>
            <w:tcW w:w="9090" w:type="dxa"/>
            <w:gridSpan w:val="5"/>
            <w:tcBorders>
              <w:left w:val="nil"/>
              <w:right w:val="nil"/>
            </w:tcBorders>
          </w:tcPr>
          <w:p w14:paraId="778A4B14" w14:textId="01DC0FDD" w:rsidR="009B4A62" w:rsidRPr="009B4A62" w:rsidRDefault="00732008" w:rsidP="009B4A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</w:tr>
      <w:tr w:rsidR="00AC4618" w14:paraId="0023B1CA" w14:textId="77777777" w:rsidTr="001A0C21"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7852F1E" w14:textId="764FEBB6" w:rsidR="00AC4618" w:rsidRPr="00542D02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Configural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B6D6D29" w14:textId="6F97BD6C" w:rsidR="00AC4618" w:rsidRPr="00927238" w:rsidRDefault="000B3CCB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3CCB">
              <w:rPr>
                <w:rFonts w:ascii="Times New Roman" w:hAnsi="Times New Roman" w:cs="Times New Roman"/>
                <w:sz w:val="24"/>
                <w:szCs w:val="24"/>
              </w:rPr>
              <w:t>387.403</w:t>
            </w:r>
            <w:r w:rsidR="003A2919" w:rsidRPr="000B3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63A" w:rsidRPr="000B3C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5A91" w:rsidRPr="000B3CC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53363A" w:rsidRPr="000B3C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00172E0" w14:textId="4782A0A4" w:rsidR="00AC4618" w:rsidRPr="000B3CCB" w:rsidRDefault="006F0626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C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B3CCB" w:rsidRPr="000B3CC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52A09899" w14:textId="5FC5B132" w:rsidR="00AC4618" w:rsidRPr="000B3CCB" w:rsidRDefault="006F0626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C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B3CCB" w:rsidRPr="000B3C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760AF946" w14:textId="60846E44" w:rsidR="00AC4618" w:rsidRPr="000B3CCB" w:rsidRDefault="000B3CCB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CCB">
              <w:rPr>
                <w:rFonts w:ascii="Times New Roman" w:hAnsi="Times New Roman" w:cs="Times New Roman"/>
                <w:sz w:val="24"/>
                <w:szCs w:val="24"/>
              </w:rPr>
              <w:t>9275.844</w:t>
            </w:r>
          </w:p>
        </w:tc>
      </w:tr>
      <w:tr w:rsidR="00AC4618" w14:paraId="46B76D0E" w14:textId="77777777" w:rsidTr="001A0C21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2CDE5725" w14:textId="7312AC23" w:rsidR="00AC4618" w:rsidRPr="00542D02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8C1E322" w14:textId="4B32E602" w:rsidR="00AC4618" w:rsidRPr="003B40E6" w:rsidRDefault="00402561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E6">
              <w:rPr>
                <w:rFonts w:ascii="Times New Roman" w:hAnsi="Times New Roman" w:cs="Times New Roman"/>
                <w:sz w:val="24"/>
                <w:szCs w:val="24"/>
              </w:rPr>
              <w:t>394.802</w:t>
            </w:r>
            <w:r w:rsidR="003A2919" w:rsidRPr="003B40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D2517" w:rsidRPr="003B40E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3A2919" w:rsidRPr="003B40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1336E22" w14:textId="656C462E" w:rsidR="00AC4618" w:rsidRPr="003B40E6" w:rsidRDefault="00DB4EBD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E6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3B40E6" w:rsidRPr="003B4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D1505F0" w14:textId="5E847643" w:rsidR="00AC4618" w:rsidRPr="003B40E6" w:rsidRDefault="00DB4EBD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E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B40E6" w:rsidRPr="003B40E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A919E22" w14:textId="12CF66AF" w:rsidR="00AC4618" w:rsidRPr="003B40E6" w:rsidRDefault="005D6FF9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40E6" w:rsidRPr="003B40E6">
              <w:rPr>
                <w:rFonts w:ascii="Times New Roman" w:hAnsi="Times New Roman" w:cs="Times New Roman"/>
                <w:sz w:val="24"/>
                <w:szCs w:val="24"/>
              </w:rPr>
              <w:t>262.597</w:t>
            </w:r>
          </w:p>
        </w:tc>
      </w:tr>
      <w:tr w:rsidR="00AC4618" w14:paraId="17EEB1C8" w14:textId="77777777" w:rsidTr="001A0C21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5DF9332" w14:textId="2E62A0D8" w:rsidR="00AC4618" w:rsidRPr="00542D02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Scalar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D1EA839" w14:textId="3390C172" w:rsidR="00AC4618" w:rsidRPr="001F552C" w:rsidRDefault="002F23CD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2C">
              <w:rPr>
                <w:rFonts w:ascii="Times New Roman" w:hAnsi="Times New Roman" w:cs="Times New Roman"/>
                <w:sz w:val="24"/>
                <w:szCs w:val="24"/>
              </w:rPr>
              <w:t>425.068</w:t>
            </w:r>
            <w:r w:rsidR="005D4A44" w:rsidRPr="001F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35D" w:rsidRPr="001F55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4A44" w:rsidRPr="001F552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88435D" w:rsidRPr="001F55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C28825A" w14:textId="06271792" w:rsidR="00AC4618" w:rsidRPr="001F552C" w:rsidRDefault="0088435D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2C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1F552C" w:rsidRPr="001F55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91D830C" w14:textId="20A5392A" w:rsidR="00AC4618" w:rsidRPr="001F552C" w:rsidRDefault="0088435D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2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F552C" w:rsidRPr="001F552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0C3940B9" w14:textId="56D677E1" w:rsidR="00AC4618" w:rsidRPr="001F552C" w:rsidRDefault="008F2EE4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5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552C" w:rsidRPr="001F552C">
              <w:rPr>
                <w:rFonts w:ascii="Times New Roman" w:hAnsi="Times New Roman" w:cs="Times New Roman"/>
                <w:sz w:val="24"/>
                <w:szCs w:val="24"/>
              </w:rPr>
              <w:t>271.969</w:t>
            </w:r>
          </w:p>
        </w:tc>
      </w:tr>
      <w:tr w:rsidR="00AC4618" w14:paraId="1A3308ED" w14:textId="77777777" w:rsidTr="001A0C21"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B26FF20" w14:textId="18C14820" w:rsidR="00AC4618" w:rsidRPr="00542D02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Residual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621654AD" w14:textId="4A9FB0CE" w:rsidR="00AC4618" w:rsidRPr="009A69B3" w:rsidRDefault="002E5DD6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5C72" w:rsidRPr="009A69B3">
              <w:rPr>
                <w:rFonts w:ascii="Times New Roman" w:hAnsi="Times New Roman" w:cs="Times New Roman"/>
                <w:sz w:val="24"/>
                <w:szCs w:val="24"/>
              </w:rPr>
              <w:t>40.196</w:t>
            </w:r>
            <w:r w:rsidR="009B4FE9" w:rsidRPr="009A6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4F0" w:rsidRPr="009A69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4FE9" w:rsidRPr="009A69B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B23031" w:rsidRPr="009A69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0DBB59D3" w14:textId="3C464F31" w:rsidR="00AC4618" w:rsidRPr="009A69B3" w:rsidRDefault="00B23031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B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47F71" w:rsidRPr="009A69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6771B97C" w14:textId="1607FB40" w:rsidR="00AC4618" w:rsidRPr="009A69B3" w:rsidRDefault="00D779AA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B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47F71" w:rsidRPr="009A69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</w:tcPr>
          <w:p w14:paraId="10E5AEFA" w14:textId="2CE8A7A5" w:rsidR="00AC4618" w:rsidRPr="009A69B3" w:rsidRDefault="009B4FE9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69B3" w:rsidRPr="009A69B3">
              <w:rPr>
                <w:rFonts w:ascii="Times New Roman" w:hAnsi="Times New Roman" w:cs="Times New Roman"/>
                <w:sz w:val="24"/>
                <w:szCs w:val="24"/>
              </w:rPr>
              <w:t>271.872</w:t>
            </w:r>
          </w:p>
        </w:tc>
      </w:tr>
      <w:tr w:rsidR="009B4A62" w14:paraId="627A7684" w14:textId="77777777" w:rsidTr="001A0C21">
        <w:tc>
          <w:tcPr>
            <w:tcW w:w="9090" w:type="dxa"/>
            <w:gridSpan w:val="5"/>
            <w:tcBorders>
              <w:left w:val="nil"/>
              <w:right w:val="nil"/>
            </w:tcBorders>
          </w:tcPr>
          <w:p w14:paraId="751FDD52" w14:textId="3E47300B" w:rsidR="009B4A62" w:rsidRPr="009B4A62" w:rsidRDefault="00732008" w:rsidP="009B4A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</w:tr>
      <w:tr w:rsidR="00AC4618" w14:paraId="3A300506" w14:textId="77777777" w:rsidTr="001A0C21"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7E2AAF9E" w14:textId="49F8BC4E" w:rsidR="00AC4618" w:rsidRPr="00542D02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Configural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46A02EEB" w14:textId="2A0EE3D0" w:rsidR="00AC4618" w:rsidRPr="00927238" w:rsidRDefault="0016306C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306C">
              <w:rPr>
                <w:rFonts w:ascii="Times New Roman" w:hAnsi="Times New Roman" w:cs="Times New Roman"/>
                <w:sz w:val="24"/>
                <w:szCs w:val="24"/>
              </w:rPr>
              <w:t>277.214</w:t>
            </w:r>
            <w:r w:rsidR="00595A9B" w:rsidRPr="0016306C">
              <w:rPr>
                <w:rFonts w:ascii="Times New Roman" w:hAnsi="Times New Roman" w:cs="Times New Roman"/>
                <w:sz w:val="24"/>
                <w:szCs w:val="24"/>
              </w:rPr>
              <w:t xml:space="preserve"> (159)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A34C437" w14:textId="080B8332" w:rsidR="00AC4618" w:rsidRPr="007A76C0" w:rsidRDefault="00595A9B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C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16306C" w:rsidRPr="007A76C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25583977" w14:textId="7FD67AEF" w:rsidR="00AC4618" w:rsidRPr="007A76C0" w:rsidRDefault="00595A9B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6C0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004B7" w:rsidRPr="007A76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76C0" w:rsidRPr="007A7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44A148A5" w14:textId="705DE171" w:rsidR="00AC4618" w:rsidRPr="00927238" w:rsidRDefault="007A76C0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76C0">
              <w:rPr>
                <w:rFonts w:ascii="Times New Roman" w:hAnsi="Times New Roman" w:cs="Times New Roman"/>
                <w:sz w:val="24"/>
                <w:szCs w:val="24"/>
              </w:rPr>
              <w:t>7939.214</w:t>
            </w:r>
          </w:p>
        </w:tc>
      </w:tr>
      <w:tr w:rsidR="00AC4618" w14:paraId="139D5B2F" w14:textId="77777777" w:rsidTr="001A0C21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17734B9F" w14:textId="665CDD84" w:rsidR="00AC4618" w:rsidRPr="00542D02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D28D8E5" w14:textId="5E8FD50B" w:rsidR="00AC4618" w:rsidRPr="00927238" w:rsidRDefault="004903AC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3AC">
              <w:rPr>
                <w:rFonts w:ascii="Times New Roman" w:hAnsi="Times New Roman" w:cs="Times New Roman"/>
                <w:sz w:val="24"/>
                <w:szCs w:val="24"/>
              </w:rPr>
              <w:t>280.111</w:t>
            </w:r>
            <w:r w:rsidR="00264CE3" w:rsidRPr="004903AC">
              <w:rPr>
                <w:rFonts w:ascii="Times New Roman" w:hAnsi="Times New Roman" w:cs="Times New Roman"/>
                <w:sz w:val="24"/>
                <w:szCs w:val="24"/>
              </w:rPr>
              <w:t xml:space="preserve"> (169)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315A3A1" w14:textId="5DE120E3" w:rsidR="00AC4618" w:rsidRPr="004903AC" w:rsidRDefault="00264CE3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903AC" w:rsidRPr="004903A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0333A8B" w14:textId="3B0DA127" w:rsidR="00AC4618" w:rsidRPr="004903AC" w:rsidRDefault="00264CE3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3A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13269" w:rsidRPr="00490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03AC" w:rsidRPr="00490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859C547" w14:textId="4722F140" w:rsidR="00AC4618" w:rsidRPr="00927238" w:rsidRDefault="002F5835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5835">
              <w:rPr>
                <w:rFonts w:ascii="Times New Roman" w:hAnsi="Times New Roman" w:cs="Times New Roman"/>
                <w:sz w:val="24"/>
                <w:szCs w:val="24"/>
              </w:rPr>
              <w:t>7924.948</w:t>
            </w:r>
          </w:p>
        </w:tc>
      </w:tr>
      <w:tr w:rsidR="00AC4618" w14:paraId="47572E4D" w14:textId="77777777" w:rsidTr="001A0C21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501060D" w14:textId="13AB0159" w:rsidR="00AC4618" w:rsidRPr="00542D02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Scalar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351C285" w14:textId="2693BCE2" w:rsidR="00AC4618" w:rsidRPr="00927238" w:rsidRDefault="004D5E3C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5E3C">
              <w:rPr>
                <w:rFonts w:ascii="Times New Roman" w:hAnsi="Times New Roman" w:cs="Times New Roman"/>
                <w:sz w:val="24"/>
                <w:szCs w:val="24"/>
              </w:rPr>
              <w:t>308.452</w:t>
            </w:r>
            <w:r w:rsidR="00220C31" w:rsidRPr="004D5E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10743" w:rsidRPr="004D5E3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220C31" w:rsidRPr="004D5E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2A018B8" w14:textId="31736B1B" w:rsidR="00AC4618" w:rsidRPr="004E1D99" w:rsidRDefault="00220C31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710743" w:rsidRPr="004E1D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165C" w:rsidRPr="004E1D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12E131B9" w14:textId="7D7167AD" w:rsidR="00AC4618" w:rsidRPr="004E1D99" w:rsidRDefault="003C1B1D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60BE3" w:rsidRPr="004E1D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1D99" w:rsidRPr="004E1D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43D48BE" w14:textId="5EEB8F28" w:rsidR="00AC4618" w:rsidRPr="004E1D99" w:rsidRDefault="004E1D99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9">
              <w:rPr>
                <w:rFonts w:ascii="Times New Roman" w:hAnsi="Times New Roman" w:cs="Times New Roman"/>
                <w:sz w:val="24"/>
                <w:szCs w:val="24"/>
              </w:rPr>
              <w:t>7934.501</w:t>
            </w:r>
          </w:p>
        </w:tc>
      </w:tr>
      <w:tr w:rsidR="00AC4618" w14:paraId="36C5AFAD" w14:textId="77777777" w:rsidTr="001A0C21"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BF2AE" w14:textId="225F787E" w:rsidR="00AC4618" w:rsidRPr="00163C27" w:rsidRDefault="00AC4618" w:rsidP="006030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Residual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9F2DA" w14:textId="1DCEE67E" w:rsidR="00AC4618" w:rsidRPr="00163C27" w:rsidRDefault="00F9010E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27">
              <w:rPr>
                <w:rFonts w:ascii="Times New Roman" w:hAnsi="Times New Roman" w:cs="Times New Roman"/>
                <w:sz w:val="24"/>
                <w:szCs w:val="24"/>
              </w:rPr>
              <w:t>321.840</w:t>
            </w:r>
            <w:r w:rsidR="009C6434" w:rsidRPr="00163C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67434" w:rsidRPr="00163C2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907F27" w:rsidRPr="00163C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65AE0" w14:textId="0A6E5E28" w:rsidR="00AC4618" w:rsidRPr="00163C27" w:rsidRDefault="003803E3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2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40C2B" w:rsidRPr="00163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37A5" w:rsidRPr="00163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940BB" w14:textId="0887B16A" w:rsidR="00AC4618" w:rsidRPr="00163C27" w:rsidRDefault="003803E3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2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40C2B" w:rsidRPr="00163C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37A5" w:rsidRPr="00163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51B6E" w14:textId="328F80D4" w:rsidR="00AC4618" w:rsidRPr="00163C27" w:rsidRDefault="00F9010E" w:rsidP="00AC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C27">
              <w:rPr>
                <w:rFonts w:ascii="Times New Roman" w:hAnsi="Times New Roman" w:cs="Times New Roman"/>
                <w:sz w:val="24"/>
                <w:szCs w:val="24"/>
              </w:rPr>
              <w:t>7933</w:t>
            </w:r>
            <w:r w:rsidR="00163C27" w:rsidRPr="00163C27"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</w:tr>
      <w:tr w:rsidR="00DB4EBD" w14:paraId="6776CF33" w14:textId="77777777" w:rsidTr="00DB4EBD">
        <w:tc>
          <w:tcPr>
            <w:tcW w:w="9090" w:type="dxa"/>
            <w:gridSpan w:val="5"/>
            <w:tcBorders>
              <w:left w:val="nil"/>
              <w:bottom w:val="nil"/>
              <w:right w:val="nil"/>
            </w:tcBorders>
          </w:tcPr>
          <w:p w14:paraId="6574C4F5" w14:textId="77777777" w:rsidR="00DB4EBD" w:rsidRPr="00163C27" w:rsidRDefault="00DB4EBD" w:rsidP="00DB4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27">
              <w:rPr>
                <w:rFonts w:ascii="Times New Roman" w:hAnsi="Times New Roman" w:cs="Times New Roman"/>
                <w:sz w:val="20"/>
                <w:szCs w:val="20"/>
              </w:rPr>
              <w:t>CFI = Comparative Fit Index; TLI = Tucker-Lewis Index; AIC = Aikake Information Criterion</w:t>
            </w:r>
          </w:p>
          <w:p w14:paraId="2075EFA2" w14:textId="1DBD7C7B" w:rsidR="00C406A5" w:rsidRPr="00163C27" w:rsidRDefault="00C406A5" w:rsidP="00DB4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27">
              <w:rPr>
                <w:rFonts w:ascii="Times New Roman" w:hAnsi="Times New Roman" w:cs="Times New Roman"/>
                <w:sz w:val="20"/>
                <w:szCs w:val="20"/>
              </w:rPr>
              <w:t>Criteria for adequate fi</w:t>
            </w:r>
            <w:r w:rsidR="00A66C47" w:rsidRPr="00163C27">
              <w:rPr>
                <w:rFonts w:ascii="Times New Roman" w:hAnsi="Times New Roman" w:cs="Times New Roman"/>
                <w:sz w:val="20"/>
                <w:szCs w:val="20"/>
              </w:rPr>
              <w:t xml:space="preserve">t: </w:t>
            </w:r>
            <w:r w:rsidR="003F3AF5" w:rsidRPr="00163C27">
              <w:rPr>
                <w:rFonts w:ascii="Times New Roman" w:hAnsi="Times New Roman" w:cs="Times New Roman"/>
                <w:sz w:val="20"/>
                <w:szCs w:val="20"/>
              </w:rPr>
              <w:t>CFI ≥ 0.9; TLI ≥ 0.9</w:t>
            </w:r>
          </w:p>
        </w:tc>
      </w:tr>
    </w:tbl>
    <w:p w14:paraId="481168CB" w14:textId="77777777" w:rsidR="00721196" w:rsidRPr="003C622A" w:rsidRDefault="00721196" w:rsidP="008303F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1B48" w14:paraId="2EFCC139" w14:textId="77777777" w:rsidTr="001A0C21">
        <w:tc>
          <w:tcPr>
            <w:tcW w:w="9350" w:type="dxa"/>
            <w:gridSpan w:val="3"/>
            <w:tcBorders>
              <w:top w:val="nil"/>
              <w:left w:val="nil"/>
              <w:right w:val="nil"/>
            </w:tcBorders>
          </w:tcPr>
          <w:p w14:paraId="5E0CE010" w14:textId="4B2FC641" w:rsidR="000F1B48" w:rsidRPr="000F1B48" w:rsidRDefault="000F1B48" w:rsidP="000F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="00370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Pairwise ANOVA results for test of 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differences across models.</w:t>
            </w:r>
          </w:p>
        </w:tc>
      </w:tr>
      <w:tr w:rsidR="00E5159E" w14:paraId="2AA7BC59" w14:textId="77777777" w:rsidTr="001A0C21"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14:paraId="318D6167" w14:textId="77777777" w:rsidR="00E5159E" w:rsidRDefault="00E5159E" w:rsidP="000F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2"/>
            <w:tcBorders>
              <w:left w:val="nil"/>
              <w:bottom w:val="nil"/>
              <w:right w:val="nil"/>
            </w:tcBorders>
          </w:tcPr>
          <w:p w14:paraId="4E082CB3" w14:textId="6872EA60" w:rsidR="00E5159E" w:rsidRPr="00E5159E" w:rsidRDefault="00E5159E" w:rsidP="00E51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Difference (</w:t>
            </w:r>
            <w:r w:rsidRPr="00E515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F1B48" w14:paraId="7E4419D2" w14:textId="77777777" w:rsidTr="001A0C21">
        <w:tc>
          <w:tcPr>
            <w:tcW w:w="3116" w:type="dxa"/>
            <w:tcBorders>
              <w:top w:val="nil"/>
              <w:left w:val="nil"/>
              <w:right w:val="nil"/>
            </w:tcBorders>
          </w:tcPr>
          <w:p w14:paraId="7FF17CB1" w14:textId="77777777" w:rsidR="000F1B48" w:rsidRDefault="000F1B48" w:rsidP="000F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6E4994C0" w14:textId="169B0B03" w:rsidR="000F1B48" w:rsidRDefault="00D457CA" w:rsidP="002A6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17DC6CBC" w14:textId="320B4624" w:rsidR="000F1B48" w:rsidRDefault="00D457CA" w:rsidP="002A61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</w:tr>
      <w:tr w:rsidR="00E5159E" w14:paraId="79100389" w14:textId="77777777" w:rsidTr="001A0C21"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14:paraId="76B34C20" w14:textId="1EEFD2D9" w:rsidR="00E5159E" w:rsidRDefault="002A61CB" w:rsidP="000F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Configural vs. Metric</w:t>
            </w: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577C4CC7" w14:textId="61A014B9" w:rsidR="00E5159E" w:rsidRPr="00E563EB" w:rsidRDefault="007D68A1" w:rsidP="002A6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3EB">
              <w:rPr>
                <w:rFonts w:ascii="Times New Roman" w:hAnsi="Times New Roman" w:cs="Times New Roman"/>
                <w:sz w:val="24"/>
                <w:szCs w:val="24"/>
              </w:rPr>
              <w:t>6.77</w:t>
            </w:r>
            <w:r w:rsidR="00B269D9" w:rsidRPr="00E563EB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r w:rsidR="00E563EB" w:rsidRPr="00E563E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269D9" w:rsidRPr="00E56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569A5086" w14:textId="2698F195" w:rsidR="00E5159E" w:rsidRPr="00927238" w:rsidRDefault="00163C27" w:rsidP="002A61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3C27">
              <w:rPr>
                <w:rFonts w:ascii="Times New Roman" w:hAnsi="Times New Roman" w:cs="Times New Roman"/>
                <w:sz w:val="24"/>
                <w:szCs w:val="24"/>
              </w:rPr>
              <w:t>4.64</w:t>
            </w:r>
            <w:r w:rsidR="007B754D" w:rsidRPr="00163C27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r w:rsidRPr="00163C2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7B754D" w:rsidRPr="00163C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1B48" w14:paraId="5C85C5C0" w14:textId="77777777" w:rsidTr="001A0C21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59F8FF8" w14:textId="3253845A" w:rsidR="000F1B48" w:rsidRDefault="002A61CB" w:rsidP="000F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 vs. Scalar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562C82E" w14:textId="3FDA99FE" w:rsidR="000F1B48" w:rsidRPr="00927238" w:rsidRDefault="00E563EB" w:rsidP="002A61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63EB">
              <w:rPr>
                <w:rFonts w:ascii="Times New Roman" w:hAnsi="Times New Roman" w:cs="Times New Roman"/>
                <w:sz w:val="24"/>
                <w:szCs w:val="24"/>
              </w:rPr>
              <w:t>30.83</w:t>
            </w:r>
            <w:r w:rsidR="00B269D9" w:rsidRPr="00E563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08C9" w:rsidRPr="00E563E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E56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08C9" w:rsidRPr="00E56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9A65132" w14:textId="14304B20" w:rsidR="000F1B48" w:rsidRPr="00927238" w:rsidRDefault="00023747" w:rsidP="002A61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3747">
              <w:rPr>
                <w:rFonts w:ascii="Times New Roman" w:hAnsi="Times New Roman" w:cs="Times New Roman"/>
                <w:sz w:val="24"/>
                <w:szCs w:val="24"/>
              </w:rPr>
              <w:t>29.13</w:t>
            </w:r>
            <w:r w:rsidR="0078793B" w:rsidRPr="00023747">
              <w:rPr>
                <w:rFonts w:ascii="Times New Roman" w:hAnsi="Times New Roman" w:cs="Times New Roman"/>
                <w:sz w:val="24"/>
                <w:szCs w:val="24"/>
              </w:rPr>
              <w:t xml:space="preserve"> (.001)</w:t>
            </w:r>
          </w:p>
        </w:tc>
      </w:tr>
      <w:tr w:rsidR="000F1B48" w14:paraId="76B5F533" w14:textId="77777777" w:rsidTr="001A0C21">
        <w:tc>
          <w:tcPr>
            <w:tcW w:w="3116" w:type="dxa"/>
            <w:tcBorders>
              <w:top w:val="nil"/>
              <w:left w:val="nil"/>
              <w:right w:val="nil"/>
            </w:tcBorders>
          </w:tcPr>
          <w:p w14:paraId="130047BF" w14:textId="66B1B239" w:rsidR="000F1B48" w:rsidRDefault="002A61CB" w:rsidP="000F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Scalar vs. Residual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0CCD1A92" w14:textId="4DE31B83" w:rsidR="000F1B48" w:rsidRPr="00927238" w:rsidRDefault="002F08C9" w:rsidP="002A61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0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CA5" w:rsidRPr="00E10CA5"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  <w:r w:rsidRPr="00E10CA5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r w:rsidR="00E10CA5" w:rsidRPr="00E10CA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10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3380FEA6" w14:textId="1A12DD1B" w:rsidR="000F1B48" w:rsidRPr="00927238" w:rsidRDefault="0078793B" w:rsidP="002A61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3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339" w:rsidRPr="00D23339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="007A25ED" w:rsidRPr="00D23339">
              <w:rPr>
                <w:rFonts w:ascii="Times New Roman" w:hAnsi="Times New Roman" w:cs="Times New Roman"/>
                <w:sz w:val="24"/>
                <w:szCs w:val="24"/>
              </w:rPr>
              <w:t xml:space="preserve"> (.1</w:t>
            </w:r>
            <w:r w:rsidR="00D23339" w:rsidRPr="00D233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25ED" w:rsidRPr="00D233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1F6733C" w14:textId="77777777" w:rsidR="000A22F0" w:rsidRDefault="000A22F0" w:rsidP="008928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315C6F" w14:textId="573FD99F" w:rsidR="000A22F0" w:rsidRPr="002A7E6F" w:rsidRDefault="008D192F" w:rsidP="008928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3F44">
        <w:rPr>
          <w:rFonts w:ascii="Times New Roman" w:hAnsi="Times New Roman" w:cs="Times New Roman"/>
          <w:sz w:val="24"/>
          <w:szCs w:val="24"/>
        </w:rPr>
        <w:tab/>
        <w:t>Cross-lagged panel models</w:t>
      </w:r>
      <w:r w:rsidR="00336BB5" w:rsidRPr="00BC3F44">
        <w:rPr>
          <w:rFonts w:ascii="Times New Roman" w:hAnsi="Times New Roman" w:cs="Times New Roman"/>
          <w:sz w:val="24"/>
          <w:szCs w:val="24"/>
        </w:rPr>
        <w:t xml:space="preserve"> (CLPM</w:t>
      </w:r>
      <w:r w:rsidR="0044287B">
        <w:rPr>
          <w:rFonts w:ascii="Times New Roman" w:hAnsi="Times New Roman" w:cs="Times New Roman"/>
          <w:sz w:val="24"/>
          <w:szCs w:val="24"/>
        </w:rPr>
        <w:t>s</w:t>
      </w:r>
      <w:r w:rsidR="00336BB5" w:rsidRPr="00BC3F44">
        <w:rPr>
          <w:rFonts w:ascii="Times New Roman" w:hAnsi="Times New Roman" w:cs="Times New Roman"/>
          <w:sz w:val="24"/>
          <w:szCs w:val="24"/>
        </w:rPr>
        <w:t>)</w:t>
      </w:r>
      <w:r w:rsidRPr="00BC3F44">
        <w:rPr>
          <w:rFonts w:ascii="Times New Roman" w:hAnsi="Times New Roman" w:cs="Times New Roman"/>
          <w:sz w:val="24"/>
          <w:szCs w:val="24"/>
        </w:rPr>
        <w:t xml:space="preserve"> demonstrated </w:t>
      </w:r>
      <w:r w:rsidR="000F2268" w:rsidRPr="00BC3F44">
        <w:rPr>
          <w:rFonts w:ascii="Times New Roman" w:hAnsi="Times New Roman" w:cs="Times New Roman"/>
          <w:sz w:val="24"/>
          <w:szCs w:val="24"/>
        </w:rPr>
        <w:t xml:space="preserve">better fit in females than males (see Table C.3). </w:t>
      </w:r>
      <w:r w:rsidR="00B0542D" w:rsidRPr="00BC3F44">
        <w:rPr>
          <w:rFonts w:ascii="Times New Roman" w:hAnsi="Times New Roman" w:cs="Times New Roman"/>
          <w:sz w:val="24"/>
          <w:szCs w:val="24"/>
        </w:rPr>
        <w:t>In male</w:t>
      </w:r>
      <w:r w:rsidR="005A71F2" w:rsidRPr="00BC3F44">
        <w:rPr>
          <w:rFonts w:ascii="Times New Roman" w:hAnsi="Times New Roman" w:cs="Times New Roman"/>
          <w:sz w:val="24"/>
          <w:szCs w:val="24"/>
        </w:rPr>
        <w:t>s</w:t>
      </w:r>
      <w:r w:rsidR="00C07814" w:rsidRPr="00BC3F44">
        <w:rPr>
          <w:rFonts w:ascii="Times New Roman" w:hAnsi="Times New Roman" w:cs="Times New Roman"/>
          <w:sz w:val="24"/>
          <w:szCs w:val="24"/>
        </w:rPr>
        <w:t xml:space="preserve"> (n = </w:t>
      </w:r>
      <w:r w:rsidR="003E23D6" w:rsidRPr="00BC3F44">
        <w:rPr>
          <w:rFonts w:ascii="Times New Roman" w:hAnsi="Times New Roman" w:cs="Times New Roman"/>
          <w:sz w:val="24"/>
          <w:szCs w:val="24"/>
        </w:rPr>
        <w:t>13</w:t>
      </w:r>
      <w:r w:rsidR="00BC3F44" w:rsidRPr="00BC3F44">
        <w:rPr>
          <w:rFonts w:ascii="Times New Roman" w:hAnsi="Times New Roman" w:cs="Times New Roman"/>
          <w:sz w:val="24"/>
          <w:szCs w:val="24"/>
        </w:rPr>
        <w:t>0</w:t>
      </w:r>
      <w:r w:rsidR="00C07814" w:rsidRPr="00BC3F44">
        <w:rPr>
          <w:rFonts w:ascii="Times New Roman" w:hAnsi="Times New Roman" w:cs="Times New Roman"/>
          <w:sz w:val="24"/>
          <w:szCs w:val="24"/>
        </w:rPr>
        <w:t>)</w:t>
      </w:r>
      <w:r w:rsidR="005A71F2" w:rsidRPr="00BC3F44">
        <w:rPr>
          <w:rFonts w:ascii="Times New Roman" w:hAnsi="Times New Roman" w:cs="Times New Roman"/>
          <w:sz w:val="24"/>
          <w:szCs w:val="24"/>
        </w:rPr>
        <w:t xml:space="preserve">, no cross-lagged effects were observed between infant sensory </w:t>
      </w:r>
      <w:r w:rsidR="00BC3F44" w:rsidRPr="00BC3F44">
        <w:rPr>
          <w:rFonts w:ascii="Times New Roman" w:hAnsi="Times New Roman" w:cs="Times New Roman"/>
          <w:sz w:val="24"/>
          <w:szCs w:val="24"/>
        </w:rPr>
        <w:t>hyper</w:t>
      </w:r>
      <w:r w:rsidR="005A71F2" w:rsidRPr="00BC3F44">
        <w:rPr>
          <w:rFonts w:ascii="Times New Roman" w:hAnsi="Times New Roman" w:cs="Times New Roman"/>
          <w:sz w:val="24"/>
          <w:szCs w:val="24"/>
        </w:rPr>
        <w:t xml:space="preserve">reactivity and maternal sensitivity nor intrusiveness. </w:t>
      </w:r>
      <w:r w:rsidR="005A71F2" w:rsidRPr="002A7E6F">
        <w:rPr>
          <w:rFonts w:ascii="Times New Roman" w:hAnsi="Times New Roman" w:cs="Times New Roman"/>
          <w:sz w:val="24"/>
          <w:szCs w:val="24"/>
        </w:rPr>
        <w:t>Additionally</w:t>
      </w:r>
      <w:r w:rsidR="000F3AD8" w:rsidRPr="002A7E6F">
        <w:rPr>
          <w:rFonts w:ascii="Times New Roman" w:hAnsi="Times New Roman" w:cs="Times New Roman"/>
          <w:sz w:val="24"/>
          <w:szCs w:val="24"/>
        </w:rPr>
        <w:t xml:space="preserve">, intrusiveness at 6 months demonstrated only a small </w:t>
      </w:r>
      <w:r w:rsidR="00A03C90" w:rsidRPr="002A7E6F">
        <w:rPr>
          <w:rFonts w:ascii="Times New Roman" w:hAnsi="Times New Roman" w:cs="Times New Roman"/>
          <w:sz w:val="24"/>
          <w:szCs w:val="24"/>
        </w:rPr>
        <w:t xml:space="preserve">autoregressive </w:t>
      </w:r>
      <w:r w:rsidR="000F3AD8" w:rsidRPr="002A7E6F">
        <w:rPr>
          <w:rFonts w:ascii="Times New Roman" w:hAnsi="Times New Roman" w:cs="Times New Roman"/>
          <w:sz w:val="24"/>
          <w:szCs w:val="24"/>
        </w:rPr>
        <w:t>association with intrusiveness at 12 months</w:t>
      </w:r>
      <w:r w:rsidR="00E8390E" w:rsidRPr="002A7E6F">
        <w:rPr>
          <w:rFonts w:ascii="Times New Roman" w:hAnsi="Times New Roman" w:cs="Times New Roman"/>
          <w:sz w:val="24"/>
          <w:szCs w:val="24"/>
        </w:rPr>
        <w:t>, and this did not meet criteria for statistical significance</w:t>
      </w:r>
      <w:r w:rsidR="000F3AD8" w:rsidRPr="002A7E6F">
        <w:rPr>
          <w:rFonts w:ascii="Times New Roman" w:hAnsi="Times New Roman" w:cs="Times New Roman"/>
          <w:sz w:val="24"/>
          <w:szCs w:val="24"/>
        </w:rPr>
        <w:t xml:space="preserve">. </w:t>
      </w:r>
      <w:r w:rsidR="00C07814" w:rsidRPr="002A7E6F">
        <w:rPr>
          <w:rFonts w:ascii="Times New Roman" w:hAnsi="Times New Roman" w:cs="Times New Roman"/>
          <w:sz w:val="24"/>
          <w:szCs w:val="24"/>
        </w:rPr>
        <w:t>Refer to Figure C.1 for the CLPM results in males.</w:t>
      </w:r>
    </w:p>
    <w:p w14:paraId="5EC24A87" w14:textId="253105AC" w:rsidR="00D7081A" w:rsidRPr="002A7E6F" w:rsidRDefault="00D7081A" w:rsidP="008928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lastRenderedPageBreak/>
        <w:tab/>
        <w:t>In females (n = 11</w:t>
      </w:r>
      <w:r w:rsidR="002A7E6F" w:rsidRPr="002A7E6F">
        <w:rPr>
          <w:rFonts w:ascii="Times New Roman" w:hAnsi="Times New Roman" w:cs="Times New Roman"/>
          <w:sz w:val="24"/>
          <w:szCs w:val="24"/>
        </w:rPr>
        <w:t>4</w:t>
      </w:r>
      <w:r w:rsidRPr="002A7E6F">
        <w:rPr>
          <w:rFonts w:ascii="Times New Roman" w:hAnsi="Times New Roman" w:cs="Times New Roman"/>
          <w:sz w:val="24"/>
          <w:szCs w:val="24"/>
        </w:rPr>
        <w:t xml:space="preserve">), </w:t>
      </w:r>
      <w:r w:rsidR="00761FA9" w:rsidRPr="002A7E6F">
        <w:rPr>
          <w:rFonts w:ascii="Times New Roman" w:hAnsi="Times New Roman" w:cs="Times New Roman"/>
          <w:sz w:val="24"/>
          <w:szCs w:val="24"/>
        </w:rPr>
        <w:t xml:space="preserve">the cross-lagged </w:t>
      </w:r>
      <w:r w:rsidR="002A7E6F" w:rsidRPr="002A7E6F">
        <w:rPr>
          <w:rFonts w:ascii="Times New Roman" w:hAnsi="Times New Roman" w:cs="Times New Roman"/>
          <w:sz w:val="24"/>
          <w:szCs w:val="24"/>
        </w:rPr>
        <w:t xml:space="preserve">negative </w:t>
      </w:r>
      <w:r w:rsidR="00761FA9" w:rsidRPr="002A7E6F">
        <w:rPr>
          <w:rFonts w:ascii="Times New Roman" w:hAnsi="Times New Roman" w:cs="Times New Roman"/>
          <w:sz w:val="24"/>
          <w:szCs w:val="24"/>
        </w:rPr>
        <w:t xml:space="preserve">association between maternal sensitivity at 6 months and infant hyperreactivity </w:t>
      </w:r>
      <w:r w:rsidR="00871226" w:rsidRPr="002A7E6F">
        <w:rPr>
          <w:rFonts w:ascii="Times New Roman" w:hAnsi="Times New Roman" w:cs="Times New Roman"/>
          <w:sz w:val="24"/>
          <w:szCs w:val="24"/>
        </w:rPr>
        <w:t xml:space="preserve">at 12 months was moderately strong. The overall pattern of results in females mirrored the </w:t>
      </w:r>
      <w:r w:rsidR="00EB1D0E" w:rsidRPr="002A7E6F">
        <w:rPr>
          <w:rFonts w:ascii="Times New Roman" w:hAnsi="Times New Roman" w:cs="Times New Roman"/>
          <w:sz w:val="24"/>
          <w:szCs w:val="24"/>
        </w:rPr>
        <w:t xml:space="preserve">full sample. </w:t>
      </w:r>
      <w:r w:rsidR="00710BA6" w:rsidRPr="002A7E6F">
        <w:rPr>
          <w:rFonts w:ascii="Times New Roman" w:hAnsi="Times New Roman" w:cs="Times New Roman"/>
          <w:sz w:val="24"/>
          <w:szCs w:val="24"/>
        </w:rPr>
        <w:t>See Figure C.2 for CLPM results in females.</w:t>
      </w:r>
    </w:p>
    <w:p w14:paraId="5D6779E6" w14:textId="5C581F46" w:rsidR="00EB1D0E" w:rsidRDefault="00EB1D0E" w:rsidP="008928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7E6F">
        <w:rPr>
          <w:rFonts w:ascii="Times New Roman" w:hAnsi="Times New Roman" w:cs="Times New Roman"/>
          <w:sz w:val="24"/>
          <w:szCs w:val="24"/>
        </w:rPr>
        <w:tab/>
      </w:r>
      <w:r w:rsidR="00710BA6" w:rsidRPr="002A7E6F">
        <w:rPr>
          <w:rFonts w:ascii="Times New Roman" w:hAnsi="Times New Roman" w:cs="Times New Roman"/>
          <w:sz w:val="24"/>
          <w:szCs w:val="24"/>
        </w:rPr>
        <w:t>The CLPM</w:t>
      </w:r>
      <w:r w:rsidR="00CF2D47" w:rsidRPr="002A7E6F">
        <w:rPr>
          <w:rFonts w:ascii="Times New Roman" w:hAnsi="Times New Roman" w:cs="Times New Roman"/>
          <w:sz w:val="24"/>
          <w:szCs w:val="24"/>
        </w:rPr>
        <w:t xml:space="preserve"> analyses</w:t>
      </w:r>
      <w:r w:rsidR="00710BA6" w:rsidRPr="002A7E6F">
        <w:rPr>
          <w:rFonts w:ascii="Times New Roman" w:hAnsi="Times New Roman" w:cs="Times New Roman"/>
          <w:sz w:val="24"/>
          <w:szCs w:val="24"/>
        </w:rPr>
        <w:t xml:space="preserve"> split by sex were underpowered; however, the larger effect sizes observed in females compared to males suggests a potentially more important role for maternal sensitivity and intrusiveness in predicting infant sensory </w:t>
      </w:r>
      <w:r w:rsidR="006E18F6">
        <w:rPr>
          <w:rFonts w:ascii="Times New Roman" w:hAnsi="Times New Roman" w:cs="Times New Roman"/>
          <w:sz w:val="24"/>
          <w:szCs w:val="24"/>
        </w:rPr>
        <w:t>hyper</w:t>
      </w:r>
      <w:r w:rsidR="00710BA6" w:rsidRPr="002A7E6F">
        <w:rPr>
          <w:rFonts w:ascii="Times New Roman" w:hAnsi="Times New Roman" w:cs="Times New Roman"/>
          <w:sz w:val="24"/>
          <w:szCs w:val="24"/>
        </w:rPr>
        <w:t>reactivity for female infants. These results should be replicated in larger samples with adequate power to detect effects.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C041E" w:rsidRPr="00820264" w14:paraId="7C16494A" w14:textId="77777777" w:rsidTr="004F59EE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</w:tcPr>
          <w:p w14:paraId="0D5474EC" w14:textId="3D805016" w:rsidR="009C041E" w:rsidRPr="00820264" w:rsidRDefault="009C041E" w:rsidP="004F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 w:rsidR="00370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CLPM fit indices across </w:t>
            </w:r>
            <w:r w:rsidR="00096E7D">
              <w:rPr>
                <w:rFonts w:ascii="Times New Roman" w:hAnsi="Times New Roman" w:cs="Times New Roman"/>
                <w:sz w:val="24"/>
                <w:szCs w:val="24"/>
              </w:rPr>
              <w:t xml:space="preserve">sensory hyperreactivity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models.</w:t>
            </w:r>
          </w:p>
        </w:tc>
      </w:tr>
      <w:tr w:rsidR="009C041E" w:rsidRPr="00444F9E" w14:paraId="7C8FA453" w14:textId="77777777" w:rsidTr="004F59EE"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7E0687A0" w14:textId="77777777" w:rsidR="009C041E" w:rsidRDefault="009C041E" w:rsidP="004F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nil"/>
            </w:tcBorders>
          </w:tcPr>
          <w:p w14:paraId="5B8E0D1E" w14:textId="06277078" w:rsidR="009C041E" w:rsidRPr="00444F9E" w:rsidRDefault="00753D49" w:rsidP="004F5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nil"/>
            </w:tcBorders>
          </w:tcPr>
          <w:p w14:paraId="739A2BCF" w14:textId="6521187E" w:rsidR="009C041E" w:rsidRPr="00444F9E" w:rsidRDefault="00753D49" w:rsidP="004F5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</w:tr>
      <w:tr w:rsidR="009C041E" w:rsidRPr="00C51648" w14:paraId="01D63744" w14:textId="77777777" w:rsidTr="004F59EE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FF55F" w14:textId="77777777" w:rsidR="009C041E" w:rsidRDefault="009C041E" w:rsidP="004F5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502AB" w14:textId="77777777" w:rsidR="009C041E" w:rsidRPr="00C51648" w:rsidRDefault="009C041E" w:rsidP="004F5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44D10" w14:textId="77777777" w:rsidR="009C041E" w:rsidRPr="00C51648" w:rsidRDefault="009C041E" w:rsidP="004F5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Intrusiveness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D2ADD" w14:textId="77777777" w:rsidR="009C041E" w:rsidRPr="00C51648" w:rsidRDefault="009C041E" w:rsidP="004F5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24822" w14:textId="77777777" w:rsidR="009C041E" w:rsidRPr="00C51648" w:rsidRDefault="009C041E" w:rsidP="004F5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Intrusiveness</w:t>
            </w:r>
          </w:p>
        </w:tc>
      </w:tr>
      <w:tr w:rsidR="009C041E" w:rsidRPr="00374CDE" w14:paraId="64B63B19" w14:textId="77777777" w:rsidTr="004F59EE"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2E94C" w14:textId="77777777" w:rsidR="009C041E" w:rsidRDefault="009C041E" w:rsidP="004F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(df)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CC7EC" w14:textId="42E6F3B1" w:rsidR="009C041E" w:rsidRPr="00A7419A" w:rsidRDefault="00937EF6" w:rsidP="0044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7419A" w:rsidRPr="00A74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38.538</w:t>
            </w:r>
            <w:r w:rsidR="009C041E" w:rsidRPr="00A741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(205)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EAC3D" w14:textId="0B6D148A" w:rsidR="009C041E" w:rsidRPr="00053B75" w:rsidRDefault="006C017C" w:rsidP="00447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439.044</w:t>
            </w:r>
            <w:r w:rsidR="009C041E"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(205)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824B3E" w14:textId="3D203741" w:rsidR="009C041E" w:rsidRPr="00927238" w:rsidRDefault="003E08DC" w:rsidP="0044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0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332.35</w:t>
            </w:r>
            <w:r w:rsidR="009C041E" w:rsidRPr="003E0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</w:t>
            </w:r>
            <w:r w:rsidR="008E50A7" w:rsidRPr="003E0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C041E" w:rsidRPr="003E08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D7460" w14:textId="42BB83A6" w:rsidR="009C041E" w:rsidRPr="00927238" w:rsidRDefault="00BA04D1" w:rsidP="00447D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0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329.507</w:t>
            </w:r>
            <w:r w:rsidR="00447D44" w:rsidRPr="00BA0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(205)</w:t>
            </w:r>
          </w:p>
        </w:tc>
      </w:tr>
      <w:tr w:rsidR="009C041E" w:rsidRPr="00B254FE" w14:paraId="68995C94" w14:textId="77777777" w:rsidTr="004F59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E061F13" w14:textId="48AD94D4" w:rsidR="009C041E" w:rsidRPr="00B81015" w:rsidRDefault="00937EF6" w:rsidP="004F5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="009C041E"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BE2F273" w14:textId="7FA26881" w:rsidR="009C041E" w:rsidRPr="00931BD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F0385C"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31BD5"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1C7BD163" w14:textId="7F8F3C3A" w:rsidR="009C041E" w:rsidRPr="00053B7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053B75"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51C91DD" w14:textId="575955C8" w:rsidR="009C041E" w:rsidRPr="00114F1E" w:rsidRDefault="00661E2D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3E08DC"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414AF64" w14:textId="2BD0CFF6" w:rsidR="009C041E" w:rsidRPr="0023452F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BA04D1"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9C041E" w:rsidRPr="00B254FE" w14:paraId="29FA237F" w14:textId="77777777" w:rsidTr="004F59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E817E05" w14:textId="0F34809C" w:rsidR="009C041E" w:rsidRPr="00B81015" w:rsidRDefault="00937EF6" w:rsidP="004F5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="009C041E"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CC6102" w14:textId="6D221359" w:rsidR="009C041E" w:rsidRPr="00931BD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931BD5"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3B23F60" w14:textId="114F6B70" w:rsidR="009C041E" w:rsidRPr="00053B7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053B75"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3621D0" w14:textId="539301CA" w:rsidR="009C041E" w:rsidRPr="00114F1E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114F1E"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FBBFD88" w14:textId="5A64FDBB" w:rsidR="009C041E" w:rsidRPr="0023452F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BA04D1"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C041E" w:rsidRPr="00B254FE" w14:paraId="2E31FAF3" w14:textId="77777777" w:rsidTr="004F59EE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C3097D9" w14:textId="77777777" w:rsidR="009C041E" w:rsidRPr="00B81015" w:rsidRDefault="009C041E" w:rsidP="004F5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RMSEA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F3E626E" w14:textId="0AFD9D1D" w:rsidR="009C041E" w:rsidRPr="00931BD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931BD5"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75306E1" w14:textId="27F68338" w:rsidR="009C041E" w:rsidRPr="00053B7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053B75"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73BB563" w14:textId="42961C65" w:rsidR="009C041E" w:rsidRPr="00114F1E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152A0B"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8AA7407" w14:textId="30E90B4E" w:rsidR="009C041E" w:rsidRPr="0023452F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A67D0D"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3452F"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C041E" w:rsidRPr="00B254FE" w14:paraId="25E9DFC8" w14:textId="77777777" w:rsidTr="003B546D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4FDEA" w14:textId="77777777" w:rsidR="009C041E" w:rsidRPr="00B81015" w:rsidRDefault="009C041E" w:rsidP="004F59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SRMR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DD857" w14:textId="049EBE7E" w:rsidR="009C041E" w:rsidRPr="00931BD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F0385C"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31BD5" w:rsidRPr="00931B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175BE" w14:textId="33B0CFDA" w:rsidR="009C041E" w:rsidRPr="00053B75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8C063A"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53B75" w:rsidRPr="00053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EE8D7" w14:textId="59C5BAC1" w:rsidR="009C041E" w:rsidRPr="00114F1E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114F1E" w:rsidRPr="00114F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772C0" w14:textId="4010FAD7" w:rsidR="009C041E" w:rsidRPr="0023452F" w:rsidRDefault="009C041E" w:rsidP="004F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A67D0D"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3452F" w:rsidRPr="002345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3B546D" w:rsidRPr="00B254FE" w14:paraId="24F7302C" w14:textId="77777777" w:rsidTr="003B546D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A314C" w14:textId="0944EE3E" w:rsidR="003B546D" w:rsidRDefault="003B546D" w:rsidP="003B5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CFI = Comparative Fit Index; TLI = Tucker-Lewis Index</w:t>
            </w:r>
          </w:p>
          <w:p w14:paraId="4AC5E536" w14:textId="43C1EF53" w:rsidR="003B546D" w:rsidRPr="00B254FE" w:rsidRDefault="003B546D" w:rsidP="003B54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Criteria for adequate fit: RMSEA ≤ 0.06; SRMR ≤ 0.08; CFI ≥ 0.9; TLI ≥ 0.9</w:t>
            </w:r>
          </w:p>
        </w:tc>
      </w:tr>
    </w:tbl>
    <w:p w14:paraId="6010BA61" w14:textId="236C99F8" w:rsidR="00C405A9" w:rsidRDefault="00C405A9" w:rsidP="00630DD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A45AD19" w14:textId="049F59FF" w:rsidR="002F38CC" w:rsidRDefault="002F38CC" w:rsidP="006D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C.1. </w:t>
      </w:r>
      <w:r>
        <w:rPr>
          <w:rFonts w:ascii="Times New Roman" w:hAnsi="Times New Roman" w:cs="Times New Roman"/>
          <w:sz w:val="24"/>
          <w:szCs w:val="24"/>
        </w:rPr>
        <w:t>CLPM results</w:t>
      </w:r>
      <w:r w:rsidR="00D21797">
        <w:rPr>
          <w:rFonts w:ascii="Times New Roman" w:hAnsi="Times New Roman" w:cs="Times New Roman"/>
          <w:sz w:val="24"/>
          <w:szCs w:val="24"/>
        </w:rPr>
        <w:t xml:space="preserve"> for sensory hyperreactivity</w:t>
      </w:r>
      <w:r>
        <w:rPr>
          <w:rFonts w:ascii="Times New Roman" w:hAnsi="Times New Roman" w:cs="Times New Roman"/>
          <w:sz w:val="24"/>
          <w:szCs w:val="24"/>
        </w:rPr>
        <w:t xml:space="preserve"> in males (</w:t>
      </w:r>
      <w:r w:rsidRPr="00617E19">
        <w:rPr>
          <w:rFonts w:ascii="Times New Roman" w:hAnsi="Times New Roman" w:cs="Times New Roman"/>
          <w:sz w:val="24"/>
          <w:szCs w:val="24"/>
        </w:rPr>
        <w:t>n = 13</w:t>
      </w:r>
      <w:r w:rsidR="00617E19" w:rsidRPr="00617E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532D999" w14:textId="25CA25B7" w:rsidR="00EE2DDB" w:rsidRDefault="0032035C" w:rsidP="00EE2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8620CA" wp14:editId="502E8658">
            <wp:extent cx="5907405" cy="1585570"/>
            <wp:effectExtent l="0" t="0" r="0" b="0"/>
            <wp:docPr id="1839089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102" cy="1601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A5958E" w14:textId="391134C2" w:rsidR="008D0A2F" w:rsidRPr="00D21797" w:rsidRDefault="00ED63C3" w:rsidP="00D2179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HY = hyperreactivity</w:t>
      </w:r>
    </w:p>
    <w:p w14:paraId="4B154C47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C54E5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87034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9C277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698DC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6306B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F92FE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83E0F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1BD25" w14:textId="77777777" w:rsidR="002C3E51" w:rsidRDefault="002C3E51" w:rsidP="006D78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FC009" w14:textId="1221951A" w:rsidR="006D7801" w:rsidRDefault="00ED63C3" w:rsidP="006D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C.2. </w:t>
      </w:r>
      <w:r>
        <w:rPr>
          <w:rFonts w:ascii="Times New Roman" w:hAnsi="Times New Roman" w:cs="Times New Roman"/>
          <w:sz w:val="24"/>
          <w:szCs w:val="24"/>
        </w:rPr>
        <w:t>CLPM results</w:t>
      </w:r>
      <w:r w:rsidR="00D21797">
        <w:rPr>
          <w:rFonts w:ascii="Times New Roman" w:hAnsi="Times New Roman" w:cs="Times New Roman"/>
          <w:sz w:val="24"/>
          <w:szCs w:val="24"/>
        </w:rPr>
        <w:t xml:space="preserve"> for sensory hyperreactivity</w:t>
      </w:r>
      <w:r>
        <w:rPr>
          <w:rFonts w:ascii="Times New Roman" w:hAnsi="Times New Roman" w:cs="Times New Roman"/>
          <w:sz w:val="24"/>
          <w:szCs w:val="24"/>
        </w:rPr>
        <w:t xml:space="preserve"> in females (</w:t>
      </w:r>
      <w:r w:rsidRPr="00A0092D">
        <w:rPr>
          <w:rFonts w:ascii="Times New Roman" w:hAnsi="Times New Roman" w:cs="Times New Roman"/>
          <w:sz w:val="24"/>
          <w:szCs w:val="24"/>
        </w:rPr>
        <w:t>n = 11</w:t>
      </w:r>
      <w:r w:rsidR="00A0092D" w:rsidRPr="00A009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35EA3DC" w14:textId="470B4EAC" w:rsidR="006D7801" w:rsidRDefault="0026385B" w:rsidP="006D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5A44ED" wp14:editId="02580DA5">
            <wp:extent cx="5900223" cy="1583643"/>
            <wp:effectExtent l="0" t="0" r="5715" b="0"/>
            <wp:docPr id="1861488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95" cy="15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5D009" w14:textId="4AF5D86E" w:rsidR="005361B6" w:rsidRDefault="006D7801" w:rsidP="005361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HY = hyperreactivity</w:t>
      </w:r>
    </w:p>
    <w:p w14:paraId="54D25A68" w14:textId="10770A4A" w:rsidR="005361B6" w:rsidRDefault="005361B6" w:rsidP="005361B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Hyporeactivity</w:t>
      </w:r>
    </w:p>
    <w:p w14:paraId="686B8853" w14:textId="002ED3D4" w:rsidR="001F3EC9" w:rsidRPr="001F3EC9" w:rsidRDefault="001F3EC9" w:rsidP="005361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invariance testing results for hyporeactivity</w:t>
      </w:r>
      <w:r w:rsidR="009C5D0A">
        <w:rPr>
          <w:rFonts w:ascii="Times New Roman" w:hAnsi="Times New Roman" w:cs="Times New Roman"/>
          <w:sz w:val="24"/>
          <w:szCs w:val="24"/>
        </w:rPr>
        <w:t xml:space="preserve"> were similar to </w:t>
      </w:r>
      <w:r w:rsidR="00313E80">
        <w:rPr>
          <w:rFonts w:ascii="Times New Roman" w:hAnsi="Times New Roman" w:cs="Times New Roman"/>
          <w:sz w:val="24"/>
          <w:szCs w:val="24"/>
        </w:rPr>
        <w:t>the full sample</w:t>
      </w:r>
      <w:r w:rsidR="00665547">
        <w:rPr>
          <w:rFonts w:ascii="Times New Roman" w:hAnsi="Times New Roman" w:cs="Times New Roman"/>
          <w:sz w:val="24"/>
          <w:szCs w:val="24"/>
        </w:rPr>
        <w:t xml:space="preserve"> (Table C.4)</w:t>
      </w:r>
      <w:r w:rsidR="00313E80">
        <w:rPr>
          <w:rFonts w:ascii="Times New Roman" w:hAnsi="Times New Roman" w:cs="Times New Roman"/>
          <w:sz w:val="24"/>
          <w:szCs w:val="24"/>
        </w:rPr>
        <w:t>, with one exception</w:t>
      </w:r>
      <w:r w:rsidR="00665547">
        <w:rPr>
          <w:rFonts w:ascii="Times New Roman" w:hAnsi="Times New Roman" w:cs="Times New Roman"/>
          <w:sz w:val="24"/>
          <w:szCs w:val="24"/>
        </w:rPr>
        <w:t>:</w:t>
      </w:r>
      <w:r w:rsidR="00313E80">
        <w:rPr>
          <w:rFonts w:ascii="Times New Roman" w:hAnsi="Times New Roman" w:cs="Times New Roman"/>
          <w:sz w:val="24"/>
          <w:szCs w:val="24"/>
        </w:rPr>
        <w:t xml:space="preserve"> </w:t>
      </w:r>
      <w:r w:rsidR="00665547">
        <w:rPr>
          <w:rFonts w:ascii="Times New Roman" w:hAnsi="Times New Roman" w:cs="Times New Roman"/>
          <w:sz w:val="24"/>
          <w:szCs w:val="24"/>
        </w:rPr>
        <w:t>t</w:t>
      </w:r>
      <w:r w:rsidR="00313E80">
        <w:rPr>
          <w:rFonts w:ascii="Times New Roman" w:hAnsi="Times New Roman" w:cs="Times New Roman"/>
          <w:sz w:val="24"/>
          <w:szCs w:val="24"/>
        </w:rPr>
        <w:t xml:space="preserve">he configural model demonstrated slightly better fit than the metric model </w:t>
      </w:r>
      <w:r w:rsidR="00902705">
        <w:rPr>
          <w:rFonts w:ascii="Times New Roman" w:hAnsi="Times New Roman" w:cs="Times New Roman"/>
          <w:sz w:val="24"/>
          <w:szCs w:val="24"/>
        </w:rPr>
        <w:t xml:space="preserve">according to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44287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02705">
        <w:rPr>
          <w:rFonts w:ascii="Times New Roman" w:hAnsi="Times New Roman" w:cs="Times New Roman"/>
          <w:sz w:val="24"/>
          <w:szCs w:val="24"/>
        </w:rPr>
        <w:t xml:space="preserve">test of difference in females (Table C.5). However, the metric model was still used </w:t>
      </w:r>
      <w:r w:rsidR="0044287B">
        <w:rPr>
          <w:rFonts w:ascii="Times New Roman" w:hAnsi="Times New Roman" w:cs="Times New Roman"/>
          <w:sz w:val="24"/>
          <w:szCs w:val="24"/>
        </w:rPr>
        <w:t xml:space="preserve">to maintain </w:t>
      </w:r>
      <w:r w:rsidR="00902705">
        <w:rPr>
          <w:rFonts w:ascii="Times New Roman" w:hAnsi="Times New Roman" w:cs="Times New Roman"/>
          <w:sz w:val="24"/>
          <w:szCs w:val="24"/>
        </w:rPr>
        <w:t>consistency</w:t>
      </w:r>
      <w:r w:rsidR="00995699">
        <w:rPr>
          <w:rFonts w:ascii="Times New Roman" w:hAnsi="Times New Roman" w:cs="Times New Roman"/>
          <w:sz w:val="24"/>
          <w:szCs w:val="24"/>
        </w:rPr>
        <w:t xml:space="preserve"> in analyses</w:t>
      </w:r>
      <w:r w:rsidR="00902705">
        <w:rPr>
          <w:rFonts w:ascii="Times New Roman" w:hAnsi="Times New Roman" w:cs="Times New Roman"/>
          <w:sz w:val="24"/>
          <w:szCs w:val="24"/>
        </w:rPr>
        <w:t xml:space="preserve"> across </w:t>
      </w:r>
      <w:r w:rsidR="00995699">
        <w:rPr>
          <w:rFonts w:ascii="Times New Roman" w:hAnsi="Times New Roman" w:cs="Times New Roman"/>
          <w:sz w:val="24"/>
          <w:szCs w:val="24"/>
        </w:rPr>
        <w:t>sexes.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883"/>
        <w:gridCol w:w="1883"/>
        <w:gridCol w:w="1883"/>
        <w:gridCol w:w="1883"/>
      </w:tblGrid>
      <w:tr w:rsidR="005361B6" w14:paraId="782A40CA" w14:textId="77777777" w:rsidTr="00C104D5">
        <w:tc>
          <w:tcPr>
            <w:tcW w:w="9090" w:type="dxa"/>
            <w:gridSpan w:val="5"/>
            <w:tcBorders>
              <w:top w:val="nil"/>
              <w:left w:val="nil"/>
              <w:right w:val="nil"/>
            </w:tcBorders>
          </w:tcPr>
          <w:p w14:paraId="0661FCC2" w14:textId="13B939F1" w:rsidR="005361B6" w:rsidRPr="006030D1" w:rsidRDefault="005361B6" w:rsidP="00C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C.</w:t>
            </w:r>
            <w:r w:rsidR="00F12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Invariance testing scaled fit statistics compared to a baseline, unconstrained model</w:t>
            </w:r>
            <w:r w:rsidR="00203C58">
              <w:rPr>
                <w:rFonts w:ascii="Times New Roman" w:hAnsi="Times New Roman" w:cs="Times New Roman"/>
                <w:sz w:val="24"/>
                <w:szCs w:val="24"/>
              </w:rPr>
              <w:t xml:space="preserve"> for sensory hyporeactivity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61B6" w14:paraId="3B603D13" w14:textId="77777777" w:rsidTr="00C104D5">
        <w:tc>
          <w:tcPr>
            <w:tcW w:w="1558" w:type="dxa"/>
            <w:tcBorders>
              <w:left w:val="nil"/>
              <w:right w:val="nil"/>
            </w:tcBorders>
          </w:tcPr>
          <w:p w14:paraId="08048CEF" w14:textId="77777777" w:rsidR="005361B6" w:rsidRDefault="005361B6" w:rsidP="00C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319F5091" w14:textId="77777777" w:rsidR="005361B6" w:rsidRPr="00AC461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2 </w:t>
            </w: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(df)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47E296CE" w14:textId="77777777" w:rsidR="005361B6" w:rsidRPr="00AC461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CFI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5AC0254A" w14:textId="77777777" w:rsidR="005361B6" w:rsidRPr="00AC461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TLI</w:t>
            </w: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18637A87" w14:textId="77777777" w:rsidR="005361B6" w:rsidRPr="00AC461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AIC</w:t>
            </w:r>
          </w:p>
        </w:tc>
      </w:tr>
      <w:tr w:rsidR="005361B6" w14:paraId="6F9D5F54" w14:textId="77777777" w:rsidTr="00C104D5">
        <w:tc>
          <w:tcPr>
            <w:tcW w:w="9090" w:type="dxa"/>
            <w:gridSpan w:val="5"/>
            <w:tcBorders>
              <w:left w:val="nil"/>
              <w:right w:val="nil"/>
            </w:tcBorders>
          </w:tcPr>
          <w:p w14:paraId="7613C5EF" w14:textId="77777777" w:rsidR="005361B6" w:rsidRPr="009B4A62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</w:tr>
      <w:tr w:rsidR="005361B6" w14:paraId="5023336D" w14:textId="77777777" w:rsidTr="00C104D5"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035EFCF3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Configural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6E1AAB40" w14:textId="10A92FC9" w:rsidR="005361B6" w:rsidRPr="00C02EAC" w:rsidRDefault="00EB5BE2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C">
              <w:rPr>
                <w:rFonts w:ascii="Times New Roman" w:hAnsi="Times New Roman" w:cs="Times New Roman"/>
                <w:sz w:val="24"/>
                <w:szCs w:val="24"/>
              </w:rPr>
              <w:t>438.158</w:t>
            </w:r>
            <w:r w:rsidR="005361B6" w:rsidRPr="00C02E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2EAC" w:rsidRPr="00C02EA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5361B6" w:rsidRPr="00C02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1028A034" w14:textId="64D28CB3" w:rsidR="005361B6" w:rsidRPr="00C02EAC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02EAC" w:rsidRPr="00C02EA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1969860" w14:textId="6E3B16BE" w:rsidR="005361B6" w:rsidRPr="00C02EAC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C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C02EAC" w:rsidRPr="00C02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960582C" w14:textId="43657B51" w:rsidR="005361B6" w:rsidRPr="00C02EAC" w:rsidRDefault="00C02EAC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C">
              <w:rPr>
                <w:rFonts w:ascii="Times New Roman" w:hAnsi="Times New Roman" w:cs="Times New Roman"/>
                <w:sz w:val="24"/>
                <w:szCs w:val="24"/>
              </w:rPr>
              <w:t>10699.892</w:t>
            </w:r>
          </w:p>
        </w:tc>
      </w:tr>
      <w:tr w:rsidR="005361B6" w14:paraId="43A8F064" w14:textId="77777777" w:rsidTr="00C104D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7178BEB7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0395A08" w14:textId="0F654242" w:rsidR="005361B6" w:rsidRPr="005126D8" w:rsidRDefault="00DC775F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D8">
              <w:rPr>
                <w:rFonts w:ascii="Times New Roman" w:hAnsi="Times New Roman" w:cs="Times New Roman"/>
                <w:sz w:val="24"/>
                <w:szCs w:val="24"/>
              </w:rPr>
              <w:t>455.773</w:t>
            </w:r>
            <w:r w:rsidR="005361B6" w:rsidRPr="005126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126D8" w:rsidRPr="005126D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5361B6" w:rsidRPr="005126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33FBFF1" w14:textId="627C465F" w:rsidR="005361B6" w:rsidRPr="005126D8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D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5126D8" w:rsidRPr="00512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FB374FD" w14:textId="49F43A26" w:rsidR="005361B6" w:rsidRPr="005126D8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D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5126D8" w:rsidRPr="005126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29BF23D" w14:textId="5C916BE6" w:rsidR="005361B6" w:rsidRPr="005126D8" w:rsidRDefault="005126D8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D8">
              <w:rPr>
                <w:rFonts w:ascii="Times New Roman" w:hAnsi="Times New Roman" w:cs="Times New Roman"/>
                <w:sz w:val="24"/>
                <w:szCs w:val="24"/>
              </w:rPr>
              <w:t>10692.312</w:t>
            </w:r>
          </w:p>
        </w:tc>
      </w:tr>
      <w:tr w:rsidR="005361B6" w14:paraId="64E5C18B" w14:textId="77777777" w:rsidTr="00C104D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31B0B30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Scalar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F8908A0" w14:textId="0996124A" w:rsidR="005361B6" w:rsidRPr="00212BD8" w:rsidRDefault="0035740B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D8">
              <w:rPr>
                <w:rFonts w:ascii="Times New Roman" w:hAnsi="Times New Roman" w:cs="Times New Roman"/>
                <w:sz w:val="24"/>
                <w:szCs w:val="24"/>
              </w:rPr>
              <w:t>548.192</w:t>
            </w:r>
            <w:r w:rsidR="005361B6" w:rsidRPr="00212B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12BD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5361B6" w:rsidRPr="00212B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71CDA4F" w14:textId="3C51AE27" w:rsidR="005361B6" w:rsidRPr="00212BD8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D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35740B" w:rsidRPr="0021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38EFF007" w14:textId="77777777" w:rsidR="005361B6" w:rsidRPr="00212BD8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D8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7D80286" w14:textId="1CC560D0" w:rsidR="005361B6" w:rsidRPr="00212BD8" w:rsidRDefault="00212BD8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BD8">
              <w:rPr>
                <w:rFonts w:ascii="Times New Roman" w:hAnsi="Times New Roman" w:cs="Times New Roman"/>
                <w:sz w:val="24"/>
                <w:szCs w:val="24"/>
              </w:rPr>
              <w:t>10763.661</w:t>
            </w:r>
          </w:p>
        </w:tc>
      </w:tr>
      <w:tr w:rsidR="005361B6" w14:paraId="3D5840D3" w14:textId="77777777" w:rsidTr="00D56B4F"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5D3EDCCB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Residual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A935C8" w14:textId="744F5417" w:rsidR="005361B6" w:rsidRPr="00D56B4F" w:rsidRDefault="009321CF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4F">
              <w:rPr>
                <w:rFonts w:ascii="Times New Roman" w:hAnsi="Times New Roman" w:cs="Times New Roman"/>
                <w:sz w:val="24"/>
                <w:szCs w:val="24"/>
              </w:rPr>
              <w:t>565.199 (275)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98111EC" w14:textId="6F186BEB" w:rsidR="005361B6" w:rsidRPr="00D56B4F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4F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9321CF" w:rsidRPr="00D56B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996386" w14:textId="39E7B7FB" w:rsidR="005361B6" w:rsidRPr="00D56B4F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4F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9321CF" w:rsidRPr="00D56B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28BEEE3" w14:textId="7ECDCD03" w:rsidR="005361B6" w:rsidRPr="00D56B4F" w:rsidRDefault="009321CF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4F">
              <w:rPr>
                <w:rFonts w:ascii="Times New Roman" w:hAnsi="Times New Roman" w:cs="Times New Roman"/>
                <w:sz w:val="24"/>
                <w:szCs w:val="24"/>
              </w:rPr>
              <w:t>10754.</w:t>
            </w:r>
            <w:r w:rsidR="00D56B4F" w:rsidRPr="00D56B4F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5361B6" w14:paraId="231AC88C" w14:textId="77777777" w:rsidTr="00C104D5">
        <w:tc>
          <w:tcPr>
            <w:tcW w:w="9090" w:type="dxa"/>
            <w:gridSpan w:val="5"/>
            <w:tcBorders>
              <w:left w:val="nil"/>
              <w:right w:val="nil"/>
            </w:tcBorders>
          </w:tcPr>
          <w:p w14:paraId="7DBBA7A1" w14:textId="77777777" w:rsidR="005361B6" w:rsidRPr="009B4A62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</w:tr>
      <w:tr w:rsidR="005361B6" w14:paraId="54E478F3" w14:textId="77777777" w:rsidTr="00C104D5"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558C5C7A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Configural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4C4A850" w14:textId="67698771" w:rsidR="005361B6" w:rsidRPr="00927238" w:rsidRDefault="00436092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6092">
              <w:rPr>
                <w:rFonts w:ascii="Times New Roman" w:hAnsi="Times New Roman" w:cs="Times New Roman"/>
                <w:sz w:val="24"/>
                <w:szCs w:val="24"/>
              </w:rPr>
              <w:t>405.184</w:t>
            </w:r>
            <w:r w:rsidR="005361B6" w:rsidRPr="004360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360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361B6" w:rsidRPr="00436092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0779BF6F" w14:textId="0BFAAF15" w:rsidR="005361B6" w:rsidRPr="00CD07E3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E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CD07E3" w:rsidRPr="00CD07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64B1CBE8" w14:textId="75C057D4" w:rsidR="005361B6" w:rsidRPr="00CD07E3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E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D07E3" w:rsidRPr="00CD07E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83" w:type="dxa"/>
            <w:tcBorders>
              <w:left w:val="nil"/>
              <w:bottom w:val="nil"/>
              <w:right w:val="nil"/>
            </w:tcBorders>
          </w:tcPr>
          <w:p w14:paraId="13E8612B" w14:textId="246447A2" w:rsidR="005361B6" w:rsidRPr="00CD07E3" w:rsidRDefault="00CD07E3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E3">
              <w:rPr>
                <w:rFonts w:ascii="Times New Roman" w:hAnsi="Times New Roman" w:cs="Times New Roman"/>
                <w:sz w:val="24"/>
                <w:szCs w:val="24"/>
              </w:rPr>
              <w:t>9379.613</w:t>
            </w:r>
          </w:p>
        </w:tc>
      </w:tr>
      <w:tr w:rsidR="005361B6" w14:paraId="0C8ADBCD" w14:textId="77777777" w:rsidTr="00C104D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C00E34F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291D3028" w14:textId="11B1A11B" w:rsidR="005361B6" w:rsidRPr="001B347D" w:rsidRDefault="001B347D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47D">
              <w:rPr>
                <w:rFonts w:ascii="Times New Roman" w:hAnsi="Times New Roman" w:cs="Times New Roman"/>
                <w:sz w:val="24"/>
                <w:szCs w:val="24"/>
              </w:rPr>
              <w:t>427.558</w:t>
            </w:r>
            <w:r w:rsidR="005361B6" w:rsidRPr="001B34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B347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5361B6" w:rsidRPr="001B34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FCD3BEE" w14:textId="14E4024C" w:rsidR="005361B6" w:rsidRPr="00DC7883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83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="001B347D" w:rsidRPr="00DC7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F810BA6" w14:textId="4943B52D" w:rsidR="005361B6" w:rsidRPr="00DC7883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83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C7883" w:rsidRPr="00DC788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74A8D89C" w14:textId="4C9516AF" w:rsidR="005361B6" w:rsidRPr="00DC7883" w:rsidRDefault="00DC7883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883">
              <w:rPr>
                <w:rFonts w:ascii="Times New Roman" w:hAnsi="Times New Roman" w:cs="Times New Roman"/>
                <w:sz w:val="24"/>
                <w:szCs w:val="24"/>
              </w:rPr>
              <w:t>9376.742</w:t>
            </w:r>
          </w:p>
        </w:tc>
      </w:tr>
      <w:tr w:rsidR="005361B6" w14:paraId="32EE01F5" w14:textId="77777777" w:rsidTr="00C104D5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61EF627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Scalar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2CD6163A" w14:textId="47695E4E" w:rsidR="005361B6" w:rsidRPr="00927238" w:rsidRDefault="003800CB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264C">
              <w:rPr>
                <w:rFonts w:ascii="Times New Roman" w:hAnsi="Times New Roman" w:cs="Times New Roman"/>
                <w:sz w:val="24"/>
                <w:szCs w:val="24"/>
              </w:rPr>
              <w:t>484.084</w:t>
            </w:r>
            <w:r w:rsidR="005361B6" w:rsidRPr="002F26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264C" w:rsidRPr="002F264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5361B6" w:rsidRPr="002F2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2C1F83AA" w14:textId="7E015D57" w:rsidR="005361B6" w:rsidRPr="002F264C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4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F264C" w:rsidRPr="002F264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500AED5E" w14:textId="26B4A9E0" w:rsidR="005361B6" w:rsidRPr="002F264C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4C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2F264C" w:rsidRPr="002F26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4E411C78" w14:textId="60980C2E" w:rsidR="005361B6" w:rsidRPr="00927238" w:rsidRDefault="002F264C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621F">
              <w:rPr>
                <w:rFonts w:ascii="Times New Roman" w:hAnsi="Times New Roman" w:cs="Times New Roman"/>
                <w:sz w:val="24"/>
                <w:szCs w:val="24"/>
              </w:rPr>
              <w:t>9410</w:t>
            </w:r>
            <w:r w:rsidR="0085621F" w:rsidRPr="0085621F"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</w:tc>
      </w:tr>
      <w:tr w:rsidR="005361B6" w14:paraId="16779D3F" w14:textId="77777777" w:rsidTr="00C104D5"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DF017" w14:textId="77777777" w:rsidR="005361B6" w:rsidRPr="00542D02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Residual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08543" w14:textId="7633417C" w:rsidR="005361B6" w:rsidRPr="001E7C5A" w:rsidRDefault="001E7C5A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5A">
              <w:rPr>
                <w:rFonts w:ascii="Times New Roman" w:hAnsi="Times New Roman" w:cs="Times New Roman"/>
                <w:sz w:val="24"/>
                <w:szCs w:val="24"/>
              </w:rPr>
              <w:t>542.712</w:t>
            </w:r>
            <w:r w:rsidR="005361B6" w:rsidRPr="001E7C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E7C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5361B6" w:rsidRPr="001E7C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52C30" w14:textId="77777777" w:rsidR="005361B6" w:rsidRPr="001E7C5A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5A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D06E6" w14:textId="77777777" w:rsidR="005361B6" w:rsidRPr="001E7C5A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5A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EA11C" w14:textId="52CAED75" w:rsidR="005361B6" w:rsidRPr="001E7C5A" w:rsidRDefault="001E7C5A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5A">
              <w:rPr>
                <w:rFonts w:ascii="Times New Roman" w:hAnsi="Times New Roman" w:cs="Times New Roman"/>
                <w:sz w:val="24"/>
                <w:szCs w:val="24"/>
              </w:rPr>
              <w:t>9447.472</w:t>
            </w:r>
          </w:p>
        </w:tc>
      </w:tr>
      <w:tr w:rsidR="005361B6" w14:paraId="23C9414C" w14:textId="77777777" w:rsidTr="00C104D5">
        <w:tc>
          <w:tcPr>
            <w:tcW w:w="9090" w:type="dxa"/>
            <w:gridSpan w:val="5"/>
            <w:tcBorders>
              <w:left w:val="nil"/>
              <w:bottom w:val="nil"/>
              <w:right w:val="nil"/>
            </w:tcBorders>
          </w:tcPr>
          <w:p w14:paraId="05D826EC" w14:textId="77777777" w:rsidR="005361B6" w:rsidRDefault="005361B6" w:rsidP="00C10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CFI = Comparative Fit Index; TLI = Tucker-Lewis Index; AIC = Aikake Information Criterion</w:t>
            </w:r>
          </w:p>
          <w:p w14:paraId="5059E594" w14:textId="77777777" w:rsidR="005361B6" w:rsidRPr="00DB4EBD" w:rsidRDefault="005361B6" w:rsidP="00C10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Criteria for adequate fit: CFI ≥ 0.9; TLI ≥ 0.9</w:t>
            </w:r>
          </w:p>
        </w:tc>
      </w:tr>
    </w:tbl>
    <w:p w14:paraId="7ADAD4FA" w14:textId="77777777" w:rsidR="005361B6" w:rsidRPr="003C622A" w:rsidRDefault="005361B6" w:rsidP="005361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361B6" w14:paraId="27A9C63A" w14:textId="77777777" w:rsidTr="00C104D5">
        <w:tc>
          <w:tcPr>
            <w:tcW w:w="9350" w:type="dxa"/>
            <w:gridSpan w:val="3"/>
            <w:tcBorders>
              <w:top w:val="nil"/>
              <w:left w:val="nil"/>
              <w:right w:val="nil"/>
            </w:tcBorders>
          </w:tcPr>
          <w:p w14:paraId="382968E4" w14:textId="5996F411" w:rsidR="005361B6" w:rsidRPr="000F1B48" w:rsidRDefault="005361B6" w:rsidP="00C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C.</w:t>
            </w:r>
            <w:r w:rsidR="00F12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Pairwise ANOVA results for test of χ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differences across </w:t>
            </w:r>
            <w:r w:rsidR="00655973">
              <w:rPr>
                <w:rFonts w:ascii="Times New Roman" w:hAnsi="Times New Roman" w:cs="Times New Roman"/>
                <w:sz w:val="24"/>
                <w:szCs w:val="24"/>
              </w:rPr>
              <w:t xml:space="preserve">hyporeactivity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models.</w:t>
            </w:r>
          </w:p>
        </w:tc>
      </w:tr>
      <w:tr w:rsidR="005361B6" w14:paraId="5DB1E180" w14:textId="77777777" w:rsidTr="00C104D5"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14:paraId="372658EA" w14:textId="77777777" w:rsidR="005361B6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  <w:gridSpan w:val="2"/>
            <w:tcBorders>
              <w:left w:val="nil"/>
              <w:bottom w:val="nil"/>
              <w:right w:val="nil"/>
            </w:tcBorders>
          </w:tcPr>
          <w:p w14:paraId="552DEB8A" w14:textId="77777777" w:rsidR="005361B6" w:rsidRPr="00E5159E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Difference (</w:t>
            </w:r>
            <w:r w:rsidRPr="00E515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361B6" w14:paraId="0242A520" w14:textId="77777777" w:rsidTr="00C104D5">
        <w:tc>
          <w:tcPr>
            <w:tcW w:w="3116" w:type="dxa"/>
            <w:tcBorders>
              <w:top w:val="nil"/>
              <w:left w:val="nil"/>
              <w:right w:val="nil"/>
            </w:tcBorders>
          </w:tcPr>
          <w:p w14:paraId="0C24D993" w14:textId="77777777" w:rsidR="005361B6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7CBB895B" w14:textId="77777777" w:rsidR="005361B6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419167A9" w14:textId="77777777" w:rsidR="005361B6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</w:tr>
      <w:tr w:rsidR="005361B6" w14:paraId="00F5E773" w14:textId="77777777" w:rsidTr="00C104D5"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14:paraId="51C57139" w14:textId="77777777" w:rsidR="005361B6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Configural vs. Metric</w:t>
            </w: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1E95852F" w14:textId="26C4DD99" w:rsidR="005361B6" w:rsidRPr="00927238" w:rsidRDefault="00E719BF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19BF">
              <w:rPr>
                <w:rFonts w:ascii="Times New Roman" w:hAnsi="Times New Roman" w:cs="Times New Roman"/>
                <w:sz w:val="24"/>
                <w:szCs w:val="24"/>
              </w:rPr>
              <w:t>17.14</w:t>
            </w:r>
            <w:r w:rsidR="005361B6" w:rsidRPr="00E719BF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r w:rsidRPr="00E719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61B6" w:rsidRPr="00E719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69230EA6" w14:textId="21D4654D" w:rsidR="005361B6" w:rsidRPr="00927238" w:rsidRDefault="007F5B5B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5B5B">
              <w:rPr>
                <w:rFonts w:ascii="Times New Roman" w:hAnsi="Times New Roman" w:cs="Times New Roman"/>
                <w:sz w:val="24"/>
                <w:szCs w:val="24"/>
              </w:rPr>
              <w:t>22.60</w:t>
            </w:r>
            <w:r w:rsidR="005361B6" w:rsidRPr="007F5B5B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r w:rsidRPr="007F5B5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361B6" w:rsidRPr="007F5B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61B6" w14:paraId="6E026FBE" w14:textId="77777777" w:rsidTr="00C104D5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4BCE4E4" w14:textId="77777777" w:rsidR="005361B6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 vs. Scalar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0DA5EEED" w14:textId="39359E7D" w:rsidR="005361B6" w:rsidRPr="00024BA6" w:rsidRDefault="00024BA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6">
              <w:rPr>
                <w:rFonts w:ascii="Times New Roman" w:hAnsi="Times New Roman" w:cs="Times New Roman"/>
                <w:sz w:val="24"/>
                <w:szCs w:val="24"/>
              </w:rPr>
              <w:t>100.66</w:t>
            </w:r>
            <w:r w:rsidR="005361B6" w:rsidRPr="00024B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4BA6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  <w:r w:rsidR="005361B6" w:rsidRPr="00024B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1CBAEEC" w14:textId="640657BE" w:rsidR="005361B6" w:rsidRPr="005223D9" w:rsidRDefault="007C5804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D9">
              <w:rPr>
                <w:rFonts w:ascii="Times New Roman" w:hAnsi="Times New Roman" w:cs="Times New Roman"/>
                <w:sz w:val="24"/>
                <w:szCs w:val="24"/>
              </w:rPr>
              <w:t>58.70</w:t>
            </w:r>
            <w:r w:rsidR="005361B6" w:rsidRPr="005223D9">
              <w:rPr>
                <w:rFonts w:ascii="Times New Roman" w:hAnsi="Times New Roman" w:cs="Times New Roman"/>
                <w:sz w:val="24"/>
                <w:szCs w:val="24"/>
              </w:rPr>
              <w:t xml:space="preserve"> (&lt;.001)</w:t>
            </w:r>
          </w:p>
        </w:tc>
      </w:tr>
      <w:tr w:rsidR="005361B6" w14:paraId="5CC7982C" w14:textId="77777777" w:rsidTr="00C104D5">
        <w:tc>
          <w:tcPr>
            <w:tcW w:w="3116" w:type="dxa"/>
            <w:tcBorders>
              <w:top w:val="nil"/>
              <w:left w:val="nil"/>
              <w:right w:val="nil"/>
            </w:tcBorders>
          </w:tcPr>
          <w:p w14:paraId="6E85CE52" w14:textId="77777777" w:rsidR="005361B6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Scalar vs. Residual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1E491B33" w14:textId="6623B672" w:rsidR="005361B6" w:rsidRPr="00024BA6" w:rsidRDefault="00024BA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A6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5361B6" w:rsidRPr="00024BA6">
              <w:rPr>
                <w:rFonts w:ascii="Times New Roman" w:hAnsi="Times New Roman" w:cs="Times New Roman"/>
                <w:sz w:val="24"/>
                <w:szCs w:val="24"/>
              </w:rPr>
              <w:t xml:space="preserve"> (.1</w:t>
            </w:r>
            <w:r w:rsidRPr="00024B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61B6" w:rsidRPr="00024B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</w:tcPr>
          <w:p w14:paraId="75A52D4B" w14:textId="5FA53192" w:rsidR="005361B6" w:rsidRPr="005223D9" w:rsidRDefault="005223D9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D9">
              <w:rPr>
                <w:rFonts w:ascii="Times New Roman" w:hAnsi="Times New Roman" w:cs="Times New Roman"/>
                <w:sz w:val="24"/>
                <w:szCs w:val="24"/>
              </w:rPr>
              <w:t>57.56</w:t>
            </w:r>
            <w:r w:rsidR="005361B6" w:rsidRPr="005223D9">
              <w:rPr>
                <w:rFonts w:ascii="Times New Roman" w:hAnsi="Times New Roman" w:cs="Times New Roman"/>
                <w:sz w:val="24"/>
                <w:szCs w:val="24"/>
              </w:rPr>
              <w:t xml:space="preserve"> (.12)</w:t>
            </w:r>
          </w:p>
        </w:tc>
      </w:tr>
    </w:tbl>
    <w:p w14:paraId="3F99C258" w14:textId="77777777" w:rsidR="005361B6" w:rsidRDefault="005361B6" w:rsidP="005361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AD97D7" w14:textId="617AB349" w:rsidR="00340855" w:rsidRDefault="00D90D44" w:rsidP="005361B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Sensory hypo</w:t>
      </w:r>
      <w:r w:rsidR="004F5027">
        <w:rPr>
          <w:rFonts w:ascii="Times New Roman" w:hAnsi="Times New Roman" w:cs="Times New Roman"/>
          <w:sz w:val="24"/>
          <w:szCs w:val="24"/>
        </w:rPr>
        <w:t xml:space="preserve">reactivity models demonstrated better fit in females than males (Table C.6). </w:t>
      </w:r>
      <w:r w:rsidR="00534E8C">
        <w:rPr>
          <w:rFonts w:ascii="Times New Roman" w:hAnsi="Times New Roman" w:cs="Times New Roman"/>
          <w:sz w:val="24"/>
          <w:szCs w:val="24"/>
        </w:rPr>
        <w:t xml:space="preserve">Similar results were observed in both males and females, and </w:t>
      </w:r>
      <w:r w:rsidR="00127E50">
        <w:rPr>
          <w:rFonts w:ascii="Times New Roman" w:hAnsi="Times New Roman" w:cs="Times New Roman"/>
          <w:sz w:val="24"/>
          <w:szCs w:val="24"/>
        </w:rPr>
        <w:t>patterns mirrored those observed in the full sample</w:t>
      </w:r>
      <w:r w:rsidR="002C3E51">
        <w:rPr>
          <w:rFonts w:ascii="Times New Roman" w:hAnsi="Times New Roman" w:cs="Times New Roman"/>
          <w:sz w:val="24"/>
          <w:szCs w:val="24"/>
        </w:rPr>
        <w:t xml:space="preserve"> (see Figures C.3 and C.4)</w:t>
      </w:r>
      <w:r w:rsidR="00127E50">
        <w:rPr>
          <w:rFonts w:ascii="Times New Roman" w:hAnsi="Times New Roman" w:cs="Times New Roman"/>
          <w:sz w:val="24"/>
          <w:szCs w:val="24"/>
        </w:rPr>
        <w:t xml:space="preserve">. Due to smaller sample sizes, the autoregressive effects between hyporeactivity at 6 months and maternal sensitivity at 12 months did not reach </w:t>
      </w:r>
      <w:r w:rsidR="0044287B">
        <w:rPr>
          <w:rFonts w:ascii="Times New Roman" w:hAnsi="Times New Roman" w:cs="Times New Roman"/>
          <w:sz w:val="24"/>
          <w:szCs w:val="24"/>
        </w:rPr>
        <w:t xml:space="preserve">the threshold </w:t>
      </w:r>
      <w:r w:rsidR="00127E50">
        <w:rPr>
          <w:rFonts w:ascii="Times New Roman" w:hAnsi="Times New Roman" w:cs="Times New Roman"/>
          <w:sz w:val="24"/>
          <w:szCs w:val="24"/>
        </w:rPr>
        <w:t xml:space="preserve">for statistical significance but were similar in size to </w:t>
      </w:r>
      <w:r w:rsidR="001F39E5">
        <w:rPr>
          <w:rFonts w:ascii="Times New Roman" w:hAnsi="Times New Roman" w:cs="Times New Roman"/>
          <w:sz w:val="24"/>
          <w:szCs w:val="24"/>
        </w:rPr>
        <w:t>the effects observed in the full sample.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361B6" w:rsidRPr="00820264" w14:paraId="49DDD8BF" w14:textId="77777777" w:rsidTr="00C104D5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</w:tcPr>
          <w:p w14:paraId="0E3CB44E" w14:textId="356E0A20" w:rsidR="005361B6" w:rsidRPr="00820264" w:rsidRDefault="005361B6" w:rsidP="00C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C.</w:t>
            </w:r>
            <w:r w:rsidR="00F12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CLPM fit indices across </w:t>
            </w:r>
            <w:r w:rsidR="00655973">
              <w:rPr>
                <w:rFonts w:ascii="Times New Roman" w:hAnsi="Times New Roman" w:cs="Times New Roman"/>
                <w:sz w:val="24"/>
                <w:szCs w:val="24"/>
              </w:rPr>
              <w:t xml:space="preserve">hyporeactivity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models.</w:t>
            </w:r>
          </w:p>
        </w:tc>
      </w:tr>
      <w:tr w:rsidR="005361B6" w:rsidRPr="00444F9E" w14:paraId="65C740E7" w14:textId="77777777" w:rsidTr="00C104D5"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5ED0EB01" w14:textId="77777777" w:rsidR="005361B6" w:rsidRDefault="005361B6" w:rsidP="00C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nil"/>
            </w:tcBorders>
          </w:tcPr>
          <w:p w14:paraId="0FD47A7B" w14:textId="77777777" w:rsidR="005361B6" w:rsidRPr="00444F9E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</w:t>
            </w:r>
          </w:p>
        </w:tc>
        <w:tc>
          <w:tcPr>
            <w:tcW w:w="3740" w:type="dxa"/>
            <w:gridSpan w:val="2"/>
            <w:tcBorders>
              <w:left w:val="nil"/>
              <w:bottom w:val="nil"/>
              <w:right w:val="nil"/>
            </w:tcBorders>
          </w:tcPr>
          <w:p w14:paraId="656B707C" w14:textId="77777777" w:rsidR="005361B6" w:rsidRPr="00444F9E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</w:t>
            </w:r>
          </w:p>
        </w:tc>
      </w:tr>
      <w:tr w:rsidR="005361B6" w:rsidRPr="00C51648" w14:paraId="1C19428A" w14:textId="77777777" w:rsidTr="00C104D5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1C16D" w14:textId="77777777" w:rsidR="005361B6" w:rsidRDefault="005361B6" w:rsidP="00C1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62E77" w14:textId="77777777" w:rsidR="005361B6" w:rsidRPr="00C5164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16A17" w14:textId="77777777" w:rsidR="005361B6" w:rsidRPr="00C5164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Intrusiveness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FCC8C" w14:textId="77777777" w:rsidR="005361B6" w:rsidRPr="00C5164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Sensitivity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E8AE" w14:textId="77777777" w:rsidR="005361B6" w:rsidRPr="00C51648" w:rsidRDefault="005361B6" w:rsidP="00C1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Intrusiveness</w:t>
            </w:r>
          </w:p>
        </w:tc>
      </w:tr>
      <w:tr w:rsidR="005361B6" w:rsidRPr="00374CDE" w14:paraId="5BBBE251" w14:textId="77777777" w:rsidTr="00C104D5"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A6E1E" w14:textId="77777777" w:rsidR="005361B6" w:rsidRDefault="005361B6" w:rsidP="00C1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</w:t>
            </w: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(df)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F4166" w14:textId="0F597711" w:rsidR="005361B6" w:rsidRPr="00374CDE" w:rsidRDefault="00792201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533.792</w:t>
            </w:r>
            <w:r w:rsidR="005361B6" w:rsidRPr="00374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361B6" w:rsidRPr="00374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CD15A" w14:textId="4A9EC029" w:rsidR="005361B6" w:rsidRPr="00374CDE" w:rsidRDefault="003001A4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556.524</w:t>
            </w:r>
            <w:r w:rsidR="005361B6" w:rsidRPr="00374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</w:t>
            </w:r>
            <w:r w:rsidR="0092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361B6" w:rsidRPr="00374C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847BB" w14:textId="7D5F5318" w:rsidR="005361B6" w:rsidRPr="00921E1B" w:rsidRDefault="005262E0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</w:t>
            </w:r>
            <w:r w:rsidR="00921E1B" w:rsidRPr="0092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.827</w:t>
            </w:r>
            <w:r w:rsidR="005361B6" w:rsidRPr="0092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</w:t>
            </w:r>
            <w:r w:rsidR="00921E1B" w:rsidRPr="0092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361B6" w:rsidRPr="00921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4A933" w14:textId="1DBD3369" w:rsidR="005361B6" w:rsidRPr="005C53AC" w:rsidRDefault="005C53AC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485.847</w:t>
            </w:r>
            <w:r w:rsidR="005361B6" w:rsidRPr="005C5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</w:t>
            </w:r>
            <w:r w:rsidRPr="005C5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361B6" w:rsidRPr="005C5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</w:p>
        </w:tc>
      </w:tr>
      <w:tr w:rsidR="005361B6" w:rsidRPr="00B254FE" w14:paraId="169C1A44" w14:textId="77777777" w:rsidTr="00C104D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1E620A1" w14:textId="77777777" w:rsidR="005361B6" w:rsidRPr="00B81015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47EAD37" w14:textId="15E6CD0F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9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AC7B99A" w14:textId="2BF5EA27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650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B27F947" w14:textId="22AA60B6" w:rsidR="005361B6" w:rsidRPr="009E4B9D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921E1B"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792D257" w14:textId="4D5736C3" w:rsidR="005361B6" w:rsidRPr="00A56D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</w:t>
            </w:r>
            <w:r w:rsidR="006958B3"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361B6" w:rsidRPr="00B254FE" w14:paraId="28C6410B" w14:textId="77777777" w:rsidTr="00C104D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DA86131" w14:textId="77777777" w:rsidR="005361B6" w:rsidRPr="00B81015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Robust </w:t>
            </w: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FA5815F" w14:textId="3384647A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</w:t>
            </w:r>
            <w:r w:rsidR="0079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B60FAFE" w14:textId="1F2293B2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650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6289C82D" w14:textId="33E0EA05" w:rsidR="005361B6" w:rsidRPr="009E4B9D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921E1B"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AD14162" w14:textId="1C1A6CC1" w:rsidR="005361B6" w:rsidRPr="00A56D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6958B3"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5361B6" w:rsidRPr="00B254FE" w14:paraId="472D59F3" w14:textId="77777777" w:rsidTr="00C104D5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8BA00D0" w14:textId="77777777" w:rsidR="005361B6" w:rsidRPr="00B81015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RMSEA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2BDFFC7" w14:textId="7C23995D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79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E0A7BC9" w14:textId="04B9121C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</w:t>
            </w:r>
            <w:r w:rsidR="00650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733BD004" w14:textId="531D8295" w:rsidR="005361B6" w:rsidRPr="009E4B9D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  <w:r w:rsidR="00921E1B"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8A82F59" w14:textId="5749221C" w:rsidR="005361B6" w:rsidRPr="00A56D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  <w:r w:rsidR="00A56DFE"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361B6" w:rsidRPr="00B254FE" w14:paraId="04556672" w14:textId="77777777" w:rsidTr="00C104D5"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09958" w14:textId="77777777" w:rsidR="005361B6" w:rsidRPr="00B81015" w:rsidRDefault="005361B6" w:rsidP="00C10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SRMR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7852F" w14:textId="5B0FE7A3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922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D2919" w14:textId="12139361" w:rsidR="005361B6" w:rsidRPr="00B254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="00650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E99CB" w14:textId="375C7752" w:rsidR="005361B6" w:rsidRPr="009E4B9D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  <w:r w:rsidR="00921E1B" w:rsidRPr="009E4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E85F" w14:textId="5D137825" w:rsidR="005361B6" w:rsidRPr="00A56DFE" w:rsidRDefault="005361B6" w:rsidP="00C1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</w:t>
            </w:r>
            <w:r w:rsidR="00A56DFE" w:rsidRPr="00A56D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361B6" w:rsidRPr="00B254FE" w14:paraId="7DEE3941" w14:textId="77777777" w:rsidTr="00C104D5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7E666" w14:textId="77777777" w:rsidR="005361B6" w:rsidRDefault="005361B6" w:rsidP="00C10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CFI = Comparative Fit Index; TLI = Tucker-Lewis Index</w:t>
            </w:r>
          </w:p>
          <w:p w14:paraId="705EBFBA" w14:textId="77777777" w:rsidR="005361B6" w:rsidRPr="00B254FE" w:rsidRDefault="005361B6" w:rsidP="00C104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Criteria for adequate fit: RMSEA ≤ 0.06; SRMR ≤ 0.08; CFI ≥ 0.9; TLI ≥ 0.9</w:t>
            </w:r>
          </w:p>
        </w:tc>
      </w:tr>
    </w:tbl>
    <w:p w14:paraId="064BF416" w14:textId="2388AE2C" w:rsidR="00FA4812" w:rsidRDefault="00FA4812" w:rsidP="002C3E51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C.3. </w:t>
      </w:r>
      <w:r>
        <w:rPr>
          <w:rFonts w:ascii="Times New Roman" w:hAnsi="Times New Roman" w:cs="Times New Roman"/>
          <w:sz w:val="24"/>
          <w:szCs w:val="24"/>
        </w:rPr>
        <w:t xml:space="preserve">CLPM results for sensory hyporeactivity in males (n = </w:t>
      </w:r>
      <w:r w:rsidR="003256B8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480AE3A" w14:textId="2C3A8899" w:rsidR="002A5858" w:rsidRDefault="00EF799A" w:rsidP="002A5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A22EF1" wp14:editId="28EF9FCE">
            <wp:extent cx="5895975" cy="1582502"/>
            <wp:effectExtent l="0" t="0" r="0" b="0"/>
            <wp:docPr id="534594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88" cy="159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54C02" w14:textId="79EB36EA" w:rsidR="002A5858" w:rsidRDefault="002A5858" w:rsidP="00BA2B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HO = hyporeactivity</w:t>
      </w:r>
    </w:p>
    <w:p w14:paraId="3642FE0B" w14:textId="75557AA2" w:rsidR="00AB6438" w:rsidRDefault="00BA2B79" w:rsidP="00AB6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C.4. </w:t>
      </w:r>
      <w:r>
        <w:rPr>
          <w:rFonts w:ascii="Times New Roman" w:hAnsi="Times New Roman" w:cs="Times New Roman"/>
          <w:sz w:val="24"/>
          <w:szCs w:val="24"/>
        </w:rPr>
        <w:t xml:space="preserve">CLPM results for sensory hyporeactivity in males (n = </w:t>
      </w:r>
      <w:r w:rsidR="00F61F4A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FCA644D" w14:textId="35A5BA51" w:rsidR="00AB6438" w:rsidRDefault="00AB6438" w:rsidP="00AB6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648AF8" wp14:editId="54C8D569">
            <wp:extent cx="5976668" cy="1604161"/>
            <wp:effectExtent l="0" t="0" r="5080" b="0"/>
            <wp:docPr id="19902615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806" cy="1616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14C6B" w14:textId="55B480EB" w:rsidR="00AB6438" w:rsidRPr="00AB6438" w:rsidRDefault="00AB6438" w:rsidP="00AB64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 = hyporeactivity</w:t>
      </w:r>
    </w:p>
    <w:sectPr w:rsidR="00AB6438" w:rsidRPr="00AB6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2F"/>
    <w:rsid w:val="000002AD"/>
    <w:rsid w:val="000053AE"/>
    <w:rsid w:val="0001218A"/>
    <w:rsid w:val="00023747"/>
    <w:rsid w:val="00024BA6"/>
    <w:rsid w:val="000279B4"/>
    <w:rsid w:val="00032608"/>
    <w:rsid w:val="00053B75"/>
    <w:rsid w:val="000550FF"/>
    <w:rsid w:val="000637A5"/>
    <w:rsid w:val="00091E2F"/>
    <w:rsid w:val="00096E7D"/>
    <w:rsid w:val="000A1B16"/>
    <w:rsid w:val="000A22F0"/>
    <w:rsid w:val="000B3CCB"/>
    <w:rsid w:val="000C4BDA"/>
    <w:rsid w:val="000C55DB"/>
    <w:rsid w:val="000E4731"/>
    <w:rsid w:val="000F1B48"/>
    <w:rsid w:val="000F2268"/>
    <w:rsid w:val="000F3AD8"/>
    <w:rsid w:val="001060C7"/>
    <w:rsid w:val="00114F1E"/>
    <w:rsid w:val="00127E50"/>
    <w:rsid w:val="00152A0B"/>
    <w:rsid w:val="0015341F"/>
    <w:rsid w:val="001617B9"/>
    <w:rsid w:val="001625D0"/>
    <w:rsid w:val="0016306C"/>
    <w:rsid w:val="00163C27"/>
    <w:rsid w:val="001660CA"/>
    <w:rsid w:val="001A0C21"/>
    <w:rsid w:val="001B347D"/>
    <w:rsid w:val="001C1C47"/>
    <w:rsid w:val="001E7C5A"/>
    <w:rsid w:val="001F373F"/>
    <w:rsid w:val="001F39E5"/>
    <w:rsid w:val="001F3EC9"/>
    <w:rsid w:val="001F45F6"/>
    <w:rsid w:val="001F552C"/>
    <w:rsid w:val="00203C58"/>
    <w:rsid w:val="00206E56"/>
    <w:rsid w:val="00212BD8"/>
    <w:rsid w:val="00220C31"/>
    <w:rsid w:val="0023452F"/>
    <w:rsid w:val="002544F0"/>
    <w:rsid w:val="0026385B"/>
    <w:rsid w:val="00264CE3"/>
    <w:rsid w:val="00267987"/>
    <w:rsid w:val="00294FB8"/>
    <w:rsid w:val="002A5858"/>
    <w:rsid w:val="002A61CB"/>
    <w:rsid w:val="002A7E6F"/>
    <w:rsid w:val="002C3E51"/>
    <w:rsid w:val="002E5DD6"/>
    <w:rsid w:val="002F08C9"/>
    <w:rsid w:val="002F23CD"/>
    <w:rsid w:val="002F264C"/>
    <w:rsid w:val="002F38CC"/>
    <w:rsid w:val="002F5835"/>
    <w:rsid w:val="003001A4"/>
    <w:rsid w:val="00313E80"/>
    <w:rsid w:val="0032035C"/>
    <w:rsid w:val="00324ADC"/>
    <w:rsid w:val="003256B8"/>
    <w:rsid w:val="00336BB5"/>
    <w:rsid w:val="00340855"/>
    <w:rsid w:val="003457DF"/>
    <w:rsid w:val="0035018E"/>
    <w:rsid w:val="0035740B"/>
    <w:rsid w:val="00370845"/>
    <w:rsid w:val="003800CB"/>
    <w:rsid w:val="003803E3"/>
    <w:rsid w:val="00387900"/>
    <w:rsid w:val="003A045B"/>
    <w:rsid w:val="003A2919"/>
    <w:rsid w:val="003A6D24"/>
    <w:rsid w:val="003B40E6"/>
    <w:rsid w:val="003B546D"/>
    <w:rsid w:val="003C1B1D"/>
    <w:rsid w:val="003C622A"/>
    <w:rsid w:val="003E08DC"/>
    <w:rsid w:val="003E23D6"/>
    <w:rsid w:val="003F3AF5"/>
    <w:rsid w:val="003F6554"/>
    <w:rsid w:val="0040013D"/>
    <w:rsid w:val="00402561"/>
    <w:rsid w:val="0042485F"/>
    <w:rsid w:val="00436092"/>
    <w:rsid w:val="0044287B"/>
    <w:rsid w:val="00447D44"/>
    <w:rsid w:val="0046642A"/>
    <w:rsid w:val="00467434"/>
    <w:rsid w:val="004727AF"/>
    <w:rsid w:val="004903AC"/>
    <w:rsid w:val="004A0F7C"/>
    <w:rsid w:val="004D245E"/>
    <w:rsid w:val="004D5E3C"/>
    <w:rsid w:val="004E1D99"/>
    <w:rsid w:val="004E7160"/>
    <w:rsid w:val="004F5027"/>
    <w:rsid w:val="004F6820"/>
    <w:rsid w:val="00510973"/>
    <w:rsid w:val="005126D8"/>
    <w:rsid w:val="005223D9"/>
    <w:rsid w:val="005262E0"/>
    <w:rsid w:val="0053363A"/>
    <w:rsid w:val="00534E8C"/>
    <w:rsid w:val="005361B6"/>
    <w:rsid w:val="00542D02"/>
    <w:rsid w:val="005557BD"/>
    <w:rsid w:val="00595A9B"/>
    <w:rsid w:val="005A71F2"/>
    <w:rsid w:val="005C35FF"/>
    <w:rsid w:val="005C39BB"/>
    <w:rsid w:val="005C53AC"/>
    <w:rsid w:val="005D4A44"/>
    <w:rsid w:val="005D6FF9"/>
    <w:rsid w:val="005E0203"/>
    <w:rsid w:val="005E5C72"/>
    <w:rsid w:val="006030D1"/>
    <w:rsid w:val="00617E19"/>
    <w:rsid w:val="00630DD7"/>
    <w:rsid w:val="00640597"/>
    <w:rsid w:val="00650562"/>
    <w:rsid w:val="00654ADA"/>
    <w:rsid w:val="00655973"/>
    <w:rsid w:val="00661E2D"/>
    <w:rsid w:val="006637EF"/>
    <w:rsid w:val="00665547"/>
    <w:rsid w:val="00666EE6"/>
    <w:rsid w:val="00684E52"/>
    <w:rsid w:val="006958B3"/>
    <w:rsid w:val="006C017C"/>
    <w:rsid w:val="006D256B"/>
    <w:rsid w:val="006D3CA0"/>
    <w:rsid w:val="006D7801"/>
    <w:rsid w:val="006E18F6"/>
    <w:rsid w:val="006F0626"/>
    <w:rsid w:val="006F3AA2"/>
    <w:rsid w:val="007051FD"/>
    <w:rsid w:val="00710743"/>
    <w:rsid w:val="00710BA6"/>
    <w:rsid w:val="00721196"/>
    <w:rsid w:val="00732008"/>
    <w:rsid w:val="00753D49"/>
    <w:rsid w:val="00761FA9"/>
    <w:rsid w:val="0078793B"/>
    <w:rsid w:val="00792201"/>
    <w:rsid w:val="00795D35"/>
    <w:rsid w:val="007A25ED"/>
    <w:rsid w:val="007A76C0"/>
    <w:rsid w:val="007B754D"/>
    <w:rsid w:val="007C1940"/>
    <w:rsid w:val="007C5804"/>
    <w:rsid w:val="007C70E6"/>
    <w:rsid w:val="007D68A1"/>
    <w:rsid w:val="007E003C"/>
    <w:rsid w:val="007E2CEC"/>
    <w:rsid w:val="007E76EF"/>
    <w:rsid w:val="007F5B5B"/>
    <w:rsid w:val="008248BC"/>
    <w:rsid w:val="008303F0"/>
    <w:rsid w:val="0085621F"/>
    <w:rsid w:val="00871226"/>
    <w:rsid w:val="0088435D"/>
    <w:rsid w:val="008858DA"/>
    <w:rsid w:val="00892812"/>
    <w:rsid w:val="008A5F3E"/>
    <w:rsid w:val="008C063A"/>
    <w:rsid w:val="008C2894"/>
    <w:rsid w:val="008D0A2F"/>
    <w:rsid w:val="008D192F"/>
    <w:rsid w:val="008E50A7"/>
    <w:rsid w:val="008E5374"/>
    <w:rsid w:val="008F2EE4"/>
    <w:rsid w:val="00902705"/>
    <w:rsid w:val="00907F27"/>
    <w:rsid w:val="00913A61"/>
    <w:rsid w:val="00921CD3"/>
    <w:rsid w:val="00921E1B"/>
    <w:rsid w:val="00927238"/>
    <w:rsid w:val="00931BD5"/>
    <w:rsid w:val="009321CF"/>
    <w:rsid w:val="00937EF6"/>
    <w:rsid w:val="0094166C"/>
    <w:rsid w:val="00951103"/>
    <w:rsid w:val="00967088"/>
    <w:rsid w:val="009676EF"/>
    <w:rsid w:val="00982D18"/>
    <w:rsid w:val="009836F7"/>
    <w:rsid w:val="0099233C"/>
    <w:rsid w:val="00995699"/>
    <w:rsid w:val="009A69B3"/>
    <w:rsid w:val="009A76D6"/>
    <w:rsid w:val="009B4A62"/>
    <w:rsid w:val="009B4FE9"/>
    <w:rsid w:val="009B5750"/>
    <w:rsid w:val="009B5DEF"/>
    <w:rsid w:val="009B709C"/>
    <w:rsid w:val="009C041E"/>
    <w:rsid w:val="009C5D0A"/>
    <w:rsid w:val="009C6434"/>
    <w:rsid w:val="009E4B9D"/>
    <w:rsid w:val="009E5F70"/>
    <w:rsid w:val="00A0092D"/>
    <w:rsid w:val="00A0158D"/>
    <w:rsid w:val="00A03856"/>
    <w:rsid w:val="00A03C90"/>
    <w:rsid w:val="00A3165C"/>
    <w:rsid w:val="00A3200B"/>
    <w:rsid w:val="00A40C2B"/>
    <w:rsid w:val="00A47F71"/>
    <w:rsid w:val="00A56DFE"/>
    <w:rsid w:val="00A66C47"/>
    <w:rsid w:val="00A67D0D"/>
    <w:rsid w:val="00A728E1"/>
    <w:rsid w:val="00A7419A"/>
    <w:rsid w:val="00A776A5"/>
    <w:rsid w:val="00AB6438"/>
    <w:rsid w:val="00AC4618"/>
    <w:rsid w:val="00B0542D"/>
    <w:rsid w:val="00B217BF"/>
    <w:rsid w:val="00B23031"/>
    <w:rsid w:val="00B269D9"/>
    <w:rsid w:val="00B60BE3"/>
    <w:rsid w:val="00B74AA1"/>
    <w:rsid w:val="00B9530F"/>
    <w:rsid w:val="00B9641F"/>
    <w:rsid w:val="00BA04D1"/>
    <w:rsid w:val="00BA2B79"/>
    <w:rsid w:val="00BA5860"/>
    <w:rsid w:val="00BB14E1"/>
    <w:rsid w:val="00BC3F44"/>
    <w:rsid w:val="00BD2517"/>
    <w:rsid w:val="00C02EAC"/>
    <w:rsid w:val="00C033EF"/>
    <w:rsid w:val="00C07814"/>
    <w:rsid w:val="00C24799"/>
    <w:rsid w:val="00C405A9"/>
    <w:rsid w:val="00C406A5"/>
    <w:rsid w:val="00C8227F"/>
    <w:rsid w:val="00C91040"/>
    <w:rsid w:val="00C96B66"/>
    <w:rsid w:val="00CD07E3"/>
    <w:rsid w:val="00CF2D47"/>
    <w:rsid w:val="00D0164B"/>
    <w:rsid w:val="00D02F9E"/>
    <w:rsid w:val="00D13269"/>
    <w:rsid w:val="00D21797"/>
    <w:rsid w:val="00D23339"/>
    <w:rsid w:val="00D35A91"/>
    <w:rsid w:val="00D457CA"/>
    <w:rsid w:val="00D56B4F"/>
    <w:rsid w:val="00D7081A"/>
    <w:rsid w:val="00D70B57"/>
    <w:rsid w:val="00D779AA"/>
    <w:rsid w:val="00D81076"/>
    <w:rsid w:val="00D90D44"/>
    <w:rsid w:val="00DA29E0"/>
    <w:rsid w:val="00DB4EBD"/>
    <w:rsid w:val="00DC112B"/>
    <w:rsid w:val="00DC4598"/>
    <w:rsid w:val="00DC775F"/>
    <w:rsid w:val="00DC7883"/>
    <w:rsid w:val="00E004B7"/>
    <w:rsid w:val="00E10CA5"/>
    <w:rsid w:val="00E16F94"/>
    <w:rsid w:val="00E5159E"/>
    <w:rsid w:val="00E563EB"/>
    <w:rsid w:val="00E6280D"/>
    <w:rsid w:val="00E66ED9"/>
    <w:rsid w:val="00E70527"/>
    <w:rsid w:val="00E719BF"/>
    <w:rsid w:val="00E83112"/>
    <w:rsid w:val="00E8390E"/>
    <w:rsid w:val="00E95075"/>
    <w:rsid w:val="00EA0551"/>
    <w:rsid w:val="00EB1D0E"/>
    <w:rsid w:val="00EB5BE2"/>
    <w:rsid w:val="00ED63C3"/>
    <w:rsid w:val="00EE2DDB"/>
    <w:rsid w:val="00EE463E"/>
    <w:rsid w:val="00EF799A"/>
    <w:rsid w:val="00F0385C"/>
    <w:rsid w:val="00F12D1D"/>
    <w:rsid w:val="00F15004"/>
    <w:rsid w:val="00F21279"/>
    <w:rsid w:val="00F22ECC"/>
    <w:rsid w:val="00F4459A"/>
    <w:rsid w:val="00F61F4A"/>
    <w:rsid w:val="00F6563E"/>
    <w:rsid w:val="00F80F18"/>
    <w:rsid w:val="00F9010E"/>
    <w:rsid w:val="00F9031E"/>
    <w:rsid w:val="00FA2092"/>
    <w:rsid w:val="00FA4812"/>
    <w:rsid w:val="00FA50FC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743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E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gntyacmbo3b">
    <w:name w:val="gntyacmbo3b"/>
    <w:basedOn w:val="DefaultParagraphFont"/>
    <w:rsid w:val="00E6280D"/>
  </w:style>
  <w:style w:type="character" w:styleId="Hyperlink">
    <w:name w:val="Hyperlink"/>
    <w:basedOn w:val="DefaultParagraphFont"/>
    <w:uiPriority w:val="99"/>
    <w:unhideWhenUsed/>
    <w:rsid w:val="00C405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0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41E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41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ADC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ADC"/>
    <w:rPr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4287B"/>
    <w:rPr>
      <w:color w:val="666666"/>
    </w:rPr>
  </w:style>
  <w:style w:type="paragraph" w:styleId="Revision">
    <w:name w:val="Revision"/>
    <w:hidden/>
    <w:uiPriority w:val="99"/>
    <w:semiHidden/>
    <w:rsid w:val="00442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804</Words>
  <Characters>4445</Characters>
  <Application>Microsoft Office Word</Application>
  <DocSecurity>0</DocSecurity>
  <Lines>258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2024-08-30T20:28:00Z</dcterms:created>
  <dcterms:modified xsi:type="dcterms:W3CDTF">2025-06-03T12:52:00Z</dcterms:modified>
  <cp:category/>
</cp:coreProperties>
</file>