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29711" w14:textId="486170ED" w:rsidR="00FA2092" w:rsidRDefault="00892812" w:rsidP="0089281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Supplement B – </w:t>
      </w:r>
      <w:r w:rsidR="00077963">
        <w:rPr>
          <w:rFonts w:ascii="Times New Roman" w:hAnsi="Times New Roman" w:cs="Times New Roman"/>
          <w:b/>
          <w:bCs/>
          <w:sz w:val="24"/>
          <w:szCs w:val="24"/>
        </w:rPr>
        <w:t>Additional Statistical Results</w:t>
      </w:r>
    </w:p>
    <w:p w14:paraId="1A4A7250" w14:textId="1FD76D2D" w:rsidR="00AD63D2" w:rsidRPr="00C74537" w:rsidRDefault="00AD63D2" w:rsidP="6E3AA9BD">
      <w:pPr>
        <w:spacing w:after="0" w:line="480" w:lineRule="auto"/>
        <w:rPr>
          <w:rFonts w:ascii="Times New Roman" w:hAnsi="Times New Roman" w:cs="Times New Roman"/>
          <w:b/>
          <w:bCs/>
          <w:color w:val="A02B93" w:themeColor="accent5"/>
          <w:sz w:val="24"/>
          <w:szCs w:val="24"/>
        </w:rPr>
      </w:pPr>
      <w:r w:rsidRPr="6E3AA9BD">
        <w:rPr>
          <w:rFonts w:ascii="Times New Roman" w:hAnsi="Times New Roman" w:cs="Times New Roman"/>
          <w:b/>
          <w:bCs/>
          <w:sz w:val="24"/>
          <w:szCs w:val="24"/>
        </w:rPr>
        <w:t>Demographi</w:t>
      </w:r>
      <w:r w:rsidR="00D2652E" w:rsidRPr="6E3AA9BD">
        <w:rPr>
          <w:rFonts w:ascii="Times New Roman" w:hAnsi="Times New Roman" w:cs="Times New Roman"/>
          <w:b/>
          <w:bCs/>
          <w:sz w:val="24"/>
          <w:szCs w:val="24"/>
        </w:rPr>
        <w:t>c Correlations with Variables of Interest</w:t>
      </w:r>
    </w:p>
    <w:tbl>
      <w:tblPr>
        <w:tblStyle w:val="TableGrid"/>
        <w:tblW w:w="0" w:type="auto"/>
        <w:tblLook w:val="04A0" w:firstRow="1" w:lastRow="0" w:firstColumn="1" w:lastColumn="0" w:noHBand="0" w:noVBand="1"/>
      </w:tblPr>
      <w:tblGrid>
        <w:gridCol w:w="2785"/>
        <w:gridCol w:w="1895"/>
        <w:gridCol w:w="2481"/>
        <w:gridCol w:w="129"/>
        <w:gridCol w:w="2060"/>
      </w:tblGrid>
      <w:tr w:rsidR="00C74537" w:rsidRPr="00C74537" w14:paraId="26664166" w14:textId="77777777" w:rsidTr="6E3AA9BD">
        <w:tc>
          <w:tcPr>
            <w:tcW w:w="9350" w:type="dxa"/>
            <w:gridSpan w:val="5"/>
            <w:tcBorders>
              <w:top w:val="nil"/>
              <w:left w:val="nil"/>
              <w:right w:val="nil"/>
            </w:tcBorders>
          </w:tcPr>
          <w:p w14:paraId="7809AE07" w14:textId="78FAF6A0" w:rsidR="00D2652E" w:rsidRPr="00C74537" w:rsidRDefault="00D2652E" w:rsidP="6E3AA9BD">
            <w:pPr>
              <w:rPr>
                <w:rFonts w:ascii="Times New Roman" w:hAnsi="Times New Roman" w:cs="Times New Roman"/>
                <w:color w:val="A02B93" w:themeColor="accent5"/>
                <w:sz w:val="24"/>
                <w:szCs w:val="24"/>
              </w:rPr>
            </w:pPr>
            <w:r w:rsidRPr="6E3AA9BD">
              <w:rPr>
                <w:rFonts w:ascii="Times New Roman" w:hAnsi="Times New Roman" w:cs="Times New Roman"/>
                <w:b/>
                <w:bCs/>
                <w:sz w:val="24"/>
                <w:szCs w:val="24"/>
              </w:rPr>
              <w:t xml:space="preserve">Table B.1. </w:t>
            </w:r>
            <w:r w:rsidRPr="6E3AA9BD">
              <w:rPr>
                <w:rFonts w:ascii="Times New Roman" w:hAnsi="Times New Roman" w:cs="Times New Roman"/>
                <w:sz w:val="24"/>
                <w:szCs w:val="24"/>
              </w:rPr>
              <w:t>Correlations between demographic variables and variables of interest at 6 and 12 months.</w:t>
            </w:r>
          </w:p>
        </w:tc>
      </w:tr>
      <w:tr w:rsidR="00C74537" w:rsidRPr="00C74537" w14:paraId="04367D07" w14:textId="77777777" w:rsidTr="6E3AA9BD">
        <w:tc>
          <w:tcPr>
            <w:tcW w:w="2785" w:type="dxa"/>
            <w:tcBorders>
              <w:left w:val="nil"/>
              <w:right w:val="nil"/>
            </w:tcBorders>
          </w:tcPr>
          <w:p w14:paraId="3BE7AD76" w14:textId="77777777" w:rsidR="008A1125" w:rsidRPr="00C74537" w:rsidRDefault="008A1125" w:rsidP="6E3AA9BD">
            <w:pPr>
              <w:rPr>
                <w:rFonts w:ascii="Times New Roman" w:hAnsi="Times New Roman" w:cs="Times New Roman"/>
                <w:color w:val="A02B93" w:themeColor="accent5"/>
                <w:sz w:val="24"/>
                <w:szCs w:val="24"/>
              </w:rPr>
            </w:pPr>
          </w:p>
        </w:tc>
        <w:tc>
          <w:tcPr>
            <w:tcW w:w="1895" w:type="dxa"/>
            <w:tcBorders>
              <w:left w:val="nil"/>
              <w:right w:val="nil"/>
            </w:tcBorders>
          </w:tcPr>
          <w:p w14:paraId="41F665AD" w14:textId="49A03DB8" w:rsidR="008A1125" w:rsidRPr="00C74537" w:rsidRDefault="008A1125" w:rsidP="6E3AA9BD">
            <w:pPr>
              <w:jc w:val="center"/>
              <w:rPr>
                <w:rFonts w:ascii="Times New Roman" w:hAnsi="Times New Roman" w:cs="Times New Roman"/>
                <w:b/>
                <w:bCs/>
                <w:color w:val="A02B93" w:themeColor="accent5"/>
                <w:sz w:val="24"/>
                <w:szCs w:val="24"/>
              </w:rPr>
            </w:pPr>
            <w:r w:rsidRPr="6E3AA9BD">
              <w:rPr>
                <w:rFonts w:ascii="Times New Roman" w:hAnsi="Times New Roman" w:cs="Times New Roman"/>
                <w:b/>
                <w:bCs/>
                <w:sz w:val="24"/>
                <w:szCs w:val="24"/>
              </w:rPr>
              <w:t>Birthweight</w:t>
            </w:r>
          </w:p>
        </w:tc>
        <w:tc>
          <w:tcPr>
            <w:tcW w:w="2610" w:type="dxa"/>
            <w:gridSpan w:val="2"/>
            <w:tcBorders>
              <w:left w:val="nil"/>
              <w:right w:val="nil"/>
            </w:tcBorders>
          </w:tcPr>
          <w:p w14:paraId="24A78793" w14:textId="2C13BE3F" w:rsidR="008A1125" w:rsidRPr="00C74537" w:rsidRDefault="00CD503F" w:rsidP="6E3AA9BD">
            <w:pPr>
              <w:jc w:val="center"/>
              <w:rPr>
                <w:rFonts w:ascii="Times New Roman" w:hAnsi="Times New Roman" w:cs="Times New Roman"/>
                <w:b/>
                <w:bCs/>
                <w:color w:val="A02B93" w:themeColor="accent5"/>
                <w:sz w:val="24"/>
                <w:szCs w:val="24"/>
              </w:rPr>
            </w:pPr>
            <w:r w:rsidRPr="6E3AA9BD">
              <w:rPr>
                <w:rFonts w:ascii="Times New Roman" w:hAnsi="Times New Roman" w:cs="Times New Roman"/>
                <w:b/>
                <w:bCs/>
                <w:sz w:val="24"/>
                <w:szCs w:val="24"/>
              </w:rPr>
              <w:t>Income to Need Ratio</w:t>
            </w:r>
          </w:p>
        </w:tc>
        <w:tc>
          <w:tcPr>
            <w:tcW w:w="2060" w:type="dxa"/>
            <w:tcBorders>
              <w:left w:val="nil"/>
              <w:right w:val="nil"/>
            </w:tcBorders>
          </w:tcPr>
          <w:p w14:paraId="4F4E26E2" w14:textId="16AF9082" w:rsidR="008A1125" w:rsidRPr="00C74537" w:rsidRDefault="008A1125" w:rsidP="6E3AA9BD">
            <w:pPr>
              <w:jc w:val="center"/>
              <w:rPr>
                <w:rFonts w:ascii="Times New Roman" w:hAnsi="Times New Roman" w:cs="Times New Roman"/>
                <w:b/>
                <w:bCs/>
                <w:color w:val="A02B93" w:themeColor="accent5"/>
                <w:sz w:val="24"/>
                <w:szCs w:val="24"/>
              </w:rPr>
            </w:pPr>
            <w:r w:rsidRPr="6E3AA9BD">
              <w:rPr>
                <w:rFonts w:ascii="Times New Roman" w:hAnsi="Times New Roman" w:cs="Times New Roman"/>
                <w:b/>
                <w:bCs/>
                <w:sz w:val="24"/>
                <w:szCs w:val="24"/>
              </w:rPr>
              <w:t>Sex</w:t>
            </w:r>
          </w:p>
        </w:tc>
      </w:tr>
      <w:tr w:rsidR="00C74537" w:rsidRPr="00C74537" w14:paraId="4D899A66" w14:textId="77777777" w:rsidTr="6E3AA9BD">
        <w:tc>
          <w:tcPr>
            <w:tcW w:w="2785" w:type="dxa"/>
            <w:tcBorders>
              <w:left w:val="nil"/>
              <w:bottom w:val="nil"/>
              <w:right w:val="nil"/>
            </w:tcBorders>
          </w:tcPr>
          <w:p w14:paraId="39672F9D" w14:textId="2EFBB040" w:rsidR="008A1125" w:rsidRPr="00C74537" w:rsidRDefault="008A1125" w:rsidP="6E3AA9BD">
            <w:pPr>
              <w:rPr>
                <w:rFonts w:ascii="Times New Roman" w:hAnsi="Times New Roman" w:cs="Times New Roman"/>
                <w:color w:val="A02B93" w:themeColor="accent5"/>
                <w:sz w:val="24"/>
                <w:szCs w:val="24"/>
              </w:rPr>
            </w:pPr>
            <w:r w:rsidRPr="6E3AA9BD">
              <w:rPr>
                <w:rFonts w:ascii="Times New Roman" w:hAnsi="Times New Roman" w:cs="Times New Roman"/>
                <w:sz w:val="24"/>
                <w:szCs w:val="24"/>
              </w:rPr>
              <w:t>6-month Hyperreactivity</w:t>
            </w:r>
          </w:p>
        </w:tc>
        <w:tc>
          <w:tcPr>
            <w:tcW w:w="1895" w:type="dxa"/>
            <w:tcBorders>
              <w:left w:val="nil"/>
              <w:bottom w:val="nil"/>
              <w:right w:val="nil"/>
            </w:tcBorders>
          </w:tcPr>
          <w:p w14:paraId="469A6B1C" w14:textId="0D678EC2" w:rsidR="008A1125" w:rsidRPr="00C74537" w:rsidRDefault="00A96765" w:rsidP="6E3AA9BD">
            <w:pPr>
              <w:jc w:val="center"/>
              <w:rPr>
                <w:rFonts w:ascii="Times New Roman" w:hAnsi="Times New Roman" w:cs="Times New Roman"/>
                <w:color w:val="A02B93" w:themeColor="accent5"/>
                <w:sz w:val="24"/>
                <w:szCs w:val="24"/>
              </w:rPr>
            </w:pPr>
            <w:r w:rsidRPr="6E3AA9BD">
              <w:rPr>
                <w:rFonts w:ascii="Times New Roman" w:hAnsi="Times New Roman" w:cs="Times New Roman"/>
                <w:sz w:val="24"/>
                <w:szCs w:val="24"/>
              </w:rPr>
              <w:t>-.13</w:t>
            </w:r>
          </w:p>
        </w:tc>
        <w:tc>
          <w:tcPr>
            <w:tcW w:w="2481" w:type="dxa"/>
            <w:tcBorders>
              <w:left w:val="nil"/>
              <w:bottom w:val="nil"/>
              <w:right w:val="nil"/>
            </w:tcBorders>
          </w:tcPr>
          <w:p w14:paraId="2D0BD92E" w14:textId="4542B880" w:rsidR="008A1125" w:rsidRPr="00C74537" w:rsidRDefault="0063333C" w:rsidP="6E3AA9BD">
            <w:pPr>
              <w:jc w:val="center"/>
              <w:rPr>
                <w:rFonts w:ascii="Times New Roman" w:hAnsi="Times New Roman" w:cs="Times New Roman"/>
                <w:color w:val="A02B93" w:themeColor="accent5"/>
                <w:sz w:val="24"/>
                <w:szCs w:val="24"/>
              </w:rPr>
            </w:pPr>
            <w:r w:rsidRPr="6E3AA9BD">
              <w:rPr>
                <w:rFonts w:ascii="Times New Roman" w:hAnsi="Times New Roman" w:cs="Times New Roman"/>
                <w:sz w:val="24"/>
                <w:szCs w:val="24"/>
              </w:rPr>
              <w:t>-.18**</w:t>
            </w:r>
          </w:p>
        </w:tc>
        <w:tc>
          <w:tcPr>
            <w:tcW w:w="2189" w:type="dxa"/>
            <w:gridSpan w:val="2"/>
            <w:tcBorders>
              <w:left w:val="nil"/>
              <w:bottom w:val="nil"/>
              <w:right w:val="nil"/>
            </w:tcBorders>
          </w:tcPr>
          <w:p w14:paraId="6177D740" w14:textId="52A59568" w:rsidR="008A1125" w:rsidRPr="00C74537" w:rsidRDefault="007E43F3" w:rsidP="6E3AA9BD">
            <w:pPr>
              <w:jc w:val="center"/>
              <w:rPr>
                <w:rFonts w:ascii="Times New Roman" w:hAnsi="Times New Roman" w:cs="Times New Roman"/>
                <w:color w:val="A02B93" w:themeColor="accent5"/>
                <w:sz w:val="24"/>
                <w:szCs w:val="24"/>
              </w:rPr>
            </w:pPr>
            <w:r w:rsidRPr="6E3AA9BD">
              <w:rPr>
                <w:rFonts w:ascii="Times New Roman" w:hAnsi="Times New Roman" w:cs="Times New Roman"/>
                <w:sz w:val="24"/>
                <w:szCs w:val="24"/>
              </w:rPr>
              <w:t>-.09</w:t>
            </w:r>
          </w:p>
        </w:tc>
      </w:tr>
      <w:tr w:rsidR="00C74537" w:rsidRPr="00C74537" w14:paraId="73F53C49" w14:textId="77777777" w:rsidTr="6E3AA9BD">
        <w:tc>
          <w:tcPr>
            <w:tcW w:w="2785" w:type="dxa"/>
            <w:tcBorders>
              <w:top w:val="nil"/>
              <w:left w:val="nil"/>
              <w:bottom w:val="nil"/>
              <w:right w:val="nil"/>
            </w:tcBorders>
          </w:tcPr>
          <w:p w14:paraId="32F52754" w14:textId="10B623E2" w:rsidR="008A1125" w:rsidRPr="00C74537" w:rsidRDefault="008A1125" w:rsidP="6E3AA9BD">
            <w:pPr>
              <w:rPr>
                <w:rFonts w:ascii="Times New Roman" w:hAnsi="Times New Roman" w:cs="Times New Roman"/>
                <w:color w:val="A02B93" w:themeColor="accent5"/>
                <w:sz w:val="24"/>
                <w:szCs w:val="24"/>
              </w:rPr>
            </w:pPr>
            <w:r w:rsidRPr="6E3AA9BD">
              <w:rPr>
                <w:rFonts w:ascii="Times New Roman" w:hAnsi="Times New Roman" w:cs="Times New Roman"/>
                <w:sz w:val="24"/>
                <w:szCs w:val="24"/>
              </w:rPr>
              <w:t>12-month Hyperreactivity</w:t>
            </w:r>
          </w:p>
        </w:tc>
        <w:tc>
          <w:tcPr>
            <w:tcW w:w="1895" w:type="dxa"/>
            <w:tcBorders>
              <w:top w:val="nil"/>
              <w:left w:val="nil"/>
              <w:bottom w:val="nil"/>
              <w:right w:val="nil"/>
            </w:tcBorders>
          </w:tcPr>
          <w:p w14:paraId="01F2870E" w14:textId="40A42049" w:rsidR="008A1125" w:rsidRPr="00C74537" w:rsidRDefault="00C136CD" w:rsidP="6E3AA9BD">
            <w:pPr>
              <w:jc w:val="center"/>
              <w:rPr>
                <w:rFonts w:ascii="Times New Roman" w:hAnsi="Times New Roman" w:cs="Times New Roman"/>
                <w:color w:val="A02B93" w:themeColor="accent5"/>
                <w:sz w:val="24"/>
                <w:szCs w:val="24"/>
              </w:rPr>
            </w:pPr>
            <w:r w:rsidRPr="6E3AA9BD">
              <w:rPr>
                <w:rFonts w:ascii="Times New Roman" w:hAnsi="Times New Roman" w:cs="Times New Roman"/>
                <w:sz w:val="24"/>
                <w:szCs w:val="24"/>
              </w:rPr>
              <w:t>-.04</w:t>
            </w:r>
          </w:p>
        </w:tc>
        <w:tc>
          <w:tcPr>
            <w:tcW w:w="2481" w:type="dxa"/>
            <w:tcBorders>
              <w:top w:val="nil"/>
              <w:left w:val="nil"/>
              <w:bottom w:val="nil"/>
              <w:right w:val="nil"/>
            </w:tcBorders>
          </w:tcPr>
          <w:p w14:paraId="5033C6C7" w14:textId="5871FA68" w:rsidR="008A1125" w:rsidRPr="00C74537" w:rsidRDefault="0063333C" w:rsidP="6E3AA9BD">
            <w:pPr>
              <w:jc w:val="center"/>
              <w:rPr>
                <w:rFonts w:ascii="Times New Roman" w:hAnsi="Times New Roman" w:cs="Times New Roman"/>
                <w:color w:val="A02B93" w:themeColor="accent5"/>
                <w:sz w:val="24"/>
                <w:szCs w:val="24"/>
              </w:rPr>
            </w:pPr>
            <w:r w:rsidRPr="6E3AA9BD">
              <w:rPr>
                <w:rFonts w:ascii="Times New Roman" w:hAnsi="Times New Roman" w:cs="Times New Roman"/>
                <w:sz w:val="24"/>
                <w:szCs w:val="24"/>
              </w:rPr>
              <w:t>-.23**</w:t>
            </w:r>
            <w:r w:rsidR="009345B2" w:rsidRPr="6E3AA9BD">
              <w:rPr>
                <w:rFonts w:ascii="Times New Roman" w:hAnsi="Times New Roman" w:cs="Times New Roman"/>
                <w:sz w:val="24"/>
                <w:szCs w:val="24"/>
              </w:rPr>
              <w:t>*</w:t>
            </w:r>
          </w:p>
        </w:tc>
        <w:tc>
          <w:tcPr>
            <w:tcW w:w="2189" w:type="dxa"/>
            <w:gridSpan w:val="2"/>
            <w:tcBorders>
              <w:top w:val="nil"/>
              <w:left w:val="nil"/>
              <w:bottom w:val="nil"/>
              <w:right w:val="nil"/>
            </w:tcBorders>
          </w:tcPr>
          <w:p w14:paraId="3B818C6E" w14:textId="1454C634" w:rsidR="008A1125" w:rsidRPr="00C74537" w:rsidRDefault="001D4BDF" w:rsidP="6E3AA9BD">
            <w:pPr>
              <w:jc w:val="center"/>
              <w:rPr>
                <w:rFonts w:ascii="Times New Roman" w:hAnsi="Times New Roman" w:cs="Times New Roman"/>
                <w:color w:val="A02B93" w:themeColor="accent5"/>
                <w:sz w:val="24"/>
                <w:szCs w:val="24"/>
              </w:rPr>
            </w:pPr>
            <w:r w:rsidRPr="6E3AA9BD">
              <w:rPr>
                <w:rFonts w:ascii="Times New Roman" w:hAnsi="Times New Roman" w:cs="Times New Roman"/>
                <w:sz w:val="24"/>
                <w:szCs w:val="24"/>
              </w:rPr>
              <w:t>-.11</w:t>
            </w:r>
          </w:p>
        </w:tc>
      </w:tr>
      <w:tr w:rsidR="00C74537" w:rsidRPr="00C74537" w14:paraId="4F5739A0" w14:textId="77777777" w:rsidTr="6E3AA9BD">
        <w:tc>
          <w:tcPr>
            <w:tcW w:w="2785" w:type="dxa"/>
            <w:tcBorders>
              <w:top w:val="nil"/>
              <w:left w:val="nil"/>
              <w:bottom w:val="nil"/>
              <w:right w:val="nil"/>
            </w:tcBorders>
          </w:tcPr>
          <w:p w14:paraId="2216C50B" w14:textId="70821A5B" w:rsidR="008A1125" w:rsidRPr="00C74537" w:rsidRDefault="008A1125" w:rsidP="6E3AA9BD">
            <w:pPr>
              <w:rPr>
                <w:rFonts w:ascii="Times New Roman" w:hAnsi="Times New Roman" w:cs="Times New Roman"/>
                <w:color w:val="A02B93" w:themeColor="accent5"/>
                <w:sz w:val="24"/>
                <w:szCs w:val="24"/>
              </w:rPr>
            </w:pPr>
            <w:r w:rsidRPr="6E3AA9BD">
              <w:rPr>
                <w:rFonts w:ascii="Times New Roman" w:hAnsi="Times New Roman" w:cs="Times New Roman"/>
                <w:sz w:val="24"/>
                <w:szCs w:val="24"/>
              </w:rPr>
              <w:t>6-month Hyporeactivity</w:t>
            </w:r>
          </w:p>
        </w:tc>
        <w:tc>
          <w:tcPr>
            <w:tcW w:w="1895" w:type="dxa"/>
            <w:tcBorders>
              <w:top w:val="nil"/>
              <w:left w:val="nil"/>
              <w:bottom w:val="nil"/>
              <w:right w:val="nil"/>
            </w:tcBorders>
          </w:tcPr>
          <w:p w14:paraId="5E91E8AC" w14:textId="7EA9D878" w:rsidR="008A1125" w:rsidRPr="00865792" w:rsidRDefault="000A2A71" w:rsidP="00FC4AB3">
            <w:pPr>
              <w:jc w:val="center"/>
              <w:rPr>
                <w:rFonts w:ascii="Times New Roman" w:hAnsi="Times New Roman" w:cs="Times New Roman"/>
                <w:sz w:val="24"/>
                <w:szCs w:val="24"/>
              </w:rPr>
            </w:pPr>
            <w:r w:rsidRPr="00865792">
              <w:rPr>
                <w:rFonts w:ascii="Times New Roman" w:hAnsi="Times New Roman" w:cs="Times New Roman"/>
                <w:sz w:val="24"/>
                <w:szCs w:val="24"/>
              </w:rPr>
              <w:t>.</w:t>
            </w:r>
            <w:r w:rsidR="14CBB287" w:rsidRPr="00865792">
              <w:rPr>
                <w:rFonts w:ascii="Times New Roman" w:hAnsi="Times New Roman" w:cs="Times New Roman"/>
                <w:sz w:val="24"/>
                <w:szCs w:val="24"/>
              </w:rPr>
              <w:t>12</w:t>
            </w:r>
          </w:p>
        </w:tc>
        <w:tc>
          <w:tcPr>
            <w:tcW w:w="2481" w:type="dxa"/>
            <w:tcBorders>
              <w:top w:val="nil"/>
              <w:left w:val="nil"/>
              <w:bottom w:val="nil"/>
              <w:right w:val="nil"/>
            </w:tcBorders>
          </w:tcPr>
          <w:p w14:paraId="1E97F8BC" w14:textId="2662DFF1" w:rsidR="008A1125" w:rsidRPr="00865792" w:rsidRDefault="0063333C" w:rsidP="00FC4AB3">
            <w:pPr>
              <w:jc w:val="center"/>
              <w:rPr>
                <w:rFonts w:ascii="Times New Roman" w:hAnsi="Times New Roman" w:cs="Times New Roman"/>
                <w:sz w:val="24"/>
                <w:szCs w:val="24"/>
              </w:rPr>
            </w:pPr>
            <w:r w:rsidRPr="00865792">
              <w:rPr>
                <w:rFonts w:ascii="Times New Roman" w:hAnsi="Times New Roman" w:cs="Times New Roman"/>
                <w:sz w:val="24"/>
                <w:szCs w:val="24"/>
              </w:rPr>
              <w:t>.</w:t>
            </w:r>
            <w:r w:rsidR="2B0C4100" w:rsidRPr="00865792">
              <w:rPr>
                <w:rFonts w:ascii="Times New Roman" w:hAnsi="Times New Roman" w:cs="Times New Roman"/>
                <w:sz w:val="24"/>
                <w:szCs w:val="24"/>
              </w:rPr>
              <w:t>16</w:t>
            </w:r>
            <w:r w:rsidRPr="00865792">
              <w:rPr>
                <w:rFonts w:ascii="Times New Roman" w:hAnsi="Times New Roman" w:cs="Times New Roman"/>
                <w:sz w:val="24"/>
                <w:szCs w:val="24"/>
              </w:rPr>
              <w:t>*</w:t>
            </w:r>
          </w:p>
        </w:tc>
        <w:tc>
          <w:tcPr>
            <w:tcW w:w="2189" w:type="dxa"/>
            <w:gridSpan w:val="2"/>
            <w:tcBorders>
              <w:top w:val="nil"/>
              <w:left w:val="nil"/>
              <w:bottom w:val="nil"/>
              <w:right w:val="nil"/>
            </w:tcBorders>
          </w:tcPr>
          <w:p w14:paraId="4CC8D319" w14:textId="44516866" w:rsidR="00A4142B" w:rsidRPr="00865792" w:rsidRDefault="00AD74CB" w:rsidP="00FC4AB3">
            <w:pPr>
              <w:jc w:val="center"/>
              <w:rPr>
                <w:rFonts w:ascii="Times New Roman" w:hAnsi="Times New Roman" w:cs="Times New Roman"/>
                <w:sz w:val="24"/>
                <w:szCs w:val="24"/>
              </w:rPr>
            </w:pPr>
            <w:r w:rsidRPr="00865792">
              <w:rPr>
                <w:rFonts w:ascii="Times New Roman" w:hAnsi="Times New Roman" w:cs="Times New Roman"/>
                <w:sz w:val="24"/>
                <w:szCs w:val="24"/>
              </w:rPr>
              <w:t>-.1</w:t>
            </w:r>
            <w:r w:rsidR="49BC7917" w:rsidRPr="00865792">
              <w:rPr>
                <w:rFonts w:ascii="Times New Roman" w:hAnsi="Times New Roman" w:cs="Times New Roman"/>
                <w:sz w:val="24"/>
                <w:szCs w:val="24"/>
              </w:rPr>
              <w:t>0</w:t>
            </w:r>
          </w:p>
        </w:tc>
      </w:tr>
      <w:tr w:rsidR="00C74537" w:rsidRPr="00C74537" w14:paraId="43A815DC" w14:textId="77777777" w:rsidTr="6E3AA9BD">
        <w:tc>
          <w:tcPr>
            <w:tcW w:w="2785" w:type="dxa"/>
            <w:tcBorders>
              <w:top w:val="nil"/>
              <w:left w:val="nil"/>
              <w:bottom w:val="nil"/>
              <w:right w:val="nil"/>
            </w:tcBorders>
          </w:tcPr>
          <w:p w14:paraId="4121424E" w14:textId="7ACC2F7A" w:rsidR="008A1125" w:rsidRPr="00C74537" w:rsidRDefault="008A1125" w:rsidP="6E3AA9BD">
            <w:pPr>
              <w:rPr>
                <w:rFonts w:ascii="Times New Roman" w:hAnsi="Times New Roman" w:cs="Times New Roman"/>
                <w:color w:val="A02B93" w:themeColor="accent5"/>
                <w:sz w:val="24"/>
                <w:szCs w:val="24"/>
              </w:rPr>
            </w:pPr>
            <w:r w:rsidRPr="6E3AA9BD">
              <w:rPr>
                <w:rFonts w:ascii="Times New Roman" w:hAnsi="Times New Roman" w:cs="Times New Roman"/>
                <w:sz w:val="24"/>
                <w:szCs w:val="24"/>
              </w:rPr>
              <w:t>12-month Hyporeactivity</w:t>
            </w:r>
          </w:p>
        </w:tc>
        <w:tc>
          <w:tcPr>
            <w:tcW w:w="1895" w:type="dxa"/>
            <w:tcBorders>
              <w:top w:val="nil"/>
              <w:left w:val="nil"/>
              <w:bottom w:val="nil"/>
              <w:right w:val="nil"/>
            </w:tcBorders>
          </w:tcPr>
          <w:p w14:paraId="33F98B5E" w14:textId="68978D23" w:rsidR="008A1125" w:rsidRPr="00865792" w:rsidRDefault="009B690A" w:rsidP="00FC4AB3">
            <w:pPr>
              <w:jc w:val="center"/>
              <w:rPr>
                <w:rFonts w:ascii="Times New Roman" w:hAnsi="Times New Roman" w:cs="Times New Roman"/>
                <w:sz w:val="24"/>
                <w:szCs w:val="24"/>
              </w:rPr>
            </w:pPr>
            <w:r w:rsidRPr="00865792">
              <w:rPr>
                <w:rFonts w:ascii="Times New Roman" w:hAnsi="Times New Roman" w:cs="Times New Roman"/>
                <w:sz w:val="24"/>
                <w:szCs w:val="24"/>
              </w:rPr>
              <w:t>.</w:t>
            </w:r>
            <w:r w:rsidR="59AA5056" w:rsidRPr="00865792">
              <w:rPr>
                <w:rFonts w:ascii="Times New Roman" w:hAnsi="Times New Roman" w:cs="Times New Roman"/>
                <w:sz w:val="24"/>
                <w:szCs w:val="24"/>
              </w:rPr>
              <w:t>11</w:t>
            </w:r>
          </w:p>
        </w:tc>
        <w:tc>
          <w:tcPr>
            <w:tcW w:w="2481" w:type="dxa"/>
            <w:tcBorders>
              <w:top w:val="nil"/>
              <w:left w:val="nil"/>
              <w:bottom w:val="nil"/>
              <w:right w:val="nil"/>
            </w:tcBorders>
          </w:tcPr>
          <w:p w14:paraId="0764779C" w14:textId="0AEB8965" w:rsidR="008A1125" w:rsidRPr="00865792" w:rsidRDefault="00587F5F" w:rsidP="00FC4AB3">
            <w:pPr>
              <w:jc w:val="center"/>
              <w:rPr>
                <w:rFonts w:ascii="Times New Roman" w:hAnsi="Times New Roman" w:cs="Times New Roman"/>
                <w:sz w:val="24"/>
                <w:szCs w:val="24"/>
              </w:rPr>
            </w:pPr>
            <w:r w:rsidRPr="00865792">
              <w:rPr>
                <w:rFonts w:ascii="Times New Roman" w:hAnsi="Times New Roman" w:cs="Times New Roman"/>
                <w:sz w:val="24"/>
                <w:szCs w:val="24"/>
              </w:rPr>
              <w:t>.</w:t>
            </w:r>
            <w:r w:rsidR="64B29900" w:rsidRPr="00865792">
              <w:rPr>
                <w:rFonts w:ascii="Times New Roman" w:hAnsi="Times New Roman" w:cs="Times New Roman"/>
                <w:sz w:val="24"/>
                <w:szCs w:val="24"/>
              </w:rPr>
              <w:t>08</w:t>
            </w:r>
          </w:p>
        </w:tc>
        <w:tc>
          <w:tcPr>
            <w:tcW w:w="2189" w:type="dxa"/>
            <w:gridSpan w:val="2"/>
            <w:tcBorders>
              <w:top w:val="nil"/>
              <w:left w:val="nil"/>
              <w:bottom w:val="nil"/>
              <w:right w:val="nil"/>
            </w:tcBorders>
          </w:tcPr>
          <w:p w14:paraId="13050BF3" w14:textId="436AE28E" w:rsidR="008A1125" w:rsidRPr="00865792" w:rsidRDefault="00BB698F" w:rsidP="00FC4AB3">
            <w:pPr>
              <w:jc w:val="center"/>
              <w:rPr>
                <w:rFonts w:ascii="Times New Roman" w:hAnsi="Times New Roman" w:cs="Times New Roman"/>
                <w:sz w:val="24"/>
                <w:szCs w:val="24"/>
              </w:rPr>
            </w:pPr>
            <w:r w:rsidRPr="00865792">
              <w:rPr>
                <w:rFonts w:ascii="Times New Roman" w:hAnsi="Times New Roman" w:cs="Times New Roman"/>
                <w:sz w:val="24"/>
                <w:szCs w:val="24"/>
              </w:rPr>
              <w:t>.0</w:t>
            </w:r>
            <w:r w:rsidR="51EA25EF" w:rsidRPr="00865792">
              <w:rPr>
                <w:rFonts w:ascii="Times New Roman" w:hAnsi="Times New Roman" w:cs="Times New Roman"/>
                <w:sz w:val="24"/>
                <w:szCs w:val="24"/>
              </w:rPr>
              <w:t>1</w:t>
            </w:r>
          </w:p>
        </w:tc>
      </w:tr>
      <w:tr w:rsidR="00C74537" w:rsidRPr="00C74537" w14:paraId="2B35AEE8" w14:textId="77777777" w:rsidTr="6E3AA9BD">
        <w:tc>
          <w:tcPr>
            <w:tcW w:w="2785" w:type="dxa"/>
            <w:tcBorders>
              <w:top w:val="nil"/>
              <w:left w:val="nil"/>
              <w:bottom w:val="nil"/>
              <w:right w:val="nil"/>
            </w:tcBorders>
          </w:tcPr>
          <w:p w14:paraId="40DA93D3" w14:textId="32A8A4ED" w:rsidR="008A1125" w:rsidRPr="00C74537" w:rsidRDefault="00A96765" w:rsidP="6E3AA9BD">
            <w:pPr>
              <w:rPr>
                <w:rFonts w:ascii="Times New Roman" w:hAnsi="Times New Roman" w:cs="Times New Roman"/>
                <w:color w:val="A02B93" w:themeColor="accent5"/>
                <w:sz w:val="24"/>
                <w:szCs w:val="24"/>
              </w:rPr>
            </w:pPr>
            <w:r w:rsidRPr="6E3AA9BD">
              <w:rPr>
                <w:rFonts w:ascii="Times New Roman" w:hAnsi="Times New Roman" w:cs="Times New Roman"/>
                <w:sz w:val="24"/>
                <w:szCs w:val="24"/>
              </w:rPr>
              <w:t xml:space="preserve">6-month </w:t>
            </w:r>
            <w:r w:rsidR="008A1125" w:rsidRPr="6E3AA9BD">
              <w:rPr>
                <w:rFonts w:ascii="Times New Roman" w:hAnsi="Times New Roman" w:cs="Times New Roman"/>
                <w:sz w:val="24"/>
                <w:szCs w:val="24"/>
              </w:rPr>
              <w:t>Sensitivity</w:t>
            </w:r>
          </w:p>
        </w:tc>
        <w:tc>
          <w:tcPr>
            <w:tcW w:w="1895" w:type="dxa"/>
            <w:tcBorders>
              <w:top w:val="nil"/>
              <w:left w:val="nil"/>
              <w:bottom w:val="nil"/>
              <w:right w:val="nil"/>
            </w:tcBorders>
          </w:tcPr>
          <w:p w14:paraId="1C65D501" w14:textId="39DAF445" w:rsidR="008A1125" w:rsidRPr="00865792" w:rsidRDefault="009B690A" w:rsidP="6E3AA9BD">
            <w:pPr>
              <w:jc w:val="center"/>
              <w:rPr>
                <w:rFonts w:ascii="Times New Roman" w:hAnsi="Times New Roman" w:cs="Times New Roman"/>
                <w:sz w:val="24"/>
                <w:szCs w:val="24"/>
              </w:rPr>
            </w:pPr>
            <w:r w:rsidRPr="00865792">
              <w:rPr>
                <w:rFonts w:ascii="Times New Roman" w:hAnsi="Times New Roman" w:cs="Times New Roman"/>
                <w:sz w:val="24"/>
                <w:szCs w:val="24"/>
              </w:rPr>
              <w:t>.09</w:t>
            </w:r>
          </w:p>
        </w:tc>
        <w:tc>
          <w:tcPr>
            <w:tcW w:w="2481" w:type="dxa"/>
            <w:tcBorders>
              <w:top w:val="nil"/>
              <w:left w:val="nil"/>
              <w:bottom w:val="nil"/>
              <w:right w:val="nil"/>
            </w:tcBorders>
          </w:tcPr>
          <w:p w14:paraId="09A9488E" w14:textId="56B09CDE" w:rsidR="008A1125" w:rsidRPr="00865792" w:rsidRDefault="00587F5F" w:rsidP="6E3AA9BD">
            <w:pPr>
              <w:jc w:val="center"/>
              <w:rPr>
                <w:rFonts w:ascii="Times New Roman" w:hAnsi="Times New Roman" w:cs="Times New Roman"/>
                <w:sz w:val="24"/>
                <w:szCs w:val="24"/>
              </w:rPr>
            </w:pPr>
            <w:r w:rsidRPr="00865792">
              <w:rPr>
                <w:rFonts w:ascii="Times New Roman" w:hAnsi="Times New Roman" w:cs="Times New Roman"/>
                <w:sz w:val="24"/>
                <w:szCs w:val="24"/>
              </w:rPr>
              <w:t>.15*</w:t>
            </w:r>
          </w:p>
        </w:tc>
        <w:tc>
          <w:tcPr>
            <w:tcW w:w="2189" w:type="dxa"/>
            <w:gridSpan w:val="2"/>
            <w:tcBorders>
              <w:top w:val="nil"/>
              <w:left w:val="nil"/>
              <w:bottom w:val="nil"/>
              <w:right w:val="nil"/>
            </w:tcBorders>
          </w:tcPr>
          <w:p w14:paraId="49E32CAC" w14:textId="414B1948" w:rsidR="008A1125" w:rsidRPr="00865792" w:rsidRDefault="00674491" w:rsidP="6E3AA9BD">
            <w:pPr>
              <w:jc w:val="center"/>
              <w:rPr>
                <w:rFonts w:ascii="Times New Roman" w:hAnsi="Times New Roman" w:cs="Times New Roman"/>
                <w:sz w:val="24"/>
                <w:szCs w:val="24"/>
              </w:rPr>
            </w:pPr>
            <w:r w:rsidRPr="00865792">
              <w:rPr>
                <w:rFonts w:ascii="Times New Roman" w:hAnsi="Times New Roman" w:cs="Times New Roman"/>
                <w:sz w:val="24"/>
                <w:szCs w:val="24"/>
              </w:rPr>
              <w:t>.06</w:t>
            </w:r>
          </w:p>
        </w:tc>
      </w:tr>
      <w:tr w:rsidR="00C74537" w:rsidRPr="00C74537" w14:paraId="682EE6E6" w14:textId="77777777" w:rsidTr="6E3AA9BD">
        <w:tc>
          <w:tcPr>
            <w:tcW w:w="2785" w:type="dxa"/>
            <w:tcBorders>
              <w:top w:val="nil"/>
              <w:left w:val="nil"/>
              <w:bottom w:val="nil"/>
              <w:right w:val="nil"/>
            </w:tcBorders>
          </w:tcPr>
          <w:p w14:paraId="072262AA" w14:textId="507C2AE0" w:rsidR="008A1125" w:rsidRPr="00C74537" w:rsidRDefault="00A96765" w:rsidP="6E3AA9BD">
            <w:pPr>
              <w:rPr>
                <w:rFonts w:ascii="Times New Roman" w:hAnsi="Times New Roman" w:cs="Times New Roman"/>
                <w:color w:val="A02B93" w:themeColor="accent5"/>
                <w:sz w:val="24"/>
                <w:szCs w:val="24"/>
              </w:rPr>
            </w:pPr>
            <w:r w:rsidRPr="6E3AA9BD">
              <w:rPr>
                <w:rFonts w:ascii="Times New Roman" w:hAnsi="Times New Roman" w:cs="Times New Roman"/>
                <w:sz w:val="24"/>
                <w:szCs w:val="24"/>
              </w:rPr>
              <w:t xml:space="preserve">12-month </w:t>
            </w:r>
            <w:r w:rsidR="008A1125" w:rsidRPr="6E3AA9BD">
              <w:rPr>
                <w:rFonts w:ascii="Times New Roman" w:hAnsi="Times New Roman" w:cs="Times New Roman"/>
                <w:sz w:val="24"/>
                <w:szCs w:val="24"/>
              </w:rPr>
              <w:t>Sensitivity</w:t>
            </w:r>
          </w:p>
        </w:tc>
        <w:tc>
          <w:tcPr>
            <w:tcW w:w="1895" w:type="dxa"/>
            <w:tcBorders>
              <w:top w:val="nil"/>
              <w:left w:val="nil"/>
              <w:bottom w:val="nil"/>
              <w:right w:val="nil"/>
            </w:tcBorders>
          </w:tcPr>
          <w:p w14:paraId="4D2FD9BE" w14:textId="056F52D8" w:rsidR="008A1125" w:rsidRPr="00C74537" w:rsidRDefault="009B690A" w:rsidP="6E3AA9BD">
            <w:pPr>
              <w:jc w:val="center"/>
              <w:rPr>
                <w:rFonts w:ascii="Times New Roman" w:hAnsi="Times New Roman" w:cs="Times New Roman"/>
                <w:color w:val="A02B93" w:themeColor="accent5"/>
                <w:sz w:val="24"/>
                <w:szCs w:val="24"/>
              </w:rPr>
            </w:pPr>
            <w:r w:rsidRPr="6E3AA9BD">
              <w:rPr>
                <w:rFonts w:ascii="Times New Roman" w:hAnsi="Times New Roman" w:cs="Times New Roman"/>
                <w:sz w:val="24"/>
                <w:szCs w:val="24"/>
              </w:rPr>
              <w:t>.05</w:t>
            </w:r>
          </w:p>
        </w:tc>
        <w:tc>
          <w:tcPr>
            <w:tcW w:w="2481" w:type="dxa"/>
            <w:tcBorders>
              <w:top w:val="nil"/>
              <w:left w:val="nil"/>
              <w:bottom w:val="nil"/>
              <w:right w:val="nil"/>
            </w:tcBorders>
          </w:tcPr>
          <w:p w14:paraId="3FC11A87" w14:textId="3834B0DE" w:rsidR="008A1125" w:rsidRPr="00C74537" w:rsidRDefault="00587F5F" w:rsidP="6E3AA9BD">
            <w:pPr>
              <w:jc w:val="center"/>
              <w:rPr>
                <w:rFonts w:ascii="Times New Roman" w:hAnsi="Times New Roman" w:cs="Times New Roman"/>
                <w:color w:val="A02B93" w:themeColor="accent5"/>
                <w:sz w:val="24"/>
                <w:szCs w:val="24"/>
              </w:rPr>
            </w:pPr>
            <w:r w:rsidRPr="6E3AA9BD">
              <w:rPr>
                <w:rFonts w:ascii="Times New Roman" w:hAnsi="Times New Roman" w:cs="Times New Roman"/>
                <w:sz w:val="24"/>
                <w:szCs w:val="24"/>
              </w:rPr>
              <w:t>.29**</w:t>
            </w:r>
            <w:r w:rsidR="009345B2" w:rsidRPr="6E3AA9BD">
              <w:rPr>
                <w:rFonts w:ascii="Times New Roman" w:hAnsi="Times New Roman" w:cs="Times New Roman"/>
                <w:sz w:val="24"/>
                <w:szCs w:val="24"/>
              </w:rPr>
              <w:t>*</w:t>
            </w:r>
          </w:p>
        </w:tc>
        <w:tc>
          <w:tcPr>
            <w:tcW w:w="2189" w:type="dxa"/>
            <w:gridSpan w:val="2"/>
            <w:tcBorders>
              <w:top w:val="nil"/>
              <w:left w:val="nil"/>
              <w:bottom w:val="nil"/>
              <w:right w:val="nil"/>
            </w:tcBorders>
          </w:tcPr>
          <w:p w14:paraId="60D861DB" w14:textId="689A0A4F" w:rsidR="008A1125" w:rsidRPr="00C74537" w:rsidRDefault="00674491" w:rsidP="6E3AA9BD">
            <w:pPr>
              <w:jc w:val="center"/>
              <w:rPr>
                <w:rFonts w:ascii="Times New Roman" w:hAnsi="Times New Roman" w:cs="Times New Roman"/>
                <w:color w:val="A02B93" w:themeColor="accent5"/>
                <w:sz w:val="24"/>
                <w:szCs w:val="24"/>
              </w:rPr>
            </w:pPr>
            <w:r w:rsidRPr="6E3AA9BD">
              <w:rPr>
                <w:rFonts w:ascii="Times New Roman" w:hAnsi="Times New Roman" w:cs="Times New Roman"/>
                <w:sz w:val="24"/>
                <w:szCs w:val="24"/>
              </w:rPr>
              <w:t>.06</w:t>
            </w:r>
          </w:p>
        </w:tc>
      </w:tr>
      <w:tr w:rsidR="00C74537" w:rsidRPr="00C74537" w14:paraId="36543450" w14:textId="77777777" w:rsidTr="6E3AA9BD">
        <w:tc>
          <w:tcPr>
            <w:tcW w:w="2785" w:type="dxa"/>
            <w:tcBorders>
              <w:top w:val="nil"/>
              <w:left w:val="nil"/>
              <w:bottom w:val="nil"/>
              <w:right w:val="nil"/>
            </w:tcBorders>
          </w:tcPr>
          <w:p w14:paraId="4798767C" w14:textId="2A829624" w:rsidR="008A1125" w:rsidRPr="00C74537" w:rsidRDefault="00A96765" w:rsidP="6E3AA9BD">
            <w:pPr>
              <w:rPr>
                <w:rFonts w:ascii="Times New Roman" w:hAnsi="Times New Roman" w:cs="Times New Roman"/>
                <w:color w:val="A02B93" w:themeColor="accent5"/>
                <w:sz w:val="24"/>
                <w:szCs w:val="24"/>
              </w:rPr>
            </w:pPr>
            <w:r w:rsidRPr="6E3AA9BD">
              <w:rPr>
                <w:rFonts w:ascii="Times New Roman" w:hAnsi="Times New Roman" w:cs="Times New Roman"/>
                <w:sz w:val="24"/>
                <w:szCs w:val="24"/>
              </w:rPr>
              <w:t xml:space="preserve">6-month </w:t>
            </w:r>
            <w:r w:rsidR="008A1125" w:rsidRPr="6E3AA9BD">
              <w:rPr>
                <w:rFonts w:ascii="Times New Roman" w:hAnsi="Times New Roman" w:cs="Times New Roman"/>
                <w:sz w:val="24"/>
                <w:szCs w:val="24"/>
              </w:rPr>
              <w:t>Intrusiveness</w:t>
            </w:r>
          </w:p>
        </w:tc>
        <w:tc>
          <w:tcPr>
            <w:tcW w:w="1895" w:type="dxa"/>
            <w:tcBorders>
              <w:top w:val="nil"/>
              <w:left w:val="nil"/>
              <w:bottom w:val="nil"/>
              <w:right w:val="nil"/>
            </w:tcBorders>
          </w:tcPr>
          <w:p w14:paraId="3F063F2D" w14:textId="6D2FCFCE" w:rsidR="008A1125" w:rsidRPr="00C74537" w:rsidRDefault="009B690A" w:rsidP="6E3AA9BD">
            <w:pPr>
              <w:jc w:val="center"/>
              <w:rPr>
                <w:rFonts w:ascii="Times New Roman" w:hAnsi="Times New Roman" w:cs="Times New Roman"/>
                <w:color w:val="A02B93" w:themeColor="accent5"/>
                <w:sz w:val="24"/>
                <w:szCs w:val="24"/>
              </w:rPr>
            </w:pPr>
            <w:r w:rsidRPr="6E3AA9BD">
              <w:rPr>
                <w:rFonts w:ascii="Times New Roman" w:hAnsi="Times New Roman" w:cs="Times New Roman"/>
                <w:sz w:val="24"/>
                <w:szCs w:val="24"/>
              </w:rPr>
              <w:t>-.00</w:t>
            </w:r>
          </w:p>
        </w:tc>
        <w:tc>
          <w:tcPr>
            <w:tcW w:w="2481" w:type="dxa"/>
            <w:tcBorders>
              <w:top w:val="nil"/>
              <w:left w:val="nil"/>
              <w:bottom w:val="nil"/>
              <w:right w:val="nil"/>
            </w:tcBorders>
          </w:tcPr>
          <w:p w14:paraId="6DB269CD" w14:textId="189CEF71" w:rsidR="008A1125" w:rsidRPr="00C74537" w:rsidRDefault="000801C1" w:rsidP="6E3AA9BD">
            <w:pPr>
              <w:jc w:val="center"/>
              <w:rPr>
                <w:rFonts w:ascii="Times New Roman" w:hAnsi="Times New Roman" w:cs="Times New Roman"/>
                <w:color w:val="A02B93" w:themeColor="accent5"/>
                <w:sz w:val="24"/>
                <w:szCs w:val="24"/>
              </w:rPr>
            </w:pPr>
            <w:r w:rsidRPr="6E3AA9BD">
              <w:rPr>
                <w:rFonts w:ascii="Times New Roman" w:hAnsi="Times New Roman" w:cs="Times New Roman"/>
                <w:sz w:val="24"/>
                <w:szCs w:val="24"/>
              </w:rPr>
              <w:t>-.16*</w:t>
            </w:r>
          </w:p>
        </w:tc>
        <w:tc>
          <w:tcPr>
            <w:tcW w:w="2189" w:type="dxa"/>
            <w:gridSpan w:val="2"/>
            <w:tcBorders>
              <w:top w:val="nil"/>
              <w:left w:val="nil"/>
              <w:bottom w:val="nil"/>
              <w:right w:val="nil"/>
            </w:tcBorders>
          </w:tcPr>
          <w:p w14:paraId="24E9BF14" w14:textId="6BDDB2CA" w:rsidR="008A1125" w:rsidRPr="00C74537" w:rsidRDefault="00674491" w:rsidP="6E3AA9BD">
            <w:pPr>
              <w:jc w:val="center"/>
              <w:rPr>
                <w:rFonts w:ascii="Times New Roman" w:hAnsi="Times New Roman" w:cs="Times New Roman"/>
                <w:color w:val="A02B93" w:themeColor="accent5"/>
                <w:sz w:val="24"/>
                <w:szCs w:val="24"/>
              </w:rPr>
            </w:pPr>
            <w:r w:rsidRPr="6E3AA9BD">
              <w:rPr>
                <w:rFonts w:ascii="Times New Roman" w:hAnsi="Times New Roman" w:cs="Times New Roman"/>
                <w:sz w:val="24"/>
                <w:szCs w:val="24"/>
              </w:rPr>
              <w:t>.04</w:t>
            </w:r>
          </w:p>
        </w:tc>
      </w:tr>
      <w:tr w:rsidR="00C74537" w:rsidRPr="00C74537" w14:paraId="45ACF5DA" w14:textId="77777777" w:rsidTr="6E3AA9BD">
        <w:trPr>
          <w:trHeight w:val="300"/>
        </w:trPr>
        <w:tc>
          <w:tcPr>
            <w:tcW w:w="2785" w:type="dxa"/>
            <w:tcBorders>
              <w:top w:val="nil"/>
              <w:left w:val="nil"/>
              <w:bottom w:val="single" w:sz="8" w:space="0" w:color="000000" w:themeColor="text1"/>
              <w:right w:val="nil"/>
            </w:tcBorders>
          </w:tcPr>
          <w:p w14:paraId="6DB8059F" w14:textId="11D912CF" w:rsidR="008A1125" w:rsidRPr="00C74537" w:rsidRDefault="00A96765" w:rsidP="6E3AA9BD">
            <w:pPr>
              <w:rPr>
                <w:rFonts w:ascii="Times New Roman" w:hAnsi="Times New Roman" w:cs="Times New Roman"/>
                <w:color w:val="A02B93" w:themeColor="accent5"/>
                <w:sz w:val="24"/>
                <w:szCs w:val="24"/>
              </w:rPr>
            </w:pPr>
            <w:r w:rsidRPr="6E3AA9BD">
              <w:rPr>
                <w:rFonts w:ascii="Times New Roman" w:hAnsi="Times New Roman" w:cs="Times New Roman"/>
                <w:sz w:val="24"/>
                <w:szCs w:val="24"/>
              </w:rPr>
              <w:t xml:space="preserve">12-month </w:t>
            </w:r>
            <w:r w:rsidR="008A1125" w:rsidRPr="6E3AA9BD">
              <w:rPr>
                <w:rFonts w:ascii="Times New Roman" w:hAnsi="Times New Roman" w:cs="Times New Roman"/>
                <w:sz w:val="24"/>
                <w:szCs w:val="24"/>
              </w:rPr>
              <w:t>Intrusiveness</w:t>
            </w:r>
          </w:p>
        </w:tc>
        <w:tc>
          <w:tcPr>
            <w:tcW w:w="1895" w:type="dxa"/>
            <w:tcBorders>
              <w:top w:val="nil"/>
              <w:left w:val="nil"/>
              <w:bottom w:val="single" w:sz="8" w:space="0" w:color="000000" w:themeColor="text1"/>
              <w:right w:val="nil"/>
            </w:tcBorders>
          </w:tcPr>
          <w:p w14:paraId="47BC94C8" w14:textId="7CCD06D6" w:rsidR="008A1125" w:rsidRPr="00C74537" w:rsidRDefault="009B690A" w:rsidP="6E3AA9BD">
            <w:pPr>
              <w:jc w:val="center"/>
              <w:rPr>
                <w:rFonts w:ascii="Times New Roman" w:hAnsi="Times New Roman" w:cs="Times New Roman"/>
                <w:color w:val="A02B93" w:themeColor="accent5"/>
                <w:sz w:val="24"/>
                <w:szCs w:val="24"/>
              </w:rPr>
            </w:pPr>
            <w:r w:rsidRPr="6E3AA9BD">
              <w:rPr>
                <w:rFonts w:ascii="Times New Roman" w:hAnsi="Times New Roman" w:cs="Times New Roman"/>
                <w:sz w:val="24"/>
                <w:szCs w:val="24"/>
              </w:rPr>
              <w:t>-.03</w:t>
            </w:r>
          </w:p>
        </w:tc>
        <w:tc>
          <w:tcPr>
            <w:tcW w:w="2481" w:type="dxa"/>
            <w:tcBorders>
              <w:top w:val="nil"/>
              <w:left w:val="nil"/>
              <w:bottom w:val="single" w:sz="8" w:space="0" w:color="000000" w:themeColor="text1"/>
              <w:right w:val="nil"/>
            </w:tcBorders>
          </w:tcPr>
          <w:p w14:paraId="28A4856A" w14:textId="70884E67" w:rsidR="008A1125" w:rsidRPr="00C74537" w:rsidRDefault="000801C1" w:rsidP="6E3AA9BD">
            <w:pPr>
              <w:jc w:val="center"/>
              <w:rPr>
                <w:rFonts w:ascii="Times New Roman" w:hAnsi="Times New Roman" w:cs="Times New Roman"/>
                <w:color w:val="A02B93" w:themeColor="accent5"/>
                <w:sz w:val="24"/>
                <w:szCs w:val="24"/>
              </w:rPr>
            </w:pPr>
            <w:r w:rsidRPr="6E3AA9BD">
              <w:rPr>
                <w:rFonts w:ascii="Times New Roman" w:hAnsi="Times New Roman" w:cs="Times New Roman"/>
                <w:sz w:val="24"/>
                <w:szCs w:val="24"/>
              </w:rPr>
              <w:t>-.23**</w:t>
            </w:r>
            <w:r w:rsidR="009345B2" w:rsidRPr="6E3AA9BD">
              <w:rPr>
                <w:rFonts w:ascii="Times New Roman" w:hAnsi="Times New Roman" w:cs="Times New Roman"/>
                <w:sz w:val="24"/>
                <w:szCs w:val="24"/>
              </w:rPr>
              <w:t>*</w:t>
            </w:r>
          </w:p>
        </w:tc>
        <w:tc>
          <w:tcPr>
            <w:tcW w:w="2189" w:type="dxa"/>
            <w:gridSpan w:val="2"/>
            <w:tcBorders>
              <w:top w:val="nil"/>
              <w:left w:val="nil"/>
              <w:bottom w:val="single" w:sz="8" w:space="0" w:color="000000" w:themeColor="text1"/>
              <w:right w:val="nil"/>
            </w:tcBorders>
          </w:tcPr>
          <w:p w14:paraId="4F352A84" w14:textId="53BAC799" w:rsidR="008A1125" w:rsidRPr="00C74537" w:rsidRDefault="00674491" w:rsidP="6E3AA9BD">
            <w:pPr>
              <w:jc w:val="center"/>
              <w:rPr>
                <w:rFonts w:ascii="Times New Roman" w:hAnsi="Times New Roman" w:cs="Times New Roman"/>
                <w:color w:val="A02B93" w:themeColor="accent5"/>
                <w:sz w:val="24"/>
                <w:szCs w:val="24"/>
              </w:rPr>
            </w:pPr>
            <w:r w:rsidRPr="6E3AA9BD">
              <w:rPr>
                <w:rFonts w:ascii="Times New Roman" w:hAnsi="Times New Roman" w:cs="Times New Roman"/>
                <w:sz w:val="24"/>
                <w:szCs w:val="24"/>
              </w:rPr>
              <w:t>.03</w:t>
            </w:r>
          </w:p>
        </w:tc>
      </w:tr>
      <w:tr w:rsidR="00865792" w:rsidRPr="00865792" w14:paraId="51DDE6E4" w14:textId="77777777" w:rsidTr="6E3AA9BD">
        <w:tc>
          <w:tcPr>
            <w:tcW w:w="9350" w:type="dxa"/>
            <w:gridSpan w:val="5"/>
            <w:tcBorders>
              <w:top w:val="single" w:sz="8" w:space="0" w:color="000000" w:themeColor="text1"/>
              <w:left w:val="none" w:sz="8" w:space="0" w:color="000000" w:themeColor="text1"/>
              <w:bottom w:val="single" w:sz="8" w:space="0" w:color="000000" w:themeColor="text1"/>
              <w:right w:val="none" w:sz="8" w:space="0" w:color="000000" w:themeColor="text1"/>
            </w:tcBorders>
          </w:tcPr>
          <w:p w14:paraId="1D987620" w14:textId="77777777" w:rsidR="00FC4AB3" w:rsidRPr="00865792" w:rsidRDefault="00EB192F" w:rsidP="6E3AA9BD">
            <w:pPr>
              <w:rPr>
                <w:rFonts w:ascii="Times New Roman" w:hAnsi="Times New Roman" w:cs="Times New Roman"/>
                <w:sz w:val="20"/>
                <w:szCs w:val="20"/>
              </w:rPr>
            </w:pPr>
            <w:r w:rsidRPr="00865792">
              <w:rPr>
                <w:rFonts w:ascii="Times New Roman" w:hAnsi="Times New Roman" w:cs="Times New Roman"/>
                <w:sz w:val="20"/>
                <w:szCs w:val="20"/>
              </w:rPr>
              <w:t>*</w:t>
            </w:r>
            <w:r w:rsidRPr="00865792">
              <w:rPr>
                <w:rFonts w:ascii="Times New Roman" w:hAnsi="Times New Roman" w:cs="Times New Roman"/>
                <w:i/>
                <w:iCs/>
                <w:sz w:val="20"/>
                <w:szCs w:val="20"/>
              </w:rPr>
              <w:t>p</w:t>
            </w:r>
            <w:r w:rsidRPr="00865792">
              <w:rPr>
                <w:rFonts w:ascii="Times New Roman" w:hAnsi="Times New Roman" w:cs="Times New Roman"/>
                <w:sz w:val="20"/>
                <w:szCs w:val="20"/>
              </w:rPr>
              <w:t xml:space="preserve"> &lt; .05</w:t>
            </w:r>
          </w:p>
          <w:p w14:paraId="6B40EFA9" w14:textId="77777777" w:rsidR="00EB192F" w:rsidRPr="00865792" w:rsidRDefault="00EB192F" w:rsidP="6E3AA9BD">
            <w:pPr>
              <w:rPr>
                <w:rFonts w:ascii="Times New Roman" w:hAnsi="Times New Roman" w:cs="Times New Roman"/>
                <w:sz w:val="20"/>
                <w:szCs w:val="20"/>
              </w:rPr>
            </w:pPr>
            <w:r w:rsidRPr="00865792">
              <w:rPr>
                <w:rFonts w:ascii="Times New Roman" w:hAnsi="Times New Roman" w:cs="Times New Roman"/>
                <w:sz w:val="20"/>
                <w:szCs w:val="20"/>
              </w:rPr>
              <w:t>**</w:t>
            </w:r>
            <w:r w:rsidRPr="00865792">
              <w:rPr>
                <w:rFonts w:ascii="Times New Roman" w:hAnsi="Times New Roman" w:cs="Times New Roman"/>
                <w:i/>
                <w:iCs/>
                <w:sz w:val="20"/>
                <w:szCs w:val="20"/>
              </w:rPr>
              <w:t>p</w:t>
            </w:r>
            <w:r w:rsidRPr="00865792">
              <w:rPr>
                <w:rFonts w:ascii="Times New Roman" w:hAnsi="Times New Roman" w:cs="Times New Roman"/>
                <w:sz w:val="20"/>
                <w:szCs w:val="20"/>
              </w:rPr>
              <w:t xml:space="preserve"> &lt; .01</w:t>
            </w:r>
          </w:p>
          <w:p w14:paraId="3E5263BF" w14:textId="51784472" w:rsidR="00EB192F" w:rsidRPr="00865792" w:rsidRDefault="00EB192F" w:rsidP="6E3AA9BD">
            <w:pPr>
              <w:rPr>
                <w:rFonts w:ascii="Times New Roman" w:hAnsi="Times New Roman" w:cs="Times New Roman"/>
                <w:sz w:val="24"/>
                <w:szCs w:val="24"/>
              </w:rPr>
            </w:pPr>
            <w:r w:rsidRPr="00865792">
              <w:rPr>
                <w:rFonts w:ascii="Times New Roman" w:hAnsi="Times New Roman" w:cs="Times New Roman"/>
                <w:sz w:val="20"/>
                <w:szCs w:val="20"/>
              </w:rPr>
              <w:t>***</w:t>
            </w:r>
            <w:r w:rsidRPr="00865792">
              <w:rPr>
                <w:rFonts w:ascii="Times New Roman" w:hAnsi="Times New Roman" w:cs="Times New Roman"/>
                <w:i/>
                <w:iCs/>
                <w:sz w:val="20"/>
                <w:szCs w:val="20"/>
              </w:rPr>
              <w:t>p</w:t>
            </w:r>
            <w:r w:rsidRPr="00865792">
              <w:rPr>
                <w:rFonts w:ascii="Times New Roman" w:hAnsi="Times New Roman" w:cs="Times New Roman"/>
                <w:sz w:val="20"/>
                <w:szCs w:val="20"/>
              </w:rPr>
              <w:t xml:space="preserve"> &lt; .001</w:t>
            </w:r>
          </w:p>
          <w:p w14:paraId="154D8D08" w14:textId="700B47F6" w:rsidR="00EB192F" w:rsidRPr="00865792" w:rsidRDefault="49F7767C" w:rsidP="6E3AA9BD">
            <w:pPr>
              <w:rPr>
                <w:rFonts w:ascii="Times New Roman" w:hAnsi="Times New Roman" w:cs="Times New Roman"/>
                <w:sz w:val="20"/>
                <w:szCs w:val="20"/>
              </w:rPr>
            </w:pPr>
            <w:r w:rsidRPr="00865792">
              <w:rPr>
                <w:rFonts w:ascii="Times New Roman" w:hAnsi="Times New Roman" w:cs="Times New Roman"/>
                <w:i/>
                <w:iCs/>
                <w:sz w:val="20"/>
                <w:szCs w:val="20"/>
              </w:rPr>
              <w:t xml:space="preserve">Note: </w:t>
            </w:r>
            <w:r w:rsidRPr="00865792">
              <w:rPr>
                <w:rFonts w:ascii="Times New Roman" w:hAnsi="Times New Roman" w:cs="Times New Roman"/>
                <w:sz w:val="20"/>
                <w:szCs w:val="20"/>
              </w:rPr>
              <w:t>The hyporeactivity subscale is equivalent to the original IBQ-R Perceptual Sensitivity subscale, reverse scored.</w:t>
            </w:r>
          </w:p>
        </w:tc>
      </w:tr>
    </w:tbl>
    <w:p w14:paraId="55A2C8A7" w14:textId="0471BC1E" w:rsidR="00991BAE" w:rsidRPr="00865792" w:rsidRDefault="00B46F38" w:rsidP="6E3AA9BD">
      <w:pPr>
        <w:spacing w:after="0" w:line="480" w:lineRule="auto"/>
        <w:rPr>
          <w:rFonts w:ascii="Times New Roman" w:hAnsi="Times New Roman" w:cs="Times New Roman"/>
          <w:b/>
          <w:bCs/>
          <w:sz w:val="24"/>
          <w:szCs w:val="24"/>
        </w:rPr>
      </w:pPr>
      <w:r w:rsidRPr="00865792">
        <w:rPr>
          <w:rFonts w:ascii="Times New Roman" w:hAnsi="Times New Roman" w:cs="Times New Roman"/>
          <w:b/>
          <w:bCs/>
          <w:sz w:val="24"/>
          <w:szCs w:val="24"/>
        </w:rPr>
        <w:t>Mental Health and Neurodevelopmental Conditions within the Sample</w:t>
      </w:r>
    </w:p>
    <w:p w14:paraId="7FA09B50" w14:textId="16613418" w:rsidR="00B46F38" w:rsidRPr="00865792" w:rsidRDefault="00534148" w:rsidP="6E3AA9BD">
      <w:pPr>
        <w:spacing w:after="0" w:line="480" w:lineRule="auto"/>
        <w:rPr>
          <w:rFonts w:ascii="Times New Roman" w:hAnsi="Times New Roman" w:cs="Times New Roman"/>
          <w:sz w:val="24"/>
          <w:szCs w:val="24"/>
        </w:rPr>
      </w:pPr>
      <w:r w:rsidRPr="00865792">
        <w:rPr>
          <w:rFonts w:ascii="Times New Roman" w:hAnsi="Times New Roman" w:cs="Times New Roman"/>
          <w:sz w:val="24"/>
          <w:szCs w:val="24"/>
        </w:rPr>
        <w:tab/>
      </w:r>
      <w:r w:rsidR="00BD0482" w:rsidRPr="00865792">
        <w:rPr>
          <w:rFonts w:ascii="Times New Roman" w:hAnsi="Times New Roman" w:cs="Times New Roman"/>
          <w:sz w:val="24"/>
          <w:szCs w:val="24"/>
        </w:rPr>
        <w:t>Maternal mental health</w:t>
      </w:r>
      <w:r w:rsidR="00C655C1" w:rsidRPr="00865792">
        <w:rPr>
          <w:rFonts w:ascii="Times New Roman" w:hAnsi="Times New Roman" w:cs="Times New Roman"/>
          <w:sz w:val="24"/>
          <w:szCs w:val="24"/>
        </w:rPr>
        <w:t xml:space="preserve">, especially depression, </w:t>
      </w:r>
      <w:r w:rsidR="008033BA" w:rsidRPr="00865792">
        <w:rPr>
          <w:rFonts w:ascii="Times New Roman" w:hAnsi="Times New Roman" w:cs="Times New Roman"/>
          <w:sz w:val="24"/>
          <w:szCs w:val="24"/>
        </w:rPr>
        <w:t>is known to influence maternal sensitivity and intrusiveness. Additionally, early signs of neurodevelopmental conditions, such as autism and attention deficit/hyperactivity disorder (ADHD)</w:t>
      </w:r>
      <w:r w:rsidR="00295BF9" w:rsidRPr="00865792">
        <w:rPr>
          <w:rFonts w:ascii="Times New Roman" w:hAnsi="Times New Roman" w:cs="Times New Roman"/>
          <w:sz w:val="24"/>
          <w:szCs w:val="24"/>
        </w:rPr>
        <w:t xml:space="preserve">, increase the likelihood of atypical sensory reactivity. Thus, it is important to consider the prevalence of mental health and neurodevelopmental conditions within the study sample. </w:t>
      </w:r>
      <w:r w:rsidR="00925942" w:rsidRPr="00865792">
        <w:rPr>
          <w:rFonts w:ascii="Times New Roman" w:hAnsi="Times New Roman" w:cs="Times New Roman"/>
          <w:sz w:val="24"/>
          <w:szCs w:val="24"/>
        </w:rPr>
        <w:t>Data collection for the</w:t>
      </w:r>
      <w:r w:rsidR="0074415A" w:rsidRPr="00865792">
        <w:rPr>
          <w:rFonts w:ascii="Times New Roman" w:hAnsi="Times New Roman" w:cs="Times New Roman"/>
          <w:sz w:val="24"/>
          <w:szCs w:val="24"/>
        </w:rPr>
        <w:t>se conditions</w:t>
      </w:r>
      <w:r w:rsidR="00C3362D" w:rsidRPr="00865792">
        <w:rPr>
          <w:rFonts w:ascii="Times New Roman" w:hAnsi="Times New Roman" w:cs="Times New Roman"/>
          <w:sz w:val="24"/>
          <w:szCs w:val="24"/>
        </w:rPr>
        <w:t xml:space="preserve"> is ongoing; therefore, data on some conditions is currently incomplete</w:t>
      </w:r>
      <w:r w:rsidR="0074415A" w:rsidRPr="00865792">
        <w:rPr>
          <w:rFonts w:ascii="Times New Roman" w:hAnsi="Times New Roman" w:cs="Times New Roman"/>
          <w:sz w:val="24"/>
          <w:szCs w:val="24"/>
        </w:rPr>
        <w:t xml:space="preserve">. For </w:t>
      </w:r>
      <w:r w:rsidR="003F77F0" w:rsidRPr="00865792">
        <w:rPr>
          <w:rFonts w:ascii="Times New Roman" w:hAnsi="Times New Roman" w:cs="Times New Roman"/>
          <w:sz w:val="24"/>
          <w:szCs w:val="24"/>
        </w:rPr>
        <w:t>later diagnosis of autism</w:t>
      </w:r>
      <w:r w:rsidR="00A3550D" w:rsidRPr="00865792">
        <w:rPr>
          <w:rFonts w:ascii="Times New Roman" w:hAnsi="Times New Roman" w:cs="Times New Roman"/>
          <w:sz w:val="24"/>
          <w:szCs w:val="24"/>
        </w:rPr>
        <w:t xml:space="preserve"> (n = 7 of 188 with available data)</w:t>
      </w:r>
      <w:r w:rsidR="007207BF" w:rsidRPr="00865792">
        <w:rPr>
          <w:rFonts w:ascii="Times New Roman" w:hAnsi="Times New Roman" w:cs="Times New Roman"/>
          <w:sz w:val="24"/>
          <w:szCs w:val="24"/>
        </w:rPr>
        <w:t xml:space="preserve"> and ADHD</w:t>
      </w:r>
      <w:r w:rsidR="00A3550D" w:rsidRPr="00865792">
        <w:rPr>
          <w:rFonts w:ascii="Times New Roman" w:hAnsi="Times New Roman" w:cs="Times New Roman"/>
          <w:sz w:val="24"/>
          <w:szCs w:val="24"/>
        </w:rPr>
        <w:t xml:space="preserve"> (n = 10 of 188 with available data)</w:t>
      </w:r>
      <w:r w:rsidR="003F77F0" w:rsidRPr="00865792">
        <w:rPr>
          <w:rFonts w:ascii="Times New Roman" w:hAnsi="Times New Roman" w:cs="Times New Roman"/>
          <w:sz w:val="24"/>
          <w:szCs w:val="24"/>
        </w:rPr>
        <w:t xml:space="preserve">, parents reported on whether or not their child had received a professional diagnosis by age eight years in half of the sample, and adolescents reported on their own diagnosis at age 16-18 </w:t>
      </w:r>
      <w:r w:rsidR="007207BF" w:rsidRPr="00865792">
        <w:rPr>
          <w:rFonts w:ascii="Times New Roman" w:hAnsi="Times New Roman" w:cs="Times New Roman"/>
          <w:sz w:val="24"/>
          <w:szCs w:val="24"/>
        </w:rPr>
        <w:t>years in the other half of the sample.</w:t>
      </w:r>
      <w:r w:rsidR="005E5E32" w:rsidRPr="00865792">
        <w:rPr>
          <w:rFonts w:ascii="Times New Roman" w:hAnsi="Times New Roman" w:cs="Times New Roman"/>
          <w:sz w:val="24"/>
          <w:szCs w:val="24"/>
        </w:rPr>
        <w:t xml:space="preserve"> For family history of autism</w:t>
      </w:r>
      <w:r w:rsidR="00E93418" w:rsidRPr="00865792">
        <w:rPr>
          <w:rFonts w:ascii="Times New Roman" w:hAnsi="Times New Roman" w:cs="Times New Roman"/>
          <w:sz w:val="24"/>
          <w:szCs w:val="24"/>
        </w:rPr>
        <w:t xml:space="preserve"> (</w:t>
      </w:r>
      <w:r w:rsidR="00A504D0" w:rsidRPr="00865792">
        <w:rPr>
          <w:rFonts w:ascii="Times New Roman" w:hAnsi="Times New Roman" w:cs="Times New Roman"/>
          <w:sz w:val="24"/>
          <w:szCs w:val="24"/>
        </w:rPr>
        <w:t xml:space="preserve">n = 13 of </w:t>
      </w:r>
      <w:r w:rsidR="00E93418" w:rsidRPr="00865792">
        <w:rPr>
          <w:rFonts w:ascii="Times New Roman" w:hAnsi="Times New Roman" w:cs="Times New Roman"/>
          <w:sz w:val="24"/>
          <w:szCs w:val="24"/>
        </w:rPr>
        <w:t>94</w:t>
      </w:r>
      <w:r w:rsidR="00E90B13" w:rsidRPr="00865792">
        <w:rPr>
          <w:rFonts w:ascii="Times New Roman" w:hAnsi="Times New Roman" w:cs="Times New Roman"/>
          <w:sz w:val="24"/>
          <w:szCs w:val="24"/>
        </w:rPr>
        <w:t xml:space="preserve"> </w:t>
      </w:r>
      <w:r w:rsidR="00E93418" w:rsidRPr="00865792">
        <w:rPr>
          <w:rFonts w:ascii="Times New Roman" w:hAnsi="Times New Roman" w:cs="Times New Roman"/>
          <w:sz w:val="24"/>
          <w:szCs w:val="24"/>
        </w:rPr>
        <w:t>with available data)</w:t>
      </w:r>
      <w:r w:rsidR="005E5E32" w:rsidRPr="00865792">
        <w:rPr>
          <w:rFonts w:ascii="Times New Roman" w:hAnsi="Times New Roman" w:cs="Times New Roman"/>
          <w:sz w:val="24"/>
          <w:szCs w:val="24"/>
        </w:rPr>
        <w:t xml:space="preserve"> and ADHD</w:t>
      </w:r>
      <w:r w:rsidR="00E93418" w:rsidRPr="00865792">
        <w:rPr>
          <w:rFonts w:ascii="Times New Roman" w:hAnsi="Times New Roman" w:cs="Times New Roman"/>
          <w:sz w:val="24"/>
          <w:szCs w:val="24"/>
        </w:rPr>
        <w:t xml:space="preserve"> (</w:t>
      </w:r>
      <w:r w:rsidR="00A504D0" w:rsidRPr="00865792">
        <w:rPr>
          <w:rFonts w:ascii="Times New Roman" w:hAnsi="Times New Roman" w:cs="Times New Roman"/>
          <w:sz w:val="24"/>
          <w:szCs w:val="24"/>
        </w:rPr>
        <w:t xml:space="preserve">n = </w:t>
      </w:r>
      <w:r w:rsidR="00E90B13" w:rsidRPr="00865792">
        <w:rPr>
          <w:rFonts w:ascii="Times New Roman" w:hAnsi="Times New Roman" w:cs="Times New Roman"/>
          <w:sz w:val="24"/>
          <w:szCs w:val="24"/>
        </w:rPr>
        <w:t>21</w:t>
      </w:r>
      <w:r w:rsidR="00A504D0" w:rsidRPr="00865792">
        <w:rPr>
          <w:rFonts w:ascii="Times New Roman" w:hAnsi="Times New Roman" w:cs="Times New Roman"/>
          <w:sz w:val="24"/>
          <w:szCs w:val="24"/>
        </w:rPr>
        <w:t xml:space="preserve"> of 121 </w:t>
      </w:r>
      <w:r w:rsidR="00E93418" w:rsidRPr="00865792">
        <w:rPr>
          <w:rFonts w:ascii="Times New Roman" w:hAnsi="Times New Roman" w:cs="Times New Roman"/>
          <w:sz w:val="24"/>
          <w:szCs w:val="24"/>
        </w:rPr>
        <w:t>with available data)</w:t>
      </w:r>
      <w:r w:rsidR="005E5E32" w:rsidRPr="00865792">
        <w:rPr>
          <w:rFonts w:ascii="Times New Roman" w:hAnsi="Times New Roman" w:cs="Times New Roman"/>
          <w:sz w:val="24"/>
          <w:szCs w:val="24"/>
        </w:rPr>
        <w:t xml:space="preserve">, </w:t>
      </w:r>
      <w:r w:rsidR="00D10A4C" w:rsidRPr="00865792">
        <w:rPr>
          <w:rFonts w:ascii="Times New Roman" w:hAnsi="Times New Roman" w:cs="Times New Roman"/>
          <w:sz w:val="24"/>
          <w:szCs w:val="24"/>
        </w:rPr>
        <w:t>parents reported on whether the child had biological relatives with these diagnoses at child age</w:t>
      </w:r>
      <w:r w:rsidR="00E36114" w:rsidRPr="00865792">
        <w:rPr>
          <w:rFonts w:ascii="Times New Roman" w:hAnsi="Times New Roman" w:cs="Times New Roman"/>
          <w:sz w:val="24"/>
          <w:szCs w:val="24"/>
        </w:rPr>
        <w:t xml:space="preserve"> </w:t>
      </w:r>
      <w:r w:rsidR="0097588C" w:rsidRPr="00865792">
        <w:rPr>
          <w:rFonts w:ascii="Times New Roman" w:hAnsi="Times New Roman" w:cs="Times New Roman"/>
          <w:sz w:val="24"/>
          <w:szCs w:val="24"/>
        </w:rPr>
        <w:t>7-10</w:t>
      </w:r>
      <w:r w:rsidR="00E36114" w:rsidRPr="00865792">
        <w:rPr>
          <w:rFonts w:ascii="Times New Roman" w:hAnsi="Times New Roman" w:cs="Times New Roman"/>
          <w:sz w:val="24"/>
          <w:szCs w:val="24"/>
        </w:rPr>
        <w:t xml:space="preserve"> </w:t>
      </w:r>
      <w:r w:rsidR="00D10A4C" w:rsidRPr="00865792">
        <w:rPr>
          <w:rFonts w:ascii="Times New Roman" w:hAnsi="Times New Roman" w:cs="Times New Roman"/>
          <w:sz w:val="24"/>
          <w:szCs w:val="24"/>
        </w:rPr>
        <w:t>years</w:t>
      </w:r>
      <w:r w:rsidR="00E93418" w:rsidRPr="00865792">
        <w:rPr>
          <w:rFonts w:ascii="Times New Roman" w:hAnsi="Times New Roman" w:cs="Times New Roman"/>
          <w:sz w:val="24"/>
          <w:szCs w:val="24"/>
        </w:rPr>
        <w:t xml:space="preserve">. Data on maternal depression, defined as either a lifetime major depressive episode or a positive screening result on the Edinburgh </w:t>
      </w:r>
      <w:r w:rsidR="00E93418" w:rsidRPr="00865792">
        <w:rPr>
          <w:rFonts w:ascii="Times New Roman" w:hAnsi="Times New Roman" w:cs="Times New Roman"/>
          <w:sz w:val="24"/>
          <w:szCs w:val="24"/>
        </w:rPr>
        <w:lastRenderedPageBreak/>
        <w:t>Postnatal Depression Scale (</w:t>
      </w:r>
      <w:r w:rsidR="000723A7" w:rsidRPr="00865792">
        <w:rPr>
          <w:rFonts w:ascii="Times New Roman" w:hAnsi="Times New Roman" w:cs="Times New Roman"/>
          <w:sz w:val="24"/>
          <w:szCs w:val="24"/>
        </w:rPr>
        <w:t xml:space="preserve">cutoff of </w:t>
      </w:r>
      <w:r w:rsidR="000C7D15" w:rsidRPr="00865792">
        <w:rPr>
          <w:rFonts w:ascii="Times New Roman" w:hAnsi="Times New Roman" w:cs="Times New Roman"/>
          <w:sz w:val="24"/>
          <w:szCs w:val="24"/>
        </w:rPr>
        <w:t>13</w:t>
      </w:r>
      <w:r w:rsidR="000723A7" w:rsidRPr="00865792">
        <w:rPr>
          <w:rFonts w:ascii="Times New Roman" w:hAnsi="Times New Roman" w:cs="Times New Roman"/>
          <w:sz w:val="24"/>
          <w:szCs w:val="24"/>
        </w:rPr>
        <w:t>) at 2-3 months postpartum, was available for the full sample</w:t>
      </w:r>
      <w:r w:rsidR="003A6144" w:rsidRPr="00865792">
        <w:rPr>
          <w:rFonts w:ascii="Times New Roman" w:hAnsi="Times New Roman" w:cs="Times New Roman"/>
          <w:sz w:val="24"/>
          <w:szCs w:val="24"/>
        </w:rPr>
        <w:t xml:space="preserve"> (</w:t>
      </w:r>
      <w:r w:rsidR="00A504D0" w:rsidRPr="00865792">
        <w:rPr>
          <w:rFonts w:ascii="Times New Roman" w:hAnsi="Times New Roman" w:cs="Times New Roman"/>
          <w:sz w:val="24"/>
          <w:szCs w:val="24"/>
        </w:rPr>
        <w:t xml:space="preserve">n = </w:t>
      </w:r>
      <w:r w:rsidR="003D067B" w:rsidRPr="00865792">
        <w:rPr>
          <w:rFonts w:ascii="Times New Roman" w:hAnsi="Times New Roman" w:cs="Times New Roman"/>
          <w:sz w:val="24"/>
          <w:szCs w:val="24"/>
        </w:rPr>
        <w:t>34</w:t>
      </w:r>
      <w:r w:rsidR="003A6144" w:rsidRPr="00865792">
        <w:rPr>
          <w:rFonts w:ascii="Times New Roman" w:hAnsi="Times New Roman" w:cs="Times New Roman"/>
          <w:sz w:val="24"/>
          <w:szCs w:val="24"/>
        </w:rPr>
        <w:t xml:space="preserve"> met criteria for depression)</w:t>
      </w:r>
      <w:r w:rsidR="000723A7" w:rsidRPr="00865792">
        <w:rPr>
          <w:rFonts w:ascii="Times New Roman" w:hAnsi="Times New Roman" w:cs="Times New Roman"/>
          <w:sz w:val="24"/>
          <w:szCs w:val="24"/>
        </w:rPr>
        <w:t>.</w:t>
      </w:r>
    </w:p>
    <w:p w14:paraId="161024B2" w14:textId="1601944B" w:rsidR="008303F0" w:rsidRPr="00865792" w:rsidRDefault="003C622A" w:rsidP="008303F0">
      <w:pPr>
        <w:spacing w:after="0" w:line="480" w:lineRule="auto"/>
        <w:rPr>
          <w:rFonts w:ascii="Times New Roman" w:hAnsi="Times New Roman" w:cs="Times New Roman"/>
          <w:b/>
          <w:bCs/>
          <w:sz w:val="24"/>
          <w:szCs w:val="24"/>
        </w:rPr>
      </w:pPr>
      <w:r w:rsidRPr="00865792">
        <w:rPr>
          <w:rFonts w:ascii="Times New Roman" w:hAnsi="Times New Roman" w:cs="Times New Roman"/>
          <w:b/>
          <w:bCs/>
          <w:sz w:val="24"/>
          <w:szCs w:val="24"/>
        </w:rPr>
        <w:t>Invariance Testing</w:t>
      </w:r>
    </w:p>
    <w:p w14:paraId="74DD690E" w14:textId="6BFC0E83" w:rsidR="00777033" w:rsidRPr="00865792" w:rsidRDefault="00777033" w:rsidP="00777033">
      <w:pPr>
        <w:spacing w:after="0" w:line="480" w:lineRule="auto"/>
        <w:ind w:firstLine="720"/>
        <w:rPr>
          <w:rFonts w:ascii="Times New Roman" w:hAnsi="Times New Roman" w:cs="Times New Roman"/>
          <w:sz w:val="24"/>
          <w:szCs w:val="24"/>
        </w:rPr>
      </w:pPr>
      <w:r w:rsidRPr="00865792">
        <w:rPr>
          <w:rFonts w:ascii="Times New Roman" w:hAnsi="Times New Roman" w:cs="Times New Roman"/>
          <w:sz w:val="24"/>
          <w:szCs w:val="24"/>
        </w:rPr>
        <w:t>As recommended by Mackinnon and colleagues (2022), we conducted invariance testing using the lavaan package in RStudio (Rosseel, 2012) to establish the underlying latent structure of the sensory reactivity variables included in the cross-lagged panel models (CLPM) to ensure comparability of measurement across waves of data collection. We tested for invariance separately within the</w:t>
      </w:r>
      <w:r w:rsidR="02165F30" w:rsidRPr="00865792">
        <w:rPr>
          <w:rFonts w:ascii="Times New Roman" w:hAnsi="Times New Roman" w:cs="Times New Roman"/>
          <w:sz w:val="24"/>
          <w:szCs w:val="24"/>
        </w:rPr>
        <w:t xml:space="preserve"> </w:t>
      </w:r>
      <w:r w:rsidRPr="00865792">
        <w:rPr>
          <w:rFonts w:ascii="Times New Roman" w:hAnsi="Times New Roman" w:cs="Times New Roman"/>
          <w:sz w:val="24"/>
          <w:szCs w:val="24"/>
        </w:rPr>
        <w:t>hyperreactivity</w:t>
      </w:r>
      <w:r w:rsidR="5F539684" w:rsidRPr="00865792">
        <w:rPr>
          <w:rFonts w:ascii="Times New Roman" w:hAnsi="Times New Roman" w:cs="Times New Roman"/>
          <w:sz w:val="24"/>
          <w:szCs w:val="24"/>
        </w:rPr>
        <w:t xml:space="preserve"> and reverse-scored</w:t>
      </w:r>
      <w:r w:rsidRPr="00865792">
        <w:rPr>
          <w:rFonts w:ascii="Times New Roman" w:hAnsi="Times New Roman" w:cs="Times New Roman"/>
          <w:sz w:val="24"/>
          <w:szCs w:val="24"/>
        </w:rPr>
        <w:t xml:space="preserve"> </w:t>
      </w:r>
      <w:r w:rsidR="17A42539" w:rsidRPr="00865792">
        <w:rPr>
          <w:rFonts w:ascii="Times New Roman" w:hAnsi="Times New Roman" w:cs="Times New Roman"/>
          <w:sz w:val="24"/>
          <w:szCs w:val="24"/>
        </w:rPr>
        <w:t xml:space="preserve">perceptual sensitivity (termed hyporeactivity) </w:t>
      </w:r>
      <w:r w:rsidRPr="00865792">
        <w:rPr>
          <w:rFonts w:ascii="Times New Roman" w:hAnsi="Times New Roman" w:cs="Times New Roman"/>
          <w:sz w:val="24"/>
          <w:szCs w:val="24"/>
        </w:rPr>
        <w:t>subscales by fitting four iterations of increasingly restrictive factor models to both waves of data then conducting ANOVAs for pairwise comparison of χ</w:t>
      </w:r>
      <w:r w:rsidRPr="00865792">
        <w:rPr>
          <w:rFonts w:ascii="Times New Roman" w:hAnsi="Times New Roman" w:cs="Times New Roman"/>
          <w:sz w:val="24"/>
          <w:szCs w:val="24"/>
          <w:vertAlign w:val="superscript"/>
        </w:rPr>
        <w:t>2</w:t>
      </w:r>
      <w:r w:rsidRPr="00865792">
        <w:rPr>
          <w:rFonts w:ascii="Times New Roman" w:hAnsi="Times New Roman" w:cs="Times New Roman"/>
          <w:sz w:val="24"/>
          <w:szCs w:val="24"/>
        </w:rPr>
        <w:t xml:space="preserve"> differences across models. We applied the constraints from the best-fitting and most parsimonious model to the underlying factor structure for the sensory reactivity variables in the CLPM.</w:t>
      </w:r>
    </w:p>
    <w:p w14:paraId="40B70FDA" w14:textId="3131FCC3" w:rsidR="001A0C21" w:rsidRPr="00865792" w:rsidRDefault="003C622A" w:rsidP="008303F0">
      <w:pPr>
        <w:spacing w:after="0" w:line="480" w:lineRule="auto"/>
        <w:rPr>
          <w:rFonts w:ascii="Times New Roman" w:hAnsi="Times New Roman" w:cs="Times New Roman"/>
          <w:sz w:val="24"/>
          <w:szCs w:val="24"/>
        </w:rPr>
      </w:pPr>
      <w:r w:rsidRPr="00865792">
        <w:rPr>
          <w:rFonts w:ascii="Times New Roman" w:hAnsi="Times New Roman" w:cs="Times New Roman"/>
          <w:sz w:val="24"/>
          <w:szCs w:val="24"/>
        </w:rPr>
        <w:tab/>
        <w:t xml:space="preserve">The least restrictive </w:t>
      </w:r>
      <w:r w:rsidR="000E4731" w:rsidRPr="00865792">
        <w:rPr>
          <w:rFonts w:ascii="Times New Roman" w:hAnsi="Times New Roman" w:cs="Times New Roman"/>
          <w:sz w:val="24"/>
          <w:szCs w:val="24"/>
        </w:rPr>
        <w:t xml:space="preserve">factor model is the configural model, </w:t>
      </w:r>
      <w:r w:rsidR="009676EF" w:rsidRPr="00865792">
        <w:rPr>
          <w:rFonts w:ascii="Times New Roman" w:hAnsi="Times New Roman" w:cs="Times New Roman"/>
          <w:sz w:val="24"/>
          <w:szCs w:val="24"/>
        </w:rPr>
        <w:t xml:space="preserve">in which </w:t>
      </w:r>
      <w:r w:rsidR="00926615" w:rsidRPr="00865792">
        <w:rPr>
          <w:rFonts w:ascii="Times New Roman" w:hAnsi="Times New Roman" w:cs="Times New Roman"/>
          <w:sz w:val="24"/>
          <w:szCs w:val="24"/>
        </w:rPr>
        <w:t>factor loadings, item intercepts, and error are free to vary over waves</w:t>
      </w:r>
      <w:r w:rsidR="009A76D6" w:rsidRPr="00865792">
        <w:rPr>
          <w:rFonts w:ascii="Times New Roman" w:hAnsi="Times New Roman" w:cs="Times New Roman"/>
          <w:sz w:val="24"/>
          <w:szCs w:val="24"/>
        </w:rPr>
        <w:t xml:space="preserve">. </w:t>
      </w:r>
      <w:r w:rsidR="004727AF" w:rsidRPr="00865792">
        <w:rPr>
          <w:rFonts w:ascii="Times New Roman" w:hAnsi="Times New Roman" w:cs="Times New Roman"/>
          <w:sz w:val="24"/>
          <w:szCs w:val="24"/>
        </w:rPr>
        <w:t xml:space="preserve">The metric model constrains </w:t>
      </w:r>
      <w:r w:rsidR="00837C5C" w:rsidRPr="00865792">
        <w:rPr>
          <w:rFonts w:ascii="Times New Roman" w:hAnsi="Times New Roman" w:cs="Times New Roman"/>
          <w:sz w:val="24"/>
          <w:szCs w:val="24"/>
        </w:rPr>
        <w:t>factor loadings to equality across waves</w:t>
      </w:r>
      <w:r w:rsidR="00D81076" w:rsidRPr="00865792">
        <w:rPr>
          <w:rFonts w:ascii="Times New Roman" w:hAnsi="Times New Roman" w:cs="Times New Roman"/>
          <w:sz w:val="24"/>
          <w:szCs w:val="24"/>
        </w:rPr>
        <w:t xml:space="preserve">. The </w:t>
      </w:r>
      <w:r w:rsidR="001060C7" w:rsidRPr="00865792">
        <w:rPr>
          <w:rFonts w:ascii="Times New Roman" w:hAnsi="Times New Roman" w:cs="Times New Roman"/>
          <w:sz w:val="24"/>
          <w:szCs w:val="24"/>
        </w:rPr>
        <w:t>scalar</w:t>
      </w:r>
      <w:r w:rsidR="00D81076" w:rsidRPr="00865792">
        <w:rPr>
          <w:rFonts w:ascii="Times New Roman" w:hAnsi="Times New Roman" w:cs="Times New Roman"/>
          <w:sz w:val="24"/>
          <w:szCs w:val="24"/>
        </w:rPr>
        <w:t xml:space="preserve"> model employs the same constraints as the metric model in addition to constraining intercepts to be equal across time. Finally, the </w:t>
      </w:r>
      <w:r w:rsidR="00206E56" w:rsidRPr="00865792">
        <w:rPr>
          <w:rFonts w:ascii="Times New Roman" w:hAnsi="Times New Roman" w:cs="Times New Roman"/>
          <w:sz w:val="24"/>
          <w:szCs w:val="24"/>
        </w:rPr>
        <w:t xml:space="preserve">residual model maintains constraints from the scalar model and constrains </w:t>
      </w:r>
      <w:r w:rsidR="00C8227F" w:rsidRPr="00865792">
        <w:rPr>
          <w:rFonts w:ascii="Times New Roman" w:hAnsi="Times New Roman" w:cs="Times New Roman"/>
          <w:sz w:val="24"/>
          <w:szCs w:val="24"/>
        </w:rPr>
        <w:t>error terms to be equal across time</w:t>
      </w:r>
      <w:r w:rsidR="004F6820" w:rsidRPr="00865792">
        <w:rPr>
          <w:rFonts w:ascii="Times New Roman" w:hAnsi="Times New Roman" w:cs="Times New Roman"/>
          <w:sz w:val="24"/>
          <w:szCs w:val="24"/>
        </w:rPr>
        <w:t xml:space="preserve">. </w:t>
      </w:r>
      <w:r w:rsidR="003A045B" w:rsidRPr="00865792">
        <w:rPr>
          <w:rFonts w:ascii="Times New Roman" w:hAnsi="Times New Roman" w:cs="Times New Roman"/>
          <w:sz w:val="24"/>
          <w:szCs w:val="24"/>
        </w:rPr>
        <w:t xml:space="preserve">For both hyporeactivity and hyperreactivity, the configural and metric models demonstrated similar fit and </w:t>
      </w:r>
      <w:r w:rsidR="00077963" w:rsidRPr="00865792">
        <w:rPr>
          <w:rFonts w:ascii="Times New Roman" w:hAnsi="Times New Roman" w:cs="Times New Roman"/>
          <w:sz w:val="24"/>
          <w:szCs w:val="24"/>
        </w:rPr>
        <w:t>outperformed</w:t>
      </w:r>
      <w:r w:rsidR="003A045B" w:rsidRPr="00865792">
        <w:rPr>
          <w:rFonts w:ascii="Times New Roman" w:hAnsi="Times New Roman" w:cs="Times New Roman"/>
          <w:sz w:val="24"/>
          <w:szCs w:val="24"/>
        </w:rPr>
        <w:t xml:space="preserve"> the scalar and residual models</w:t>
      </w:r>
      <w:r w:rsidR="00E144F4" w:rsidRPr="00865792">
        <w:rPr>
          <w:rFonts w:ascii="Times New Roman" w:hAnsi="Times New Roman" w:cs="Times New Roman"/>
          <w:sz w:val="24"/>
          <w:szCs w:val="24"/>
        </w:rPr>
        <w:t>.</w:t>
      </w:r>
      <w:r w:rsidR="007E76EF" w:rsidRPr="00865792">
        <w:rPr>
          <w:rFonts w:ascii="Times New Roman" w:hAnsi="Times New Roman" w:cs="Times New Roman"/>
          <w:sz w:val="24"/>
          <w:szCs w:val="24"/>
        </w:rPr>
        <w:t xml:space="preserve"> </w:t>
      </w:r>
      <w:r w:rsidR="00077963" w:rsidRPr="00865792">
        <w:rPr>
          <w:rFonts w:ascii="Times New Roman" w:hAnsi="Times New Roman" w:cs="Times New Roman"/>
          <w:sz w:val="24"/>
          <w:szCs w:val="24"/>
        </w:rPr>
        <w:t>T</w:t>
      </w:r>
      <w:r w:rsidR="007E76EF" w:rsidRPr="00865792">
        <w:rPr>
          <w:rFonts w:ascii="Times New Roman" w:hAnsi="Times New Roman" w:cs="Times New Roman"/>
          <w:sz w:val="24"/>
          <w:szCs w:val="24"/>
        </w:rPr>
        <w:t xml:space="preserve">he metric model was selected as it is more parsimonious than the </w:t>
      </w:r>
      <w:r w:rsidR="00C91040" w:rsidRPr="00865792">
        <w:rPr>
          <w:rFonts w:ascii="Times New Roman" w:hAnsi="Times New Roman" w:cs="Times New Roman"/>
          <w:sz w:val="24"/>
          <w:szCs w:val="24"/>
        </w:rPr>
        <w:t>configural model</w:t>
      </w:r>
      <w:r w:rsidR="003A045B" w:rsidRPr="00865792">
        <w:rPr>
          <w:rFonts w:ascii="Times New Roman" w:hAnsi="Times New Roman" w:cs="Times New Roman"/>
          <w:sz w:val="24"/>
          <w:szCs w:val="24"/>
        </w:rPr>
        <w:t xml:space="preserve">. </w:t>
      </w:r>
      <w:r w:rsidR="004F6820" w:rsidRPr="00865792">
        <w:rPr>
          <w:rFonts w:ascii="Times New Roman" w:hAnsi="Times New Roman" w:cs="Times New Roman"/>
          <w:sz w:val="24"/>
          <w:szCs w:val="24"/>
        </w:rPr>
        <w:t>Refer to Table B.</w:t>
      </w:r>
      <w:r w:rsidR="00D2652E" w:rsidRPr="00865792">
        <w:rPr>
          <w:rFonts w:ascii="Times New Roman" w:hAnsi="Times New Roman" w:cs="Times New Roman"/>
          <w:sz w:val="24"/>
          <w:szCs w:val="24"/>
        </w:rPr>
        <w:t>2</w:t>
      </w:r>
      <w:r w:rsidR="004F6820" w:rsidRPr="00865792">
        <w:rPr>
          <w:rFonts w:ascii="Times New Roman" w:hAnsi="Times New Roman" w:cs="Times New Roman"/>
          <w:sz w:val="24"/>
          <w:szCs w:val="24"/>
        </w:rPr>
        <w:t xml:space="preserve"> </w:t>
      </w:r>
      <w:r w:rsidR="00721196" w:rsidRPr="00865792">
        <w:rPr>
          <w:rFonts w:ascii="Times New Roman" w:hAnsi="Times New Roman" w:cs="Times New Roman"/>
          <w:sz w:val="24"/>
          <w:szCs w:val="24"/>
        </w:rPr>
        <w:t>for fit statistics</w:t>
      </w:r>
      <w:r w:rsidR="00DC112B" w:rsidRPr="00865792">
        <w:rPr>
          <w:rFonts w:ascii="Times New Roman" w:hAnsi="Times New Roman" w:cs="Times New Roman"/>
          <w:sz w:val="24"/>
          <w:szCs w:val="24"/>
        </w:rPr>
        <w:t xml:space="preserve"> </w:t>
      </w:r>
      <w:r w:rsidR="006F3AA2" w:rsidRPr="00865792">
        <w:rPr>
          <w:rFonts w:ascii="Times New Roman" w:hAnsi="Times New Roman" w:cs="Times New Roman"/>
          <w:sz w:val="24"/>
          <w:szCs w:val="24"/>
        </w:rPr>
        <w:t xml:space="preserve">(compared to a baseline, unconstrained model) </w:t>
      </w:r>
      <w:r w:rsidR="00DC112B" w:rsidRPr="00865792">
        <w:rPr>
          <w:rFonts w:ascii="Times New Roman" w:hAnsi="Times New Roman" w:cs="Times New Roman"/>
          <w:sz w:val="24"/>
          <w:szCs w:val="24"/>
        </w:rPr>
        <w:t xml:space="preserve">and </w:t>
      </w:r>
      <w:r w:rsidR="0094166C" w:rsidRPr="00865792">
        <w:rPr>
          <w:rFonts w:ascii="Times New Roman" w:hAnsi="Times New Roman" w:cs="Times New Roman"/>
          <w:sz w:val="24"/>
          <w:szCs w:val="24"/>
        </w:rPr>
        <w:t>Table B.</w:t>
      </w:r>
      <w:r w:rsidR="00003E15" w:rsidRPr="00865792">
        <w:rPr>
          <w:rFonts w:ascii="Times New Roman" w:hAnsi="Times New Roman" w:cs="Times New Roman"/>
          <w:sz w:val="24"/>
          <w:szCs w:val="24"/>
        </w:rPr>
        <w:t>3</w:t>
      </w:r>
      <w:r w:rsidR="0094166C" w:rsidRPr="00865792">
        <w:rPr>
          <w:rFonts w:ascii="Times New Roman" w:hAnsi="Times New Roman" w:cs="Times New Roman"/>
          <w:sz w:val="24"/>
          <w:szCs w:val="24"/>
        </w:rPr>
        <w:t xml:space="preserve"> for</w:t>
      </w:r>
      <w:r w:rsidR="00721196" w:rsidRPr="00865792">
        <w:rPr>
          <w:rFonts w:ascii="Times New Roman" w:hAnsi="Times New Roman" w:cs="Times New Roman"/>
          <w:sz w:val="24"/>
          <w:szCs w:val="24"/>
        </w:rPr>
        <w:t xml:space="preserve"> model</w:t>
      </w:r>
      <w:r w:rsidR="0094166C" w:rsidRPr="00865792">
        <w:rPr>
          <w:rFonts w:ascii="Times New Roman" w:hAnsi="Times New Roman" w:cs="Times New Roman"/>
          <w:sz w:val="24"/>
          <w:szCs w:val="24"/>
        </w:rPr>
        <w:t xml:space="preserve"> </w:t>
      </w:r>
      <w:r w:rsidR="00DC112B" w:rsidRPr="00865792">
        <w:rPr>
          <w:rFonts w:ascii="Times New Roman" w:hAnsi="Times New Roman" w:cs="Times New Roman"/>
          <w:sz w:val="24"/>
          <w:szCs w:val="24"/>
        </w:rPr>
        <w:t>comparison for both hypo- and hyperreactivity.</w:t>
      </w:r>
    </w:p>
    <w:tbl>
      <w:tblPr>
        <w:tblStyle w:val="TableGrid"/>
        <w:tblW w:w="0" w:type="auto"/>
        <w:tblCellMar>
          <w:left w:w="0" w:type="dxa"/>
          <w:right w:w="0" w:type="dxa"/>
        </w:tblCellMar>
        <w:tblLook w:val="04A0" w:firstRow="1" w:lastRow="0" w:firstColumn="1" w:lastColumn="0" w:noHBand="0" w:noVBand="1"/>
      </w:tblPr>
      <w:tblGrid>
        <w:gridCol w:w="1558"/>
        <w:gridCol w:w="1883"/>
        <w:gridCol w:w="1883"/>
        <w:gridCol w:w="1883"/>
        <w:gridCol w:w="1883"/>
      </w:tblGrid>
      <w:tr w:rsidR="00865792" w:rsidRPr="00865792" w14:paraId="61B23B73" w14:textId="77777777" w:rsidTr="6E3AA9BD">
        <w:tc>
          <w:tcPr>
            <w:tcW w:w="9090" w:type="dxa"/>
            <w:gridSpan w:val="5"/>
            <w:tcBorders>
              <w:top w:val="nil"/>
              <w:left w:val="nil"/>
              <w:right w:val="nil"/>
            </w:tcBorders>
          </w:tcPr>
          <w:p w14:paraId="34134105" w14:textId="09CDD847" w:rsidR="006030D1" w:rsidRPr="00865792" w:rsidRDefault="006030D1" w:rsidP="006030D1">
            <w:pPr>
              <w:rPr>
                <w:rFonts w:ascii="Times New Roman" w:hAnsi="Times New Roman" w:cs="Times New Roman"/>
                <w:sz w:val="24"/>
                <w:szCs w:val="24"/>
              </w:rPr>
            </w:pPr>
            <w:r w:rsidRPr="00865792">
              <w:rPr>
                <w:rFonts w:ascii="Times New Roman" w:hAnsi="Times New Roman" w:cs="Times New Roman"/>
                <w:b/>
                <w:bCs/>
                <w:sz w:val="24"/>
                <w:szCs w:val="24"/>
              </w:rPr>
              <w:t>Table B.</w:t>
            </w:r>
            <w:r w:rsidR="00D2652E" w:rsidRPr="00865792">
              <w:rPr>
                <w:rFonts w:ascii="Times New Roman" w:hAnsi="Times New Roman" w:cs="Times New Roman"/>
                <w:b/>
                <w:bCs/>
                <w:sz w:val="24"/>
                <w:szCs w:val="24"/>
              </w:rPr>
              <w:t>2</w:t>
            </w:r>
            <w:r w:rsidRPr="00865792">
              <w:rPr>
                <w:rFonts w:ascii="Times New Roman" w:hAnsi="Times New Roman" w:cs="Times New Roman"/>
                <w:b/>
                <w:bCs/>
                <w:sz w:val="24"/>
                <w:szCs w:val="24"/>
              </w:rPr>
              <w:t xml:space="preserve">. </w:t>
            </w:r>
            <w:r w:rsidRPr="00865792">
              <w:rPr>
                <w:rFonts w:ascii="Times New Roman" w:hAnsi="Times New Roman" w:cs="Times New Roman"/>
                <w:sz w:val="24"/>
                <w:szCs w:val="24"/>
              </w:rPr>
              <w:t xml:space="preserve">Invariance testing </w:t>
            </w:r>
            <w:r w:rsidR="003A6D24" w:rsidRPr="00865792">
              <w:rPr>
                <w:rFonts w:ascii="Times New Roman" w:hAnsi="Times New Roman" w:cs="Times New Roman"/>
                <w:sz w:val="24"/>
                <w:szCs w:val="24"/>
              </w:rPr>
              <w:t xml:space="preserve">scaled </w:t>
            </w:r>
            <w:r w:rsidRPr="00865792">
              <w:rPr>
                <w:rFonts w:ascii="Times New Roman" w:hAnsi="Times New Roman" w:cs="Times New Roman"/>
                <w:sz w:val="24"/>
                <w:szCs w:val="24"/>
              </w:rPr>
              <w:t xml:space="preserve">fit statistics compared to a baseline, unconstrained </w:t>
            </w:r>
            <w:r w:rsidR="009B4A62" w:rsidRPr="00865792">
              <w:rPr>
                <w:rFonts w:ascii="Times New Roman" w:hAnsi="Times New Roman" w:cs="Times New Roman"/>
                <w:sz w:val="24"/>
                <w:szCs w:val="24"/>
              </w:rPr>
              <w:t>model</w:t>
            </w:r>
            <w:r w:rsidR="00AC4618" w:rsidRPr="00865792">
              <w:rPr>
                <w:rFonts w:ascii="Times New Roman" w:hAnsi="Times New Roman" w:cs="Times New Roman"/>
                <w:sz w:val="24"/>
                <w:szCs w:val="24"/>
              </w:rPr>
              <w:t>.</w:t>
            </w:r>
          </w:p>
        </w:tc>
      </w:tr>
      <w:tr w:rsidR="00865792" w:rsidRPr="00865792" w14:paraId="5C57BC44" w14:textId="77777777" w:rsidTr="6E3AA9BD">
        <w:tc>
          <w:tcPr>
            <w:tcW w:w="1558" w:type="dxa"/>
            <w:tcBorders>
              <w:left w:val="nil"/>
              <w:right w:val="nil"/>
            </w:tcBorders>
          </w:tcPr>
          <w:p w14:paraId="0D9F946E" w14:textId="77777777" w:rsidR="00AC4618" w:rsidRPr="00865792" w:rsidRDefault="00AC4618" w:rsidP="006030D1">
            <w:pPr>
              <w:rPr>
                <w:rFonts w:ascii="Times New Roman" w:hAnsi="Times New Roman" w:cs="Times New Roman"/>
                <w:sz w:val="24"/>
                <w:szCs w:val="24"/>
              </w:rPr>
            </w:pPr>
          </w:p>
        </w:tc>
        <w:tc>
          <w:tcPr>
            <w:tcW w:w="1883" w:type="dxa"/>
            <w:tcBorders>
              <w:left w:val="nil"/>
              <w:right w:val="nil"/>
            </w:tcBorders>
          </w:tcPr>
          <w:p w14:paraId="3E0DF7C8" w14:textId="32650BC6" w:rsidR="00AC4618" w:rsidRPr="00865792" w:rsidRDefault="00AC4618" w:rsidP="004A0F7C">
            <w:pPr>
              <w:jc w:val="center"/>
              <w:rPr>
                <w:rFonts w:ascii="Times New Roman" w:hAnsi="Times New Roman" w:cs="Times New Roman"/>
                <w:b/>
                <w:bCs/>
                <w:sz w:val="24"/>
                <w:szCs w:val="24"/>
              </w:rPr>
            </w:pPr>
            <w:r w:rsidRPr="00865792">
              <w:rPr>
                <w:rFonts w:ascii="Times New Roman" w:hAnsi="Times New Roman" w:cs="Times New Roman"/>
                <w:b/>
                <w:bCs/>
                <w:sz w:val="24"/>
                <w:szCs w:val="24"/>
              </w:rPr>
              <w:t>χ</w:t>
            </w:r>
            <w:r w:rsidRPr="00865792">
              <w:rPr>
                <w:rFonts w:ascii="Times New Roman" w:hAnsi="Times New Roman" w:cs="Times New Roman"/>
                <w:b/>
                <w:bCs/>
                <w:sz w:val="24"/>
                <w:szCs w:val="24"/>
                <w:vertAlign w:val="superscript"/>
              </w:rPr>
              <w:t xml:space="preserve">2 </w:t>
            </w:r>
            <w:r w:rsidRPr="00865792">
              <w:rPr>
                <w:rFonts w:ascii="Times New Roman" w:hAnsi="Times New Roman" w:cs="Times New Roman"/>
                <w:b/>
                <w:bCs/>
                <w:sz w:val="24"/>
                <w:szCs w:val="24"/>
              </w:rPr>
              <w:t>(df)</w:t>
            </w:r>
          </w:p>
        </w:tc>
        <w:tc>
          <w:tcPr>
            <w:tcW w:w="1883" w:type="dxa"/>
            <w:tcBorders>
              <w:left w:val="nil"/>
              <w:right w:val="nil"/>
            </w:tcBorders>
          </w:tcPr>
          <w:p w14:paraId="38E799DC" w14:textId="5FAE624C" w:rsidR="00AC4618" w:rsidRPr="00865792" w:rsidRDefault="00795D35" w:rsidP="004A0F7C">
            <w:pPr>
              <w:jc w:val="center"/>
              <w:rPr>
                <w:rFonts w:ascii="Times New Roman" w:hAnsi="Times New Roman" w:cs="Times New Roman"/>
                <w:b/>
                <w:bCs/>
                <w:sz w:val="24"/>
                <w:szCs w:val="24"/>
              </w:rPr>
            </w:pPr>
            <w:r w:rsidRPr="00865792">
              <w:rPr>
                <w:rFonts w:ascii="Times New Roman" w:hAnsi="Times New Roman" w:cs="Times New Roman"/>
                <w:b/>
                <w:bCs/>
                <w:sz w:val="24"/>
                <w:szCs w:val="24"/>
              </w:rPr>
              <w:t xml:space="preserve">Robust </w:t>
            </w:r>
            <w:r w:rsidR="00AC4618" w:rsidRPr="00865792">
              <w:rPr>
                <w:rFonts w:ascii="Times New Roman" w:hAnsi="Times New Roman" w:cs="Times New Roman"/>
                <w:b/>
                <w:bCs/>
                <w:sz w:val="24"/>
                <w:szCs w:val="24"/>
              </w:rPr>
              <w:t>CFI</w:t>
            </w:r>
          </w:p>
        </w:tc>
        <w:tc>
          <w:tcPr>
            <w:tcW w:w="1883" w:type="dxa"/>
            <w:tcBorders>
              <w:left w:val="nil"/>
              <w:right w:val="nil"/>
            </w:tcBorders>
          </w:tcPr>
          <w:p w14:paraId="28065D79" w14:textId="0CF9A023" w:rsidR="00AC4618" w:rsidRPr="00865792" w:rsidRDefault="00795D35" w:rsidP="004A0F7C">
            <w:pPr>
              <w:jc w:val="center"/>
              <w:rPr>
                <w:rFonts w:ascii="Times New Roman" w:hAnsi="Times New Roman" w:cs="Times New Roman"/>
                <w:b/>
                <w:bCs/>
                <w:sz w:val="24"/>
                <w:szCs w:val="24"/>
              </w:rPr>
            </w:pPr>
            <w:r w:rsidRPr="00865792">
              <w:rPr>
                <w:rFonts w:ascii="Times New Roman" w:hAnsi="Times New Roman" w:cs="Times New Roman"/>
                <w:b/>
                <w:bCs/>
                <w:sz w:val="24"/>
                <w:szCs w:val="24"/>
              </w:rPr>
              <w:t xml:space="preserve">Robust </w:t>
            </w:r>
            <w:r w:rsidR="00AC4618" w:rsidRPr="00865792">
              <w:rPr>
                <w:rFonts w:ascii="Times New Roman" w:hAnsi="Times New Roman" w:cs="Times New Roman"/>
                <w:b/>
                <w:bCs/>
                <w:sz w:val="24"/>
                <w:szCs w:val="24"/>
              </w:rPr>
              <w:t>TLI</w:t>
            </w:r>
          </w:p>
        </w:tc>
        <w:tc>
          <w:tcPr>
            <w:tcW w:w="1883" w:type="dxa"/>
            <w:tcBorders>
              <w:left w:val="nil"/>
              <w:right w:val="nil"/>
            </w:tcBorders>
          </w:tcPr>
          <w:p w14:paraId="173CA88D" w14:textId="1E550935" w:rsidR="00AC4618" w:rsidRPr="00865792" w:rsidRDefault="00AC4618" w:rsidP="004A0F7C">
            <w:pPr>
              <w:jc w:val="center"/>
              <w:rPr>
                <w:rFonts w:ascii="Times New Roman" w:hAnsi="Times New Roman" w:cs="Times New Roman"/>
                <w:b/>
                <w:bCs/>
                <w:sz w:val="24"/>
                <w:szCs w:val="24"/>
              </w:rPr>
            </w:pPr>
            <w:r w:rsidRPr="00865792">
              <w:rPr>
                <w:rFonts w:ascii="Times New Roman" w:hAnsi="Times New Roman" w:cs="Times New Roman"/>
                <w:b/>
                <w:bCs/>
                <w:sz w:val="24"/>
                <w:szCs w:val="24"/>
              </w:rPr>
              <w:t>AIC</w:t>
            </w:r>
          </w:p>
        </w:tc>
      </w:tr>
      <w:tr w:rsidR="00865792" w:rsidRPr="00865792" w14:paraId="0F6F28D1" w14:textId="77777777" w:rsidTr="6E3AA9BD">
        <w:tc>
          <w:tcPr>
            <w:tcW w:w="9090" w:type="dxa"/>
            <w:gridSpan w:val="5"/>
            <w:tcBorders>
              <w:left w:val="nil"/>
              <w:right w:val="nil"/>
            </w:tcBorders>
          </w:tcPr>
          <w:p w14:paraId="778A4B14" w14:textId="025C3A29" w:rsidR="009B4A62" w:rsidRPr="00865792" w:rsidRDefault="009B4A62" w:rsidP="009B4A62">
            <w:pPr>
              <w:jc w:val="center"/>
              <w:rPr>
                <w:rFonts w:ascii="Times New Roman" w:hAnsi="Times New Roman" w:cs="Times New Roman"/>
                <w:b/>
                <w:bCs/>
                <w:sz w:val="24"/>
                <w:szCs w:val="24"/>
              </w:rPr>
            </w:pPr>
            <w:r w:rsidRPr="00865792">
              <w:rPr>
                <w:rFonts w:ascii="Times New Roman" w:hAnsi="Times New Roman" w:cs="Times New Roman"/>
                <w:b/>
                <w:bCs/>
                <w:sz w:val="24"/>
                <w:szCs w:val="24"/>
              </w:rPr>
              <w:lastRenderedPageBreak/>
              <w:t>Hyporeactivity</w:t>
            </w:r>
          </w:p>
        </w:tc>
      </w:tr>
      <w:tr w:rsidR="00865792" w:rsidRPr="00865792" w14:paraId="0023B1CA" w14:textId="77777777" w:rsidTr="6E3AA9BD">
        <w:tc>
          <w:tcPr>
            <w:tcW w:w="1558" w:type="dxa"/>
            <w:tcBorders>
              <w:left w:val="nil"/>
              <w:bottom w:val="nil"/>
              <w:right w:val="nil"/>
            </w:tcBorders>
          </w:tcPr>
          <w:p w14:paraId="37852F1E" w14:textId="764FEBB6" w:rsidR="00AC4618" w:rsidRPr="00865792" w:rsidRDefault="00AC4618" w:rsidP="006030D1">
            <w:pPr>
              <w:rPr>
                <w:rFonts w:ascii="Times New Roman" w:hAnsi="Times New Roman" w:cs="Times New Roman"/>
                <w:b/>
                <w:bCs/>
                <w:sz w:val="24"/>
                <w:szCs w:val="24"/>
              </w:rPr>
            </w:pPr>
            <w:r w:rsidRPr="00865792">
              <w:rPr>
                <w:rFonts w:ascii="Times New Roman" w:hAnsi="Times New Roman" w:cs="Times New Roman"/>
                <w:b/>
                <w:bCs/>
                <w:sz w:val="24"/>
                <w:szCs w:val="24"/>
              </w:rPr>
              <w:t xml:space="preserve"> Configural</w:t>
            </w:r>
          </w:p>
        </w:tc>
        <w:tc>
          <w:tcPr>
            <w:tcW w:w="1883" w:type="dxa"/>
            <w:tcBorders>
              <w:left w:val="nil"/>
              <w:bottom w:val="nil"/>
              <w:right w:val="nil"/>
            </w:tcBorders>
          </w:tcPr>
          <w:p w14:paraId="0B6D6D29" w14:textId="25AF3CDD" w:rsidR="00AC4618" w:rsidRPr="00865792" w:rsidRDefault="0A5B633C" w:rsidP="6E3AA9BD">
            <w:pPr>
              <w:jc w:val="center"/>
              <w:rPr>
                <w:rFonts w:ascii="Times New Roman" w:hAnsi="Times New Roman" w:cs="Times New Roman"/>
                <w:sz w:val="24"/>
                <w:szCs w:val="24"/>
              </w:rPr>
            </w:pPr>
            <w:r w:rsidRPr="00865792">
              <w:rPr>
                <w:rFonts w:ascii="Times New Roman" w:hAnsi="Times New Roman" w:cs="Times New Roman"/>
                <w:sz w:val="24"/>
                <w:szCs w:val="24"/>
              </w:rPr>
              <w:t>5</w:t>
            </w:r>
            <w:r w:rsidR="168D621F" w:rsidRPr="00865792">
              <w:rPr>
                <w:rFonts w:ascii="Times New Roman" w:hAnsi="Times New Roman" w:cs="Times New Roman"/>
                <w:sz w:val="24"/>
                <w:szCs w:val="24"/>
              </w:rPr>
              <w:t>95.07</w:t>
            </w:r>
            <w:r w:rsidRPr="00865792">
              <w:rPr>
                <w:rFonts w:ascii="Times New Roman" w:hAnsi="Times New Roman" w:cs="Times New Roman"/>
                <w:sz w:val="24"/>
                <w:szCs w:val="24"/>
              </w:rPr>
              <w:t>0</w:t>
            </w:r>
            <w:r w:rsidR="0CC1B036" w:rsidRPr="00865792">
              <w:rPr>
                <w:rFonts w:ascii="Times New Roman" w:hAnsi="Times New Roman" w:cs="Times New Roman"/>
                <w:sz w:val="24"/>
                <w:szCs w:val="24"/>
              </w:rPr>
              <w:t xml:space="preserve"> </w:t>
            </w:r>
            <w:r w:rsidR="75B2659D" w:rsidRPr="00865792">
              <w:rPr>
                <w:rFonts w:ascii="Times New Roman" w:hAnsi="Times New Roman" w:cs="Times New Roman"/>
                <w:sz w:val="24"/>
                <w:szCs w:val="24"/>
              </w:rPr>
              <w:t>(239)</w:t>
            </w:r>
          </w:p>
        </w:tc>
        <w:tc>
          <w:tcPr>
            <w:tcW w:w="1883" w:type="dxa"/>
            <w:tcBorders>
              <w:left w:val="nil"/>
              <w:bottom w:val="nil"/>
              <w:right w:val="nil"/>
            </w:tcBorders>
          </w:tcPr>
          <w:p w14:paraId="000172E0" w14:textId="485D2787" w:rsidR="00AC4618" w:rsidRPr="00865792" w:rsidRDefault="5DFBFA69" w:rsidP="6E3AA9BD">
            <w:pPr>
              <w:jc w:val="center"/>
              <w:rPr>
                <w:rFonts w:ascii="Times New Roman" w:hAnsi="Times New Roman" w:cs="Times New Roman"/>
                <w:sz w:val="24"/>
                <w:szCs w:val="24"/>
              </w:rPr>
            </w:pPr>
            <w:r w:rsidRPr="00865792">
              <w:rPr>
                <w:rFonts w:ascii="Times New Roman" w:hAnsi="Times New Roman" w:cs="Times New Roman"/>
                <w:sz w:val="24"/>
                <w:szCs w:val="24"/>
              </w:rPr>
              <w:t>0.</w:t>
            </w:r>
            <w:r w:rsidR="0A5B633C" w:rsidRPr="00865792">
              <w:rPr>
                <w:rFonts w:ascii="Times New Roman" w:hAnsi="Times New Roman" w:cs="Times New Roman"/>
                <w:sz w:val="24"/>
                <w:szCs w:val="24"/>
              </w:rPr>
              <w:t>8</w:t>
            </w:r>
            <w:r w:rsidR="1507D69D" w:rsidRPr="00865792">
              <w:rPr>
                <w:rFonts w:ascii="Times New Roman" w:hAnsi="Times New Roman" w:cs="Times New Roman"/>
                <w:sz w:val="24"/>
                <w:szCs w:val="24"/>
              </w:rPr>
              <w:t>4</w:t>
            </w:r>
          </w:p>
        </w:tc>
        <w:tc>
          <w:tcPr>
            <w:tcW w:w="1883" w:type="dxa"/>
            <w:tcBorders>
              <w:left w:val="nil"/>
              <w:bottom w:val="nil"/>
              <w:right w:val="nil"/>
            </w:tcBorders>
          </w:tcPr>
          <w:p w14:paraId="52A09899" w14:textId="660862BA" w:rsidR="00AC4618" w:rsidRPr="00865792" w:rsidRDefault="5DFBFA69" w:rsidP="6E3AA9BD">
            <w:pPr>
              <w:jc w:val="center"/>
              <w:rPr>
                <w:rFonts w:ascii="Times New Roman" w:hAnsi="Times New Roman" w:cs="Times New Roman"/>
                <w:sz w:val="24"/>
                <w:szCs w:val="24"/>
              </w:rPr>
            </w:pPr>
            <w:r w:rsidRPr="00865792">
              <w:rPr>
                <w:rFonts w:ascii="Times New Roman" w:hAnsi="Times New Roman" w:cs="Times New Roman"/>
                <w:sz w:val="24"/>
                <w:szCs w:val="24"/>
              </w:rPr>
              <w:t>0.</w:t>
            </w:r>
            <w:r w:rsidR="0A5B633C" w:rsidRPr="00865792">
              <w:rPr>
                <w:rFonts w:ascii="Times New Roman" w:hAnsi="Times New Roman" w:cs="Times New Roman"/>
                <w:sz w:val="24"/>
                <w:szCs w:val="24"/>
              </w:rPr>
              <w:t>8</w:t>
            </w:r>
            <w:r w:rsidR="473C29A2" w:rsidRPr="00865792">
              <w:rPr>
                <w:rFonts w:ascii="Times New Roman" w:hAnsi="Times New Roman" w:cs="Times New Roman"/>
                <w:sz w:val="24"/>
                <w:szCs w:val="24"/>
              </w:rPr>
              <w:t>1</w:t>
            </w:r>
          </w:p>
        </w:tc>
        <w:tc>
          <w:tcPr>
            <w:tcW w:w="1883" w:type="dxa"/>
            <w:tcBorders>
              <w:left w:val="nil"/>
              <w:bottom w:val="nil"/>
              <w:right w:val="nil"/>
            </w:tcBorders>
          </w:tcPr>
          <w:p w14:paraId="760AF946" w14:textId="19899B55" w:rsidR="00AC4618" w:rsidRPr="00865792" w:rsidRDefault="473C29A2" w:rsidP="6E3AA9BD">
            <w:pPr>
              <w:jc w:val="center"/>
              <w:rPr>
                <w:rFonts w:ascii="Times New Roman" w:hAnsi="Times New Roman" w:cs="Times New Roman"/>
                <w:sz w:val="24"/>
                <w:szCs w:val="24"/>
              </w:rPr>
            </w:pPr>
            <w:r w:rsidRPr="00865792">
              <w:rPr>
                <w:rFonts w:ascii="Times New Roman" w:hAnsi="Times New Roman" w:cs="Times New Roman"/>
                <w:sz w:val="24"/>
                <w:szCs w:val="24"/>
              </w:rPr>
              <w:t>21714.256</w:t>
            </w:r>
          </w:p>
        </w:tc>
      </w:tr>
      <w:tr w:rsidR="00865792" w:rsidRPr="00865792" w14:paraId="46B76D0E" w14:textId="77777777" w:rsidTr="6E3AA9BD">
        <w:tc>
          <w:tcPr>
            <w:tcW w:w="1558" w:type="dxa"/>
            <w:tcBorders>
              <w:top w:val="nil"/>
              <w:left w:val="nil"/>
              <w:bottom w:val="nil"/>
              <w:right w:val="nil"/>
            </w:tcBorders>
          </w:tcPr>
          <w:p w14:paraId="2CDE5725" w14:textId="7312AC23" w:rsidR="00AC4618" w:rsidRPr="00865792" w:rsidRDefault="42FA4927" w:rsidP="006030D1">
            <w:pPr>
              <w:rPr>
                <w:rFonts w:ascii="Times New Roman" w:hAnsi="Times New Roman" w:cs="Times New Roman"/>
                <w:b/>
                <w:bCs/>
                <w:sz w:val="24"/>
                <w:szCs w:val="24"/>
              </w:rPr>
            </w:pPr>
            <w:r w:rsidRPr="00865792">
              <w:rPr>
                <w:rFonts w:ascii="Times New Roman" w:hAnsi="Times New Roman" w:cs="Times New Roman"/>
                <w:b/>
                <w:bCs/>
                <w:sz w:val="24"/>
                <w:szCs w:val="24"/>
              </w:rPr>
              <w:t xml:space="preserve"> Metric</w:t>
            </w:r>
          </w:p>
        </w:tc>
        <w:tc>
          <w:tcPr>
            <w:tcW w:w="1883" w:type="dxa"/>
            <w:tcBorders>
              <w:top w:val="nil"/>
              <w:left w:val="nil"/>
              <w:bottom w:val="nil"/>
              <w:right w:val="nil"/>
            </w:tcBorders>
          </w:tcPr>
          <w:p w14:paraId="68C1E322" w14:textId="7D9749BA" w:rsidR="00AC4618" w:rsidRPr="00865792" w:rsidRDefault="397BC26C" w:rsidP="6E3AA9BD">
            <w:pPr>
              <w:jc w:val="center"/>
              <w:rPr>
                <w:rFonts w:ascii="Times New Roman" w:hAnsi="Times New Roman" w:cs="Times New Roman"/>
                <w:sz w:val="24"/>
                <w:szCs w:val="24"/>
              </w:rPr>
            </w:pPr>
            <w:r w:rsidRPr="00865792">
              <w:rPr>
                <w:rFonts w:ascii="Times New Roman" w:hAnsi="Times New Roman" w:cs="Times New Roman"/>
                <w:sz w:val="24"/>
                <w:szCs w:val="24"/>
              </w:rPr>
              <w:t>604.655</w:t>
            </w:r>
            <w:r w:rsidR="0CC1B036" w:rsidRPr="00865792">
              <w:rPr>
                <w:rFonts w:ascii="Times New Roman" w:hAnsi="Times New Roman" w:cs="Times New Roman"/>
                <w:sz w:val="24"/>
                <w:szCs w:val="24"/>
              </w:rPr>
              <w:t xml:space="preserve"> (251)</w:t>
            </w:r>
          </w:p>
        </w:tc>
        <w:tc>
          <w:tcPr>
            <w:tcW w:w="1883" w:type="dxa"/>
            <w:tcBorders>
              <w:top w:val="nil"/>
              <w:left w:val="nil"/>
              <w:bottom w:val="nil"/>
              <w:right w:val="nil"/>
            </w:tcBorders>
          </w:tcPr>
          <w:p w14:paraId="71336E22" w14:textId="194F51A8" w:rsidR="00AC4618" w:rsidRPr="00865792" w:rsidRDefault="26617B89" w:rsidP="6E3AA9BD">
            <w:pPr>
              <w:jc w:val="center"/>
              <w:rPr>
                <w:rFonts w:ascii="Times New Roman" w:hAnsi="Times New Roman" w:cs="Times New Roman"/>
                <w:sz w:val="24"/>
                <w:szCs w:val="24"/>
              </w:rPr>
            </w:pPr>
            <w:r w:rsidRPr="00865792">
              <w:rPr>
                <w:rFonts w:ascii="Times New Roman" w:hAnsi="Times New Roman" w:cs="Times New Roman"/>
                <w:sz w:val="24"/>
                <w:szCs w:val="24"/>
              </w:rPr>
              <w:t>0.</w:t>
            </w:r>
            <w:r w:rsidR="34E6DDEA" w:rsidRPr="00865792">
              <w:rPr>
                <w:rFonts w:ascii="Times New Roman" w:hAnsi="Times New Roman" w:cs="Times New Roman"/>
                <w:sz w:val="24"/>
                <w:szCs w:val="24"/>
              </w:rPr>
              <w:t>8</w:t>
            </w:r>
            <w:r w:rsidR="26A0FE60" w:rsidRPr="00865792">
              <w:rPr>
                <w:rFonts w:ascii="Times New Roman" w:hAnsi="Times New Roman" w:cs="Times New Roman"/>
                <w:sz w:val="24"/>
                <w:szCs w:val="24"/>
              </w:rPr>
              <w:t>4</w:t>
            </w:r>
          </w:p>
        </w:tc>
        <w:tc>
          <w:tcPr>
            <w:tcW w:w="1883" w:type="dxa"/>
            <w:tcBorders>
              <w:top w:val="nil"/>
              <w:left w:val="nil"/>
              <w:bottom w:val="nil"/>
              <w:right w:val="nil"/>
            </w:tcBorders>
          </w:tcPr>
          <w:p w14:paraId="5D1505F0" w14:textId="5146A934" w:rsidR="00AC4618" w:rsidRPr="00865792" w:rsidRDefault="26617B89" w:rsidP="6E3AA9BD">
            <w:pPr>
              <w:jc w:val="center"/>
              <w:rPr>
                <w:rFonts w:ascii="Times New Roman" w:hAnsi="Times New Roman" w:cs="Times New Roman"/>
                <w:sz w:val="24"/>
                <w:szCs w:val="24"/>
              </w:rPr>
            </w:pPr>
            <w:r w:rsidRPr="00865792">
              <w:rPr>
                <w:rFonts w:ascii="Times New Roman" w:hAnsi="Times New Roman" w:cs="Times New Roman"/>
                <w:sz w:val="24"/>
                <w:szCs w:val="24"/>
              </w:rPr>
              <w:t>0.</w:t>
            </w:r>
            <w:r w:rsidR="1773198D" w:rsidRPr="00865792">
              <w:rPr>
                <w:rFonts w:ascii="Times New Roman" w:hAnsi="Times New Roman" w:cs="Times New Roman"/>
                <w:sz w:val="24"/>
                <w:szCs w:val="24"/>
              </w:rPr>
              <w:t>8</w:t>
            </w:r>
            <w:r w:rsidR="580B0CB1" w:rsidRPr="00865792">
              <w:rPr>
                <w:rFonts w:ascii="Times New Roman" w:hAnsi="Times New Roman" w:cs="Times New Roman"/>
                <w:sz w:val="24"/>
                <w:szCs w:val="24"/>
              </w:rPr>
              <w:t>2</w:t>
            </w:r>
          </w:p>
        </w:tc>
        <w:tc>
          <w:tcPr>
            <w:tcW w:w="1883" w:type="dxa"/>
            <w:tcBorders>
              <w:top w:val="nil"/>
              <w:left w:val="nil"/>
              <w:bottom w:val="nil"/>
              <w:right w:val="nil"/>
            </w:tcBorders>
          </w:tcPr>
          <w:p w14:paraId="0A919E22" w14:textId="74D45155" w:rsidR="00AC4618" w:rsidRPr="00865792" w:rsidRDefault="580B0CB1" w:rsidP="6E3AA9BD">
            <w:pPr>
              <w:jc w:val="center"/>
              <w:rPr>
                <w:rFonts w:ascii="Times New Roman" w:hAnsi="Times New Roman" w:cs="Times New Roman"/>
                <w:sz w:val="24"/>
                <w:szCs w:val="24"/>
              </w:rPr>
            </w:pPr>
            <w:r w:rsidRPr="00865792">
              <w:rPr>
                <w:rFonts w:ascii="Times New Roman" w:hAnsi="Times New Roman" w:cs="Times New Roman"/>
                <w:sz w:val="24"/>
                <w:szCs w:val="24"/>
              </w:rPr>
              <w:t>21697.879</w:t>
            </w:r>
          </w:p>
        </w:tc>
      </w:tr>
      <w:tr w:rsidR="00865792" w:rsidRPr="00865792" w14:paraId="17EEB1C8" w14:textId="77777777" w:rsidTr="6E3AA9BD">
        <w:tc>
          <w:tcPr>
            <w:tcW w:w="1558" w:type="dxa"/>
            <w:tcBorders>
              <w:top w:val="nil"/>
              <w:left w:val="nil"/>
              <w:bottom w:val="nil"/>
              <w:right w:val="nil"/>
            </w:tcBorders>
          </w:tcPr>
          <w:p w14:paraId="05DF9332" w14:textId="2E62A0D8" w:rsidR="00AC4618" w:rsidRPr="00865792" w:rsidRDefault="00AC4618" w:rsidP="006030D1">
            <w:pPr>
              <w:rPr>
                <w:rFonts w:ascii="Times New Roman" w:hAnsi="Times New Roman" w:cs="Times New Roman"/>
                <w:b/>
                <w:bCs/>
                <w:sz w:val="24"/>
                <w:szCs w:val="24"/>
              </w:rPr>
            </w:pPr>
            <w:r w:rsidRPr="00865792">
              <w:rPr>
                <w:rFonts w:ascii="Times New Roman" w:hAnsi="Times New Roman" w:cs="Times New Roman"/>
                <w:b/>
                <w:bCs/>
                <w:sz w:val="24"/>
                <w:szCs w:val="24"/>
              </w:rPr>
              <w:t xml:space="preserve"> Scalar</w:t>
            </w:r>
          </w:p>
        </w:tc>
        <w:tc>
          <w:tcPr>
            <w:tcW w:w="1883" w:type="dxa"/>
            <w:tcBorders>
              <w:top w:val="nil"/>
              <w:left w:val="nil"/>
              <w:bottom w:val="nil"/>
              <w:right w:val="nil"/>
            </w:tcBorders>
          </w:tcPr>
          <w:p w14:paraId="6D1EA839" w14:textId="54E03AB1" w:rsidR="00AC4618" w:rsidRPr="00865792" w:rsidRDefault="3DAC2EAE" w:rsidP="6E3AA9BD">
            <w:pPr>
              <w:jc w:val="center"/>
              <w:rPr>
                <w:rFonts w:ascii="Times New Roman" w:hAnsi="Times New Roman" w:cs="Times New Roman"/>
                <w:sz w:val="24"/>
                <w:szCs w:val="24"/>
              </w:rPr>
            </w:pPr>
            <w:r w:rsidRPr="00865792">
              <w:rPr>
                <w:rFonts w:ascii="Times New Roman" w:hAnsi="Times New Roman" w:cs="Times New Roman"/>
                <w:sz w:val="24"/>
                <w:szCs w:val="24"/>
              </w:rPr>
              <w:t>779.330</w:t>
            </w:r>
            <w:r w:rsidR="6CBA7DF3" w:rsidRPr="00865792">
              <w:rPr>
                <w:rFonts w:ascii="Times New Roman" w:hAnsi="Times New Roman" w:cs="Times New Roman"/>
                <w:sz w:val="24"/>
                <w:szCs w:val="24"/>
              </w:rPr>
              <w:t xml:space="preserve"> (263)</w:t>
            </w:r>
          </w:p>
        </w:tc>
        <w:tc>
          <w:tcPr>
            <w:tcW w:w="1883" w:type="dxa"/>
            <w:tcBorders>
              <w:top w:val="nil"/>
              <w:left w:val="nil"/>
              <w:bottom w:val="nil"/>
              <w:right w:val="nil"/>
            </w:tcBorders>
          </w:tcPr>
          <w:p w14:paraId="4C28825A" w14:textId="04C2FCC1" w:rsidR="00AC4618" w:rsidRPr="00865792" w:rsidRDefault="6CBA7DF3" w:rsidP="6E3AA9BD">
            <w:pPr>
              <w:jc w:val="center"/>
              <w:rPr>
                <w:rFonts w:ascii="Times New Roman" w:hAnsi="Times New Roman" w:cs="Times New Roman"/>
                <w:sz w:val="24"/>
                <w:szCs w:val="24"/>
              </w:rPr>
            </w:pPr>
            <w:r w:rsidRPr="00865792">
              <w:rPr>
                <w:rFonts w:ascii="Times New Roman" w:hAnsi="Times New Roman" w:cs="Times New Roman"/>
                <w:sz w:val="24"/>
                <w:szCs w:val="24"/>
              </w:rPr>
              <w:t>0.</w:t>
            </w:r>
            <w:r w:rsidR="5FEA6CA4" w:rsidRPr="00865792">
              <w:rPr>
                <w:rFonts w:ascii="Times New Roman" w:hAnsi="Times New Roman" w:cs="Times New Roman"/>
                <w:sz w:val="24"/>
                <w:szCs w:val="24"/>
              </w:rPr>
              <w:t>75</w:t>
            </w:r>
          </w:p>
        </w:tc>
        <w:tc>
          <w:tcPr>
            <w:tcW w:w="1883" w:type="dxa"/>
            <w:tcBorders>
              <w:top w:val="nil"/>
              <w:left w:val="nil"/>
              <w:bottom w:val="nil"/>
              <w:right w:val="nil"/>
            </w:tcBorders>
          </w:tcPr>
          <w:p w14:paraId="491D830C" w14:textId="272E4027" w:rsidR="00AC4618" w:rsidRPr="00865792" w:rsidRDefault="6CBA7DF3" w:rsidP="6E3AA9BD">
            <w:pPr>
              <w:jc w:val="center"/>
              <w:rPr>
                <w:rFonts w:ascii="Times New Roman" w:hAnsi="Times New Roman" w:cs="Times New Roman"/>
                <w:sz w:val="24"/>
                <w:szCs w:val="24"/>
              </w:rPr>
            </w:pPr>
            <w:r w:rsidRPr="00865792">
              <w:rPr>
                <w:rFonts w:ascii="Times New Roman" w:hAnsi="Times New Roman" w:cs="Times New Roman"/>
                <w:sz w:val="24"/>
                <w:szCs w:val="24"/>
              </w:rPr>
              <w:t>0.</w:t>
            </w:r>
            <w:r w:rsidR="219E96D1" w:rsidRPr="00865792">
              <w:rPr>
                <w:rFonts w:ascii="Times New Roman" w:hAnsi="Times New Roman" w:cs="Times New Roman"/>
                <w:sz w:val="24"/>
                <w:szCs w:val="24"/>
              </w:rPr>
              <w:t>74</w:t>
            </w:r>
          </w:p>
        </w:tc>
        <w:tc>
          <w:tcPr>
            <w:tcW w:w="1883" w:type="dxa"/>
            <w:tcBorders>
              <w:top w:val="nil"/>
              <w:left w:val="nil"/>
              <w:bottom w:val="nil"/>
              <w:right w:val="nil"/>
            </w:tcBorders>
          </w:tcPr>
          <w:p w14:paraId="0C3940B9" w14:textId="5E7F5F0B" w:rsidR="00AC4618" w:rsidRPr="00865792" w:rsidRDefault="219E96D1" w:rsidP="6E3AA9BD">
            <w:pPr>
              <w:jc w:val="center"/>
              <w:rPr>
                <w:rFonts w:ascii="Times New Roman" w:hAnsi="Times New Roman" w:cs="Times New Roman"/>
                <w:sz w:val="24"/>
                <w:szCs w:val="24"/>
              </w:rPr>
            </w:pPr>
            <w:r w:rsidRPr="00865792">
              <w:rPr>
                <w:rFonts w:ascii="Times New Roman" w:hAnsi="Times New Roman" w:cs="Times New Roman"/>
                <w:sz w:val="24"/>
                <w:szCs w:val="24"/>
              </w:rPr>
              <w:t>21861.633</w:t>
            </w:r>
          </w:p>
        </w:tc>
      </w:tr>
      <w:tr w:rsidR="00865792" w:rsidRPr="00865792" w14:paraId="1A3308ED" w14:textId="77777777" w:rsidTr="6E3AA9BD">
        <w:tc>
          <w:tcPr>
            <w:tcW w:w="1558" w:type="dxa"/>
            <w:tcBorders>
              <w:top w:val="nil"/>
              <w:left w:val="nil"/>
              <w:right w:val="nil"/>
            </w:tcBorders>
          </w:tcPr>
          <w:p w14:paraId="3B26FF20" w14:textId="18C14820" w:rsidR="00AC4618" w:rsidRPr="00865792" w:rsidRDefault="42FA4927" w:rsidP="006030D1">
            <w:pPr>
              <w:rPr>
                <w:rFonts w:ascii="Times New Roman" w:hAnsi="Times New Roman" w:cs="Times New Roman"/>
                <w:b/>
                <w:bCs/>
                <w:sz w:val="24"/>
                <w:szCs w:val="24"/>
              </w:rPr>
            </w:pPr>
            <w:r w:rsidRPr="00865792">
              <w:rPr>
                <w:rFonts w:ascii="Times New Roman" w:hAnsi="Times New Roman" w:cs="Times New Roman"/>
                <w:b/>
                <w:bCs/>
                <w:sz w:val="24"/>
                <w:szCs w:val="24"/>
              </w:rPr>
              <w:t xml:space="preserve"> Residual</w:t>
            </w:r>
          </w:p>
        </w:tc>
        <w:tc>
          <w:tcPr>
            <w:tcW w:w="1883" w:type="dxa"/>
            <w:tcBorders>
              <w:top w:val="nil"/>
              <w:left w:val="nil"/>
              <w:right w:val="nil"/>
            </w:tcBorders>
          </w:tcPr>
          <w:p w14:paraId="621654AD" w14:textId="294B4546" w:rsidR="00AC4618" w:rsidRPr="00865792" w:rsidRDefault="3900D0D7" w:rsidP="6E3AA9BD">
            <w:pPr>
              <w:jc w:val="center"/>
              <w:rPr>
                <w:rFonts w:ascii="Times New Roman" w:hAnsi="Times New Roman" w:cs="Times New Roman"/>
                <w:sz w:val="24"/>
                <w:szCs w:val="24"/>
              </w:rPr>
            </w:pPr>
            <w:r w:rsidRPr="00865792">
              <w:rPr>
                <w:rFonts w:ascii="Times New Roman" w:hAnsi="Times New Roman" w:cs="Times New Roman"/>
                <w:sz w:val="24"/>
                <w:szCs w:val="24"/>
              </w:rPr>
              <w:t>823.253</w:t>
            </w:r>
            <w:r w:rsidR="10F84C1E" w:rsidRPr="00865792">
              <w:rPr>
                <w:rFonts w:ascii="Times New Roman" w:hAnsi="Times New Roman" w:cs="Times New Roman"/>
                <w:sz w:val="24"/>
                <w:szCs w:val="24"/>
              </w:rPr>
              <w:t>(</w:t>
            </w:r>
            <w:r w:rsidR="5D6FC654" w:rsidRPr="00865792">
              <w:rPr>
                <w:rFonts w:ascii="Times New Roman" w:hAnsi="Times New Roman" w:cs="Times New Roman"/>
                <w:sz w:val="24"/>
                <w:szCs w:val="24"/>
              </w:rPr>
              <w:t>275)</w:t>
            </w:r>
          </w:p>
        </w:tc>
        <w:tc>
          <w:tcPr>
            <w:tcW w:w="1883" w:type="dxa"/>
            <w:tcBorders>
              <w:top w:val="nil"/>
              <w:left w:val="nil"/>
              <w:right w:val="nil"/>
            </w:tcBorders>
          </w:tcPr>
          <w:p w14:paraId="0DBB59D3" w14:textId="3AB5B287" w:rsidR="00AC4618" w:rsidRPr="00865792" w:rsidRDefault="5D6FC654" w:rsidP="6E3AA9BD">
            <w:pPr>
              <w:jc w:val="center"/>
              <w:rPr>
                <w:rFonts w:ascii="Times New Roman" w:hAnsi="Times New Roman" w:cs="Times New Roman"/>
                <w:sz w:val="24"/>
                <w:szCs w:val="24"/>
              </w:rPr>
            </w:pPr>
            <w:r w:rsidRPr="00865792">
              <w:rPr>
                <w:rFonts w:ascii="Times New Roman" w:hAnsi="Times New Roman" w:cs="Times New Roman"/>
                <w:sz w:val="24"/>
                <w:szCs w:val="24"/>
              </w:rPr>
              <w:t>0.7</w:t>
            </w:r>
            <w:r w:rsidR="170438CF" w:rsidRPr="00865792">
              <w:rPr>
                <w:rFonts w:ascii="Times New Roman" w:hAnsi="Times New Roman" w:cs="Times New Roman"/>
                <w:sz w:val="24"/>
                <w:szCs w:val="24"/>
              </w:rPr>
              <w:t>5</w:t>
            </w:r>
          </w:p>
        </w:tc>
        <w:tc>
          <w:tcPr>
            <w:tcW w:w="1883" w:type="dxa"/>
            <w:tcBorders>
              <w:top w:val="nil"/>
              <w:left w:val="nil"/>
              <w:right w:val="nil"/>
            </w:tcBorders>
          </w:tcPr>
          <w:p w14:paraId="6771B97C" w14:textId="7CB4B740" w:rsidR="00AC4618" w:rsidRPr="00865792" w:rsidRDefault="57C0D98A" w:rsidP="6E3AA9BD">
            <w:pPr>
              <w:jc w:val="center"/>
              <w:rPr>
                <w:rFonts w:ascii="Times New Roman" w:hAnsi="Times New Roman" w:cs="Times New Roman"/>
                <w:sz w:val="24"/>
                <w:szCs w:val="24"/>
              </w:rPr>
            </w:pPr>
            <w:r w:rsidRPr="00865792">
              <w:rPr>
                <w:rFonts w:ascii="Times New Roman" w:hAnsi="Times New Roman" w:cs="Times New Roman"/>
                <w:sz w:val="24"/>
                <w:szCs w:val="24"/>
              </w:rPr>
              <w:t>0.7</w:t>
            </w:r>
            <w:r w:rsidR="7DCC3DFD" w:rsidRPr="00865792">
              <w:rPr>
                <w:rFonts w:ascii="Times New Roman" w:hAnsi="Times New Roman" w:cs="Times New Roman"/>
                <w:sz w:val="24"/>
                <w:szCs w:val="24"/>
              </w:rPr>
              <w:t>5</w:t>
            </w:r>
          </w:p>
        </w:tc>
        <w:tc>
          <w:tcPr>
            <w:tcW w:w="1883" w:type="dxa"/>
            <w:tcBorders>
              <w:top w:val="nil"/>
              <w:left w:val="nil"/>
              <w:right w:val="nil"/>
            </w:tcBorders>
          </w:tcPr>
          <w:p w14:paraId="10E5AEFA" w14:textId="3E29CC3E" w:rsidR="00AC4618" w:rsidRPr="00865792" w:rsidRDefault="008D9625" w:rsidP="6E3AA9BD">
            <w:pPr>
              <w:jc w:val="center"/>
              <w:rPr>
                <w:rFonts w:ascii="Times New Roman" w:hAnsi="Times New Roman" w:cs="Times New Roman"/>
                <w:sz w:val="24"/>
                <w:szCs w:val="24"/>
              </w:rPr>
            </w:pPr>
            <w:r w:rsidRPr="00865792">
              <w:rPr>
                <w:rFonts w:ascii="Times New Roman" w:hAnsi="Times New Roman" w:cs="Times New Roman"/>
                <w:sz w:val="24"/>
                <w:szCs w:val="24"/>
              </w:rPr>
              <w:t>2</w:t>
            </w:r>
            <w:r w:rsidR="4B9A222E" w:rsidRPr="00865792">
              <w:rPr>
                <w:rFonts w:ascii="Times New Roman" w:hAnsi="Times New Roman" w:cs="Times New Roman"/>
                <w:sz w:val="24"/>
                <w:szCs w:val="24"/>
              </w:rPr>
              <w:t>1882.284</w:t>
            </w:r>
          </w:p>
        </w:tc>
      </w:tr>
      <w:tr w:rsidR="00865792" w:rsidRPr="00865792" w14:paraId="627A7684" w14:textId="77777777" w:rsidTr="6E3AA9BD">
        <w:tc>
          <w:tcPr>
            <w:tcW w:w="9090" w:type="dxa"/>
            <w:gridSpan w:val="5"/>
            <w:tcBorders>
              <w:left w:val="nil"/>
              <w:right w:val="nil"/>
            </w:tcBorders>
          </w:tcPr>
          <w:p w14:paraId="751FDD52" w14:textId="7D492D15" w:rsidR="009B4A62" w:rsidRPr="00865792" w:rsidRDefault="009B4A62" w:rsidP="009B4A62">
            <w:pPr>
              <w:jc w:val="center"/>
              <w:rPr>
                <w:rFonts w:ascii="Times New Roman" w:hAnsi="Times New Roman" w:cs="Times New Roman"/>
                <w:b/>
                <w:bCs/>
                <w:sz w:val="24"/>
                <w:szCs w:val="24"/>
              </w:rPr>
            </w:pPr>
            <w:r w:rsidRPr="00865792">
              <w:rPr>
                <w:rFonts w:ascii="Times New Roman" w:hAnsi="Times New Roman" w:cs="Times New Roman"/>
                <w:b/>
                <w:bCs/>
                <w:sz w:val="24"/>
                <w:szCs w:val="24"/>
              </w:rPr>
              <w:t>Hyperreactivity</w:t>
            </w:r>
          </w:p>
        </w:tc>
      </w:tr>
      <w:tr w:rsidR="00865792" w:rsidRPr="00865792" w14:paraId="3A300506" w14:textId="77777777" w:rsidTr="6E3AA9BD">
        <w:tc>
          <w:tcPr>
            <w:tcW w:w="1558" w:type="dxa"/>
            <w:tcBorders>
              <w:left w:val="nil"/>
              <w:bottom w:val="nil"/>
              <w:right w:val="nil"/>
            </w:tcBorders>
          </w:tcPr>
          <w:p w14:paraId="7E2AAF9E" w14:textId="49F8BC4E" w:rsidR="00AC4618" w:rsidRPr="00865792" w:rsidRDefault="00AC4618" w:rsidP="006030D1">
            <w:pPr>
              <w:rPr>
                <w:rFonts w:ascii="Times New Roman" w:hAnsi="Times New Roman" w:cs="Times New Roman"/>
                <w:b/>
                <w:bCs/>
                <w:sz w:val="24"/>
                <w:szCs w:val="24"/>
              </w:rPr>
            </w:pPr>
            <w:r w:rsidRPr="00865792">
              <w:rPr>
                <w:rFonts w:ascii="Times New Roman" w:hAnsi="Times New Roman" w:cs="Times New Roman"/>
                <w:b/>
                <w:bCs/>
                <w:sz w:val="24"/>
                <w:szCs w:val="24"/>
              </w:rPr>
              <w:t xml:space="preserve"> Configural</w:t>
            </w:r>
          </w:p>
        </w:tc>
        <w:tc>
          <w:tcPr>
            <w:tcW w:w="1883" w:type="dxa"/>
            <w:tcBorders>
              <w:left w:val="nil"/>
              <w:bottom w:val="nil"/>
              <w:right w:val="nil"/>
            </w:tcBorders>
          </w:tcPr>
          <w:p w14:paraId="46A02EEB" w14:textId="11EBF2C7" w:rsidR="00AC4618" w:rsidRPr="00865792" w:rsidRDefault="00C91567" w:rsidP="00AC4618">
            <w:pPr>
              <w:jc w:val="center"/>
              <w:rPr>
                <w:rFonts w:ascii="Times New Roman" w:hAnsi="Times New Roman" w:cs="Times New Roman"/>
                <w:sz w:val="24"/>
                <w:szCs w:val="24"/>
              </w:rPr>
            </w:pPr>
            <w:r w:rsidRPr="00865792">
              <w:rPr>
                <w:rFonts w:ascii="Times New Roman" w:hAnsi="Times New Roman" w:cs="Times New Roman"/>
                <w:sz w:val="24"/>
                <w:szCs w:val="24"/>
              </w:rPr>
              <w:t>437.195</w:t>
            </w:r>
            <w:r w:rsidR="00595A9B" w:rsidRPr="00865792">
              <w:rPr>
                <w:rFonts w:ascii="Times New Roman" w:hAnsi="Times New Roman" w:cs="Times New Roman"/>
                <w:sz w:val="24"/>
                <w:szCs w:val="24"/>
              </w:rPr>
              <w:t xml:space="preserve"> (159)</w:t>
            </w:r>
          </w:p>
        </w:tc>
        <w:tc>
          <w:tcPr>
            <w:tcW w:w="1883" w:type="dxa"/>
            <w:tcBorders>
              <w:left w:val="nil"/>
              <w:bottom w:val="nil"/>
              <w:right w:val="nil"/>
            </w:tcBorders>
          </w:tcPr>
          <w:p w14:paraId="0A34C437" w14:textId="727D509E" w:rsidR="00AC4618" w:rsidRPr="00865792" w:rsidRDefault="00595A9B" w:rsidP="00AC4618">
            <w:pPr>
              <w:jc w:val="center"/>
              <w:rPr>
                <w:rFonts w:ascii="Times New Roman" w:hAnsi="Times New Roman" w:cs="Times New Roman"/>
                <w:sz w:val="24"/>
                <w:szCs w:val="24"/>
              </w:rPr>
            </w:pPr>
            <w:r w:rsidRPr="00865792">
              <w:rPr>
                <w:rFonts w:ascii="Times New Roman" w:hAnsi="Times New Roman" w:cs="Times New Roman"/>
                <w:sz w:val="24"/>
                <w:szCs w:val="24"/>
              </w:rPr>
              <w:t>0.7</w:t>
            </w:r>
            <w:r w:rsidR="00F50B74" w:rsidRPr="00865792">
              <w:rPr>
                <w:rFonts w:ascii="Times New Roman" w:hAnsi="Times New Roman" w:cs="Times New Roman"/>
                <w:sz w:val="24"/>
                <w:szCs w:val="24"/>
              </w:rPr>
              <w:t>6</w:t>
            </w:r>
          </w:p>
        </w:tc>
        <w:tc>
          <w:tcPr>
            <w:tcW w:w="1883" w:type="dxa"/>
            <w:tcBorders>
              <w:left w:val="nil"/>
              <w:bottom w:val="nil"/>
              <w:right w:val="nil"/>
            </w:tcBorders>
          </w:tcPr>
          <w:p w14:paraId="25583977" w14:textId="7DCCFA67" w:rsidR="00AC4618" w:rsidRPr="00865792" w:rsidRDefault="00595A9B" w:rsidP="00AC4618">
            <w:pPr>
              <w:jc w:val="center"/>
              <w:rPr>
                <w:rFonts w:ascii="Times New Roman" w:hAnsi="Times New Roman" w:cs="Times New Roman"/>
                <w:sz w:val="24"/>
                <w:szCs w:val="24"/>
              </w:rPr>
            </w:pPr>
            <w:r w:rsidRPr="00865792">
              <w:rPr>
                <w:rFonts w:ascii="Times New Roman" w:hAnsi="Times New Roman" w:cs="Times New Roman"/>
                <w:sz w:val="24"/>
                <w:szCs w:val="24"/>
              </w:rPr>
              <w:t>0.7</w:t>
            </w:r>
            <w:r w:rsidR="00F50B74" w:rsidRPr="00865792">
              <w:rPr>
                <w:rFonts w:ascii="Times New Roman" w:hAnsi="Times New Roman" w:cs="Times New Roman"/>
                <w:sz w:val="24"/>
                <w:szCs w:val="24"/>
              </w:rPr>
              <w:t>2</w:t>
            </w:r>
          </w:p>
        </w:tc>
        <w:tc>
          <w:tcPr>
            <w:tcW w:w="1883" w:type="dxa"/>
            <w:tcBorders>
              <w:left w:val="nil"/>
              <w:bottom w:val="nil"/>
              <w:right w:val="nil"/>
            </w:tcBorders>
          </w:tcPr>
          <w:p w14:paraId="44A148A5" w14:textId="3377F612" w:rsidR="00AC4618" w:rsidRPr="00865792" w:rsidRDefault="00F50B74" w:rsidP="00AC4618">
            <w:pPr>
              <w:jc w:val="center"/>
              <w:rPr>
                <w:rFonts w:ascii="Times New Roman" w:hAnsi="Times New Roman" w:cs="Times New Roman"/>
                <w:sz w:val="24"/>
                <w:szCs w:val="24"/>
              </w:rPr>
            </w:pPr>
            <w:r w:rsidRPr="00865792">
              <w:rPr>
                <w:rFonts w:ascii="Times New Roman" w:hAnsi="Times New Roman" w:cs="Times New Roman"/>
                <w:sz w:val="24"/>
                <w:szCs w:val="24"/>
              </w:rPr>
              <w:t>17168</w:t>
            </w:r>
            <w:r w:rsidR="00A84D0D" w:rsidRPr="00865792">
              <w:rPr>
                <w:rFonts w:ascii="Times New Roman" w:hAnsi="Times New Roman" w:cs="Times New Roman"/>
                <w:sz w:val="24"/>
                <w:szCs w:val="24"/>
              </w:rPr>
              <w:t>.435</w:t>
            </w:r>
          </w:p>
        </w:tc>
      </w:tr>
      <w:tr w:rsidR="00865792" w:rsidRPr="00865792" w14:paraId="139D5B2F" w14:textId="77777777" w:rsidTr="6E3AA9BD">
        <w:tc>
          <w:tcPr>
            <w:tcW w:w="1558" w:type="dxa"/>
            <w:tcBorders>
              <w:top w:val="nil"/>
              <w:left w:val="nil"/>
              <w:bottom w:val="nil"/>
              <w:right w:val="nil"/>
            </w:tcBorders>
          </w:tcPr>
          <w:p w14:paraId="17734B9F" w14:textId="665CDD84" w:rsidR="00AC4618" w:rsidRPr="00865792" w:rsidRDefault="00AC4618" w:rsidP="006030D1">
            <w:pPr>
              <w:rPr>
                <w:rFonts w:ascii="Times New Roman" w:hAnsi="Times New Roman" w:cs="Times New Roman"/>
                <w:b/>
                <w:bCs/>
                <w:sz w:val="24"/>
                <w:szCs w:val="24"/>
              </w:rPr>
            </w:pPr>
            <w:r w:rsidRPr="00865792">
              <w:rPr>
                <w:rFonts w:ascii="Times New Roman" w:hAnsi="Times New Roman" w:cs="Times New Roman"/>
                <w:b/>
                <w:bCs/>
                <w:sz w:val="24"/>
                <w:szCs w:val="24"/>
              </w:rPr>
              <w:t xml:space="preserve"> Metric</w:t>
            </w:r>
          </w:p>
        </w:tc>
        <w:tc>
          <w:tcPr>
            <w:tcW w:w="1883" w:type="dxa"/>
            <w:tcBorders>
              <w:top w:val="nil"/>
              <w:left w:val="nil"/>
              <w:bottom w:val="nil"/>
              <w:right w:val="nil"/>
            </w:tcBorders>
          </w:tcPr>
          <w:p w14:paraId="3D28D8E5" w14:textId="2AA82B48" w:rsidR="00AC4618" w:rsidRPr="00865792" w:rsidRDefault="002C7F27" w:rsidP="00AC4618">
            <w:pPr>
              <w:jc w:val="center"/>
              <w:rPr>
                <w:rFonts w:ascii="Times New Roman" w:hAnsi="Times New Roman" w:cs="Times New Roman"/>
                <w:sz w:val="24"/>
                <w:szCs w:val="24"/>
              </w:rPr>
            </w:pPr>
            <w:r w:rsidRPr="00865792">
              <w:rPr>
                <w:rFonts w:ascii="Times New Roman" w:hAnsi="Times New Roman" w:cs="Times New Roman"/>
                <w:sz w:val="24"/>
                <w:szCs w:val="24"/>
              </w:rPr>
              <w:t>440.720</w:t>
            </w:r>
            <w:r w:rsidR="00264CE3" w:rsidRPr="00865792">
              <w:rPr>
                <w:rFonts w:ascii="Times New Roman" w:hAnsi="Times New Roman" w:cs="Times New Roman"/>
                <w:sz w:val="24"/>
                <w:szCs w:val="24"/>
              </w:rPr>
              <w:t xml:space="preserve"> (169)</w:t>
            </w:r>
          </w:p>
        </w:tc>
        <w:tc>
          <w:tcPr>
            <w:tcW w:w="1883" w:type="dxa"/>
            <w:tcBorders>
              <w:top w:val="nil"/>
              <w:left w:val="nil"/>
              <w:bottom w:val="nil"/>
              <w:right w:val="nil"/>
            </w:tcBorders>
          </w:tcPr>
          <w:p w14:paraId="6315A3A1" w14:textId="2C124CDC" w:rsidR="00AC4618" w:rsidRPr="00865792" w:rsidRDefault="00264CE3" w:rsidP="00AC4618">
            <w:pPr>
              <w:jc w:val="center"/>
              <w:rPr>
                <w:rFonts w:ascii="Times New Roman" w:hAnsi="Times New Roman" w:cs="Times New Roman"/>
                <w:sz w:val="24"/>
                <w:szCs w:val="24"/>
              </w:rPr>
            </w:pPr>
            <w:r w:rsidRPr="00865792">
              <w:rPr>
                <w:rFonts w:ascii="Times New Roman" w:hAnsi="Times New Roman" w:cs="Times New Roman"/>
                <w:sz w:val="24"/>
                <w:szCs w:val="24"/>
              </w:rPr>
              <w:t>0.7</w:t>
            </w:r>
            <w:r w:rsidR="002C7F27" w:rsidRPr="00865792">
              <w:rPr>
                <w:rFonts w:ascii="Times New Roman" w:hAnsi="Times New Roman" w:cs="Times New Roman"/>
                <w:sz w:val="24"/>
                <w:szCs w:val="24"/>
              </w:rPr>
              <w:t>7</w:t>
            </w:r>
          </w:p>
        </w:tc>
        <w:tc>
          <w:tcPr>
            <w:tcW w:w="1883" w:type="dxa"/>
            <w:tcBorders>
              <w:top w:val="nil"/>
              <w:left w:val="nil"/>
              <w:bottom w:val="nil"/>
              <w:right w:val="nil"/>
            </w:tcBorders>
          </w:tcPr>
          <w:p w14:paraId="50333A8B" w14:textId="1474AFE0" w:rsidR="00AC4618" w:rsidRPr="00865792" w:rsidRDefault="00264CE3" w:rsidP="00AC4618">
            <w:pPr>
              <w:jc w:val="center"/>
              <w:rPr>
                <w:rFonts w:ascii="Times New Roman" w:hAnsi="Times New Roman" w:cs="Times New Roman"/>
                <w:sz w:val="24"/>
                <w:szCs w:val="24"/>
              </w:rPr>
            </w:pPr>
            <w:r w:rsidRPr="00865792">
              <w:rPr>
                <w:rFonts w:ascii="Times New Roman" w:hAnsi="Times New Roman" w:cs="Times New Roman"/>
                <w:sz w:val="24"/>
                <w:szCs w:val="24"/>
              </w:rPr>
              <w:t>0.7</w:t>
            </w:r>
            <w:r w:rsidR="002C7F27" w:rsidRPr="00865792">
              <w:rPr>
                <w:rFonts w:ascii="Times New Roman" w:hAnsi="Times New Roman" w:cs="Times New Roman"/>
                <w:sz w:val="24"/>
                <w:szCs w:val="24"/>
              </w:rPr>
              <w:t>4</w:t>
            </w:r>
          </w:p>
        </w:tc>
        <w:tc>
          <w:tcPr>
            <w:tcW w:w="1883" w:type="dxa"/>
            <w:tcBorders>
              <w:top w:val="nil"/>
              <w:left w:val="nil"/>
              <w:bottom w:val="nil"/>
              <w:right w:val="nil"/>
            </w:tcBorders>
          </w:tcPr>
          <w:p w14:paraId="5859C547" w14:textId="56C827AC" w:rsidR="00AC4618" w:rsidRPr="00865792" w:rsidRDefault="002C7F27" w:rsidP="00AC4618">
            <w:pPr>
              <w:jc w:val="center"/>
              <w:rPr>
                <w:rFonts w:ascii="Times New Roman" w:hAnsi="Times New Roman" w:cs="Times New Roman"/>
                <w:sz w:val="24"/>
                <w:szCs w:val="24"/>
              </w:rPr>
            </w:pPr>
            <w:r w:rsidRPr="00865792">
              <w:rPr>
                <w:rFonts w:ascii="Times New Roman" w:hAnsi="Times New Roman" w:cs="Times New Roman"/>
                <w:sz w:val="24"/>
                <w:szCs w:val="24"/>
              </w:rPr>
              <w:t>17151</w:t>
            </w:r>
            <w:r w:rsidR="00264CE3" w:rsidRPr="00865792">
              <w:rPr>
                <w:rFonts w:ascii="Times New Roman" w:hAnsi="Times New Roman" w:cs="Times New Roman"/>
                <w:sz w:val="24"/>
                <w:szCs w:val="24"/>
              </w:rPr>
              <w:t>.</w:t>
            </w:r>
            <w:r w:rsidRPr="00865792">
              <w:rPr>
                <w:rFonts w:ascii="Times New Roman" w:hAnsi="Times New Roman" w:cs="Times New Roman"/>
                <w:sz w:val="24"/>
                <w:szCs w:val="24"/>
              </w:rPr>
              <w:t>216</w:t>
            </w:r>
          </w:p>
        </w:tc>
      </w:tr>
      <w:tr w:rsidR="00865792" w:rsidRPr="00865792" w14:paraId="47572E4D" w14:textId="77777777" w:rsidTr="6E3AA9BD">
        <w:tc>
          <w:tcPr>
            <w:tcW w:w="1558" w:type="dxa"/>
            <w:tcBorders>
              <w:top w:val="nil"/>
              <w:left w:val="nil"/>
              <w:bottom w:val="nil"/>
              <w:right w:val="nil"/>
            </w:tcBorders>
          </w:tcPr>
          <w:p w14:paraId="0501060D" w14:textId="13AB0159" w:rsidR="00AC4618" w:rsidRPr="00865792" w:rsidRDefault="00AC4618" w:rsidP="006030D1">
            <w:pPr>
              <w:rPr>
                <w:rFonts w:ascii="Times New Roman" w:hAnsi="Times New Roman" w:cs="Times New Roman"/>
                <w:b/>
                <w:bCs/>
                <w:sz w:val="24"/>
                <w:szCs w:val="24"/>
              </w:rPr>
            </w:pPr>
            <w:r w:rsidRPr="00865792">
              <w:rPr>
                <w:rFonts w:ascii="Times New Roman" w:hAnsi="Times New Roman" w:cs="Times New Roman"/>
                <w:b/>
                <w:bCs/>
                <w:sz w:val="24"/>
                <w:szCs w:val="24"/>
              </w:rPr>
              <w:t xml:space="preserve"> Scalar</w:t>
            </w:r>
          </w:p>
        </w:tc>
        <w:tc>
          <w:tcPr>
            <w:tcW w:w="1883" w:type="dxa"/>
            <w:tcBorders>
              <w:top w:val="nil"/>
              <w:left w:val="nil"/>
              <w:bottom w:val="nil"/>
              <w:right w:val="nil"/>
            </w:tcBorders>
          </w:tcPr>
          <w:p w14:paraId="1351C285" w14:textId="418B1A61" w:rsidR="00AC4618" w:rsidRPr="00865792" w:rsidRDefault="00DC144E" w:rsidP="00AC4618">
            <w:pPr>
              <w:jc w:val="center"/>
              <w:rPr>
                <w:rFonts w:ascii="Times New Roman" w:hAnsi="Times New Roman" w:cs="Times New Roman"/>
                <w:sz w:val="24"/>
                <w:szCs w:val="24"/>
              </w:rPr>
            </w:pPr>
            <w:r w:rsidRPr="00865792">
              <w:rPr>
                <w:rFonts w:ascii="Times New Roman" w:hAnsi="Times New Roman" w:cs="Times New Roman"/>
                <w:sz w:val="24"/>
                <w:szCs w:val="24"/>
              </w:rPr>
              <w:t>483.496</w:t>
            </w:r>
            <w:r w:rsidR="00220C31" w:rsidRPr="00865792">
              <w:rPr>
                <w:rFonts w:ascii="Times New Roman" w:hAnsi="Times New Roman" w:cs="Times New Roman"/>
                <w:sz w:val="24"/>
                <w:szCs w:val="24"/>
              </w:rPr>
              <w:t xml:space="preserve"> (</w:t>
            </w:r>
            <w:r w:rsidR="00710743" w:rsidRPr="00865792">
              <w:rPr>
                <w:rFonts w:ascii="Times New Roman" w:hAnsi="Times New Roman" w:cs="Times New Roman"/>
                <w:sz w:val="24"/>
                <w:szCs w:val="24"/>
              </w:rPr>
              <w:t>179</w:t>
            </w:r>
            <w:r w:rsidR="00220C31" w:rsidRPr="00865792">
              <w:rPr>
                <w:rFonts w:ascii="Times New Roman" w:hAnsi="Times New Roman" w:cs="Times New Roman"/>
                <w:sz w:val="24"/>
                <w:szCs w:val="24"/>
              </w:rPr>
              <w:t>)</w:t>
            </w:r>
          </w:p>
        </w:tc>
        <w:tc>
          <w:tcPr>
            <w:tcW w:w="1883" w:type="dxa"/>
            <w:tcBorders>
              <w:top w:val="nil"/>
              <w:left w:val="nil"/>
              <w:bottom w:val="nil"/>
              <w:right w:val="nil"/>
            </w:tcBorders>
          </w:tcPr>
          <w:p w14:paraId="42A018B8" w14:textId="3C50D857" w:rsidR="00AC4618" w:rsidRPr="00865792" w:rsidRDefault="00220C31" w:rsidP="00AC4618">
            <w:pPr>
              <w:jc w:val="center"/>
              <w:rPr>
                <w:rFonts w:ascii="Times New Roman" w:hAnsi="Times New Roman" w:cs="Times New Roman"/>
                <w:sz w:val="24"/>
                <w:szCs w:val="24"/>
              </w:rPr>
            </w:pPr>
            <w:r w:rsidRPr="00865792">
              <w:rPr>
                <w:rFonts w:ascii="Times New Roman" w:hAnsi="Times New Roman" w:cs="Times New Roman"/>
                <w:sz w:val="24"/>
                <w:szCs w:val="24"/>
              </w:rPr>
              <w:t>0.</w:t>
            </w:r>
            <w:r w:rsidR="00710743" w:rsidRPr="00865792">
              <w:rPr>
                <w:rFonts w:ascii="Times New Roman" w:hAnsi="Times New Roman" w:cs="Times New Roman"/>
                <w:sz w:val="24"/>
                <w:szCs w:val="24"/>
              </w:rPr>
              <w:t>75</w:t>
            </w:r>
          </w:p>
        </w:tc>
        <w:tc>
          <w:tcPr>
            <w:tcW w:w="1883" w:type="dxa"/>
            <w:tcBorders>
              <w:top w:val="nil"/>
              <w:left w:val="nil"/>
              <w:bottom w:val="nil"/>
              <w:right w:val="nil"/>
            </w:tcBorders>
          </w:tcPr>
          <w:p w14:paraId="12E131B9" w14:textId="10F36AE7" w:rsidR="00AC4618" w:rsidRPr="00865792" w:rsidRDefault="003C1B1D" w:rsidP="00AC4618">
            <w:pPr>
              <w:jc w:val="center"/>
              <w:rPr>
                <w:rFonts w:ascii="Times New Roman" w:hAnsi="Times New Roman" w:cs="Times New Roman"/>
                <w:sz w:val="24"/>
                <w:szCs w:val="24"/>
              </w:rPr>
            </w:pPr>
            <w:r w:rsidRPr="00865792">
              <w:rPr>
                <w:rFonts w:ascii="Times New Roman" w:hAnsi="Times New Roman" w:cs="Times New Roman"/>
                <w:sz w:val="24"/>
                <w:szCs w:val="24"/>
              </w:rPr>
              <w:t>0.</w:t>
            </w:r>
            <w:r w:rsidR="00B60BE3" w:rsidRPr="00865792">
              <w:rPr>
                <w:rFonts w:ascii="Times New Roman" w:hAnsi="Times New Roman" w:cs="Times New Roman"/>
                <w:sz w:val="24"/>
                <w:szCs w:val="24"/>
              </w:rPr>
              <w:t>7</w:t>
            </w:r>
            <w:r w:rsidR="00DC144E" w:rsidRPr="00865792">
              <w:rPr>
                <w:rFonts w:ascii="Times New Roman" w:hAnsi="Times New Roman" w:cs="Times New Roman"/>
                <w:sz w:val="24"/>
                <w:szCs w:val="24"/>
              </w:rPr>
              <w:t>3</w:t>
            </w:r>
          </w:p>
        </w:tc>
        <w:tc>
          <w:tcPr>
            <w:tcW w:w="1883" w:type="dxa"/>
            <w:tcBorders>
              <w:top w:val="nil"/>
              <w:left w:val="nil"/>
              <w:bottom w:val="nil"/>
              <w:right w:val="nil"/>
            </w:tcBorders>
          </w:tcPr>
          <w:p w14:paraId="643D48BE" w14:textId="4F848B46" w:rsidR="00AC4618" w:rsidRPr="00865792" w:rsidRDefault="002D4E5B" w:rsidP="00AC4618">
            <w:pPr>
              <w:jc w:val="center"/>
              <w:rPr>
                <w:rFonts w:ascii="Times New Roman" w:hAnsi="Times New Roman" w:cs="Times New Roman"/>
                <w:sz w:val="24"/>
                <w:szCs w:val="24"/>
              </w:rPr>
            </w:pPr>
            <w:r w:rsidRPr="00865792">
              <w:rPr>
                <w:rFonts w:ascii="Times New Roman" w:hAnsi="Times New Roman" w:cs="Times New Roman"/>
                <w:sz w:val="24"/>
                <w:szCs w:val="24"/>
              </w:rPr>
              <w:t>17175.807</w:t>
            </w:r>
          </w:p>
        </w:tc>
      </w:tr>
      <w:tr w:rsidR="00865792" w:rsidRPr="00865792" w14:paraId="36C5AFAD" w14:textId="77777777" w:rsidTr="6E3AA9BD">
        <w:tc>
          <w:tcPr>
            <w:tcW w:w="1558" w:type="dxa"/>
            <w:tcBorders>
              <w:top w:val="nil"/>
              <w:left w:val="nil"/>
              <w:bottom w:val="single" w:sz="4" w:space="0" w:color="auto"/>
              <w:right w:val="nil"/>
            </w:tcBorders>
          </w:tcPr>
          <w:p w14:paraId="569BF2AE" w14:textId="225F787E" w:rsidR="00AC4618" w:rsidRPr="00865792" w:rsidRDefault="00AC4618" w:rsidP="006030D1">
            <w:pPr>
              <w:rPr>
                <w:rFonts w:ascii="Times New Roman" w:hAnsi="Times New Roman" w:cs="Times New Roman"/>
                <w:b/>
                <w:bCs/>
                <w:sz w:val="24"/>
                <w:szCs w:val="24"/>
              </w:rPr>
            </w:pPr>
            <w:r w:rsidRPr="00865792">
              <w:rPr>
                <w:rFonts w:ascii="Times New Roman" w:hAnsi="Times New Roman" w:cs="Times New Roman"/>
                <w:b/>
                <w:bCs/>
                <w:sz w:val="24"/>
                <w:szCs w:val="24"/>
              </w:rPr>
              <w:t xml:space="preserve"> Residual</w:t>
            </w:r>
          </w:p>
        </w:tc>
        <w:tc>
          <w:tcPr>
            <w:tcW w:w="1883" w:type="dxa"/>
            <w:tcBorders>
              <w:top w:val="nil"/>
              <w:left w:val="nil"/>
              <w:bottom w:val="single" w:sz="4" w:space="0" w:color="auto"/>
              <w:right w:val="nil"/>
            </w:tcBorders>
          </w:tcPr>
          <w:p w14:paraId="37B9F2DA" w14:textId="786F4F4D" w:rsidR="00AC4618" w:rsidRPr="00865792" w:rsidRDefault="00913A2A" w:rsidP="00AC4618">
            <w:pPr>
              <w:jc w:val="center"/>
              <w:rPr>
                <w:rFonts w:ascii="Times New Roman" w:hAnsi="Times New Roman" w:cs="Times New Roman"/>
                <w:sz w:val="24"/>
                <w:szCs w:val="24"/>
              </w:rPr>
            </w:pPr>
            <w:r w:rsidRPr="00865792">
              <w:rPr>
                <w:rFonts w:ascii="Times New Roman" w:hAnsi="Times New Roman" w:cs="Times New Roman"/>
                <w:sz w:val="24"/>
                <w:szCs w:val="24"/>
              </w:rPr>
              <w:t>504.142</w:t>
            </w:r>
            <w:r w:rsidR="009C6434" w:rsidRPr="00865792">
              <w:rPr>
                <w:rFonts w:ascii="Times New Roman" w:hAnsi="Times New Roman" w:cs="Times New Roman"/>
                <w:sz w:val="24"/>
                <w:szCs w:val="24"/>
              </w:rPr>
              <w:t xml:space="preserve"> (</w:t>
            </w:r>
            <w:r w:rsidR="00467434" w:rsidRPr="00865792">
              <w:rPr>
                <w:rFonts w:ascii="Times New Roman" w:hAnsi="Times New Roman" w:cs="Times New Roman"/>
                <w:sz w:val="24"/>
                <w:szCs w:val="24"/>
              </w:rPr>
              <w:t>189</w:t>
            </w:r>
            <w:r w:rsidR="00907F27" w:rsidRPr="00865792">
              <w:rPr>
                <w:rFonts w:ascii="Times New Roman" w:hAnsi="Times New Roman" w:cs="Times New Roman"/>
                <w:sz w:val="24"/>
                <w:szCs w:val="24"/>
              </w:rPr>
              <w:t>)</w:t>
            </w:r>
          </w:p>
        </w:tc>
        <w:tc>
          <w:tcPr>
            <w:tcW w:w="1883" w:type="dxa"/>
            <w:tcBorders>
              <w:top w:val="nil"/>
              <w:left w:val="nil"/>
              <w:bottom w:val="single" w:sz="4" w:space="0" w:color="auto"/>
              <w:right w:val="nil"/>
            </w:tcBorders>
          </w:tcPr>
          <w:p w14:paraId="73A65AE0" w14:textId="3F738F54" w:rsidR="00AC4618" w:rsidRPr="00865792" w:rsidRDefault="003803E3" w:rsidP="00AC4618">
            <w:pPr>
              <w:jc w:val="center"/>
              <w:rPr>
                <w:rFonts w:ascii="Times New Roman" w:hAnsi="Times New Roman" w:cs="Times New Roman"/>
                <w:sz w:val="24"/>
                <w:szCs w:val="24"/>
              </w:rPr>
            </w:pPr>
            <w:r w:rsidRPr="00865792">
              <w:rPr>
                <w:rFonts w:ascii="Times New Roman" w:hAnsi="Times New Roman" w:cs="Times New Roman"/>
                <w:sz w:val="24"/>
                <w:szCs w:val="24"/>
              </w:rPr>
              <w:t>0.</w:t>
            </w:r>
            <w:r w:rsidR="00A40C2B" w:rsidRPr="00865792">
              <w:rPr>
                <w:rFonts w:ascii="Times New Roman" w:hAnsi="Times New Roman" w:cs="Times New Roman"/>
                <w:sz w:val="24"/>
                <w:szCs w:val="24"/>
              </w:rPr>
              <w:t>7</w:t>
            </w:r>
            <w:r w:rsidR="00AC54A4" w:rsidRPr="00865792">
              <w:rPr>
                <w:rFonts w:ascii="Times New Roman" w:hAnsi="Times New Roman" w:cs="Times New Roman"/>
                <w:sz w:val="24"/>
                <w:szCs w:val="24"/>
              </w:rPr>
              <w:t>4</w:t>
            </w:r>
          </w:p>
        </w:tc>
        <w:tc>
          <w:tcPr>
            <w:tcW w:w="1883" w:type="dxa"/>
            <w:tcBorders>
              <w:top w:val="nil"/>
              <w:left w:val="nil"/>
              <w:bottom w:val="single" w:sz="4" w:space="0" w:color="auto"/>
              <w:right w:val="nil"/>
            </w:tcBorders>
          </w:tcPr>
          <w:p w14:paraId="4FF940BB" w14:textId="09DF72EB" w:rsidR="00AC4618" w:rsidRPr="00865792" w:rsidRDefault="003803E3" w:rsidP="00AC4618">
            <w:pPr>
              <w:jc w:val="center"/>
              <w:rPr>
                <w:rFonts w:ascii="Times New Roman" w:hAnsi="Times New Roman" w:cs="Times New Roman"/>
                <w:sz w:val="24"/>
                <w:szCs w:val="24"/>
              </w:rPr>
            </w:pPr>
            <w:r w:rsidRPr="00865792">
              <w:rPr>
                <w:rFonts w:ascii="Times New Roman" w:hAnsi="Times New Roman" w:cs="Times New Roman"/>
                <w:sz w:val="24"/>
                <w:szCs w:val="24"/>
              </w:rPr>
              <w:t>0.</w:t>
            </w:r>
            <w:r w:rsidR="00A40C2B" w:rsidRPr="00865792">
              <w:rPr>
                <w:rFonts w:ascii="Times New Roman" w:hAnsi="Times New Roman" w:cs="Times New Roman"/>
                <w:sz w:val="24"/>
                <w:szCs w:val="24"/>
              </w:rPr>
              <w:t>7</w:t>
            </w:r>
            <w:r w:rsidR="00AC54A4" w:rsidRPr="00865792">
              <w:rPr>
                <w:rFonts w:ascii="Times New Roman" w:hAnsi="Times New Roman" w:cs="Times New Roman"/>
                <w:sz w:val="24"/>
                <w:szCs w:val="24"/>
              </w:rPr>
              <w:t>3</w:t>
            </w:r>
          </w:p>
        </w:tc>
        <w:tc>
          <w:tcPr>
            <w:tcW w:w="1883" w:type="dxa"/>
            <w:tcBorders>
              <w:top w:val="nil"/>
              <w:left w:val="nil"/>
              <w:bottom w:val="single" w:sz="4" w:space="0" w:color="auto"/>
              <w:right w:val="nil"/>
            </w:tcBorders>
          </w:tcPr>
          <w:p w14:paraId="28351B6E" w14:textId="7A05B93B" w:rsidR="00AC4618" w:rsidRPr="00865792" w:rsidRDefault="00A51AEF" w:rsidP="00AC4618">
            <w:pPr>
              <w:jc w:val="center"/>
              <w:rPr>
                <w:rFonts w:ascii="Times New Roman" w:hAnsi="Times New Roman" w:cs="Times New Roman"/>
                <w:sz w:val="24"/>
                <w:szCs w:val="24"/>
              </w:rPr>
            </w:pPr>
            <w:r w:rsidRPr="00865792">
              <w:rPr>
                <w:rFonts w:ascii="Times New Roman" w:hAnsi="Times New Roman" w:cs="Times New Roman"/>
                <w:sz w:val="24"/>
                <w:szCs w:val="24"/>
              </w:rPr>
              <w:t>1718</w:t>
            </w:r>
            <w:r w:rsidR="00DA63F3" w:rsidRPr="00865792">
              <w:rPr>
                <w:rFonts w:ascii="Times New Roman" w:hAnsi="Times New Roman" w:cs="Times New Roman"/>
                <w:sz w:val="24"/>
                <w:szCs w:val="24"/>
              </w:rPr>
              <w:t>3.906</w:t>
            </w:r>
          </w:p>
        </w:tc>
      </w:tr>
      <w:tr w:rsidR="00DB4EBD" w:rsidRPr="00865792" w14:paraId="6776CF33" w14:textId="77777777" w:rsidTr="6E3AA9BD">
        <w:tc>
          <w:tcPr>
            <w:tcW w:w="9090" w:type="dxa"/>
            <w:gridSpan w:val="5"/>
            <w:tcBorders>
              <w:left w:val="nil"/>
              <w:bottom w:val="nil"/>
              <w:right w:val="nil"/>
            </w:tcBorders>
          </w:tcPr>
          <w:p w14:paraId="6574C4F5" w14:textId="77777777" w:rsidR="00DB4EBD" w:rsidRPr="00865792" w:rsidRDefault="00DB4EBD" w:rsidP="00DB4EBD">
            <w:pPr>
              <w:rPr>
                <w:rFonts w:ascii="Times New Roman" w:hAnsi="Times New Roman" w:cs="Times New Roman"/>
                <w:sz w:val="20"/>
                <w:szCs w:val="20"/>
              </w:rPr>
            </w:pPr>
            <w:r w:rsidRPr="00865792">
              <w:rPr>
                <w:rFonts w:ascii="Times New Roman" w:hAnsi="Times New Roman" w:cs="Times New Roman"/>
                <w:sz w:val="20"/>
                <w:szCs w:val="20"/>
              </w:rPr>
              <w:t>CFI = Comparative Fit Index; TLI = Tucker-Lewis Index; AIC = Aikake Information Criterion</w:t>
            </w:r>
          </w:p>
          <w:p w14:paraId="2075EFA2" w14:textId="7547A905" w:rsidR="00C406A5" w:rsidRPr="00865792" w:rsidRDefault="00C406A5" w:rsidP="00DB4EBD">
            <w:pPr>
              <w:rPr>
                <w:rFonts w:ascii="Times New Roman" w:hAnsi="Times New Roman" w:cs="Times New Roman"/>
                <w:sz w:val="20"/>
                <w:szCs w:val="20"/>
              </w:rPr>
            </w:pPr>
            <w:r w:rsidRPr="00865792">
              <w:rPr>
                <w:rFonts w:ascii="Times New Roman" w:hAnsi="Times New Roman" w:cs="Times New Roman"/>
                <w:sz w:val="20"/>
                <w:szCs w:val="20"/>
              </w:rPr>
              <w:t xml:space="preserve">Criteria for adequate fit: </w:t>
            </w:r>
            <w:r w:rsidR="00387900" w:rsidRPr="00865792">
              <w:rPr>
                <w:rFonts w:ascii="Times New Roman" w:hAnsi="Times New Roman" w:cs="Times New Roman"/>
                <w:sz w:val="20"/>
                <w:szCs w:val="20"/>
              </w:rPr>
              <w:t>RMSEA</w:t>
            </w:r>
            <w:r w:rsidR="003F3AF5" w:rsidRPr="00865792">
              <w:rPr>
                <w:rFonts w:ascii="Times New Roman" w:hAnsi="Times New Roman" w:cs="Times New Roman"/>
                <w:sz w:val="20"/>
                <w:szCs w:val="20"/>
              </w:rPr>
              <w:t xml:space="preserve"> ≤ 0.06; SRMR ≤ 0.08; CFI ≥ 0.9; TLI ≥ 0.9</w:t>
            </w:r>
          </w:p>
        </w:tc>
      </w:tr>
    </w:tbl>
    <w:p w14:paraId="481168CB" w14:textId="77777777" w:rsidR="00721196" w:rsidRPr="00865792" w:rsidRDefault="00721196" w:rsidP="008303F0">
      <w:pPr>
        <w:spacing w:after="0" w:line="48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865792" w:rsidRPr="00865792" w14:paraId="2EFCC139" w14:textId="77777777" w:rsidTr="6E3AA9BD">
        <w:tc>
          <w:tcPr>
            <w:tcW w:w="9350" w:type="dxa"/>
            <w:gridSpan w:val="3"/>
            <w:tcBorders>
              <w:top w:val="nil"/>
              <w:left w:val="nil"/>
              <w:right w:val="nil"/>
            </w:tcBorders>
          </w:tcPr>
          <w:p w14:paraId="5E0CE010" w14:textId="438E8913" w:rsidR="000F1B48" w:rsidRPr="00865792" w:rsidRDefault="000F1B48" w:rsidP="000F1B48">
            <w:pPr>
              <w:rPr>
                <w:rFonts w:ascii="Times New Roman" w:hAnsi="Times New Roman" w:cs="Times New Roman"/>
                <w:sz w:val="24"/>
                <w:szCs w:val="24"/>
              </w:rPr>
            </w:pPr>
            <w:r w:rsidRPr="00865792">
              <w:rPr>
                <w:rFonts w:ascii="Times New Roman" w:hAnsi="Times New Roman" w:cs="Times New Roman"/>
                <w:b/>
                <w:bCs/>
                <w:sz w:val="24"/>
                <w:szCs w:val="24"/>
              </w:rPr>
              <w:t>Table B.</w:t>
            </w:r>
            <w:r w:rsidR="00003E15" w:rsidRPr="00865792">
              <w:rPr>
                <w:rFonts w:ascii="Times New Roman" w:hAnsi="Times New Roman" w:cs="Times New Roman"/>
                <w:b/>
                <w:bCs/>
                <w:sz w:val="24"/>
                <w:szCs w:val="24"/>
              </w:rPr>
              <w:t>3</w:t>
            </w:r>
            <w:r w:rsidRPr="00865792">
              <w:rPr>
                <w:rFonts w:ascii="Times New Roman" w:hAnsi="Times New Roman" w:cs="Times New Roman"/>
                <w:b/>
                <w:bCs/>
                <w:sz w:val="24"/>
                <w:szCs w:val="24"/>
              </w:rPr>
              <w:t xml:space="preserve">. </w:t>
            </w:r>
            <w:r w:rsidRPr="00865792">
              <w:rPr>
                <w:rFonts w:ascii="Times New Roman" w:hAnsi="Times New Roman" w:cs="Times New Roman"/>
                <w:sz w:val="24"/>
                <w:szCs w:val="24"/>
              </w:rPr>
              <w:t>Pairwise ANOVA results for test of χ</w:t>
            </w:r>
            <w:r w:rsidRPr="00865792">
              <w:rPr>
                <w:rFonts w:ascii="Times New Roman" w:hAnsi="Times New Roman" w:cs="Times New Roman"/>
                <w:sz w:val="24"/>
                <w:szCs w:val="24"/>
                <w:vertAlign w:val="superscript"/>
              </w:rPr>
              <w:t>2</w:t>
            </w:r>
            <w:r w:rsidRPr="00865792">
              <w:rPr>
                <w:rFonts w:ascii="Times New Roman" w:hAnsi="Times New Roman" w:cs="Times New Roman"/>
                <w:sz w:val="24"/>
                <w:szCs w:val="24"/>
              </w:rPr>
              <w:t xml:space="preserve"> differences across models.</w:t>
            </w:r>
          </w:p>
        </w:tc>
      </w:tr>
      <w:tr w:rsidR="00865792" w:rsidRPr="00865792" w14:paraId="2AA7BC59" w14:textId="77777777" w:rsidTr="6E3AA9BD">
        <w:tc>
          <w:tcPr>
            <w:tcW w:w="3116" w:type="dxa"/>
            <w:tcBorders>
              <w:left w:val="nil"/>
              <w:bottom w:val="nil"/>
              <w:right w:val="nil"/>
            </w:tcBorders>
          </w:tcPr>
          <w:p w14:paraId="318D6167" w14:textId="77777777" w:rsidR="00E5159E" w:rsidRPr="00865792" w:rsidRDefault="00E5159E" w:rsidP="000F1B48">
            <w:pPr>
              <w:rPr>
                <w:rFonts w:ascii="Times New Roman" w:hAnsi="Times New Roman" w:cs="Times New Roman"/>
                <w:b/>
                <w:bCs/>
                <w:sz w:val="24"/>
                <w:szCs w:val="24"/>
              </w:rPr>
            </w:pPr>
          </w:p>
        </w:tc>
        <w:tc>
          <w:tcPr>
            <w:tcW w:w="6234" w:type="dxa"/>
            <w:gridSpan w:val="2"/>
            <w:tcBorders>
              <w:left w:val="nil"/>
              <w:bottom w:val="nil"/>
              <w:right w:val="nil"/>
            </w:tcBorders>
          </w:tcPr>
          <w:p w14:paraId="4E082CB3" w14:textId="6872EA60" w:rsidR="00E5159E" w:rsidRPr="00865792" w:rsidRDefault="00E5159E" w:rsidP="00E5159E">
            <w:pPr>
              <w:jc w:val="center"/>
              <w:rPr>
                <w:rFonts w:ascii="Times New Roman" w:hAnsi="Times New Roman" w:cs="Times New Roman"/>
                <w:b/>
                <w:bCs/>
                <w:sz w:val="24"/>
                <w:szCs w:val="24"/>
              </w:rPr>
            </w:pPr>
            <w:r w:rsidRPr="00865792">
              <w:rPr>
                <w:rFonts w:ascii="Times New Roman" w:hAnsi="Times New Roman" w:cs="Times New Roman"/>
                <w:b/>
                <w:bCs/>
                <w:sz w:val="24"/>
                <w:szCs w:val="24"/>
              </w:rPr>
              <w:t>χ</w:t>
            </w:r>
            <w:r w:rsidRPr="00865792">
              <w:rPr>
                <w:rFonts w:ascii="Times New Roman" w:hAnsi="Times New Roman" w:cs="Times New Roman"/>
                <w:b/>
                <w:bCs/>
                <w:sz w:val="24"/>
                <w:szCs w:val="24"/>
                <w:vertAlign w:val="superscript"/>
              </w:rPr>
              <w:t>2</w:t>
            </w:r>
            <w:r w:rsidRPr="00865792">
              <w:rPr>
                <w:rFonts w:ascii="Times New Roman" w:hAnsi="Times New Roman" w:cs="Times New Roman"/>
                <w:b/>
                <w:bCs/>
                <w:sz w:val="24"/>
                <w:szCs w:val="24"/>
              </w:rPr>
              <w:t xml:space="preserve"> Difference (</w:t>
            </w:r>
            <w:r w:rsidRPr="00865792">
              <w:rPr>
                <w:rFonts w:ascii="Times New Roman" w:hAnsi="Times New Roman" w:cs="Times New Roman"/>
                <w:b/>
                <w:bCs/>
                <w:i/>
                <w:iCs/>
                <w:sz w:val="24"/>
                <w:szCs w:val="24"/>
              </w:rPr>
              <w:t>p</w:t>
            </w:r>
            <w:r w:rsidRPr="00865792">
              <w:rPr>
                <w:rFonts w:ascii="Times New Roman" w:hAnsi="Times New Roman" w:cs="Times New Roman"/>
                <w:b/>
                <w:bCs/>
                <w:sz w:val="24"/>
                <w:szCs w:val="24"/>
              </w:rPr>
              <w:t>)</w:t>
            </w:r>
          </w:p>
        </w:tc>
      </w:tr>
      <w:tr w:rsidR="00865792" w:rsidRPr="00865792" w14:paraId="7E4419D2" w14:textId="77777777" w:rsidTr="6E3AA9BD">
        <w:tc>
          <w:tcPr>
            <w:tcW w:w="3116" w:type="dxa"/>
            <w:tcBorders>
              <w:top w:val="nil"/>
              <w:left w:val="nil"/>
              <w:right w:val="nil"/>
            </w:tcBorders>
          </w:tcPr>
          <w:p w14:paraId="7FF17CB1" w14:textId="77777777" w:rsidR="000F1B48" w:rsidRPr="00865792" w:rsidRDefault="000F1B48" w:rsidP="000F1B48">
            <w:pPr>
              <w:rPr>
                <w:rFonts w:ascii="Times New Roman" w:hAnsi="Times New Roman" w:cs="Times New Roman"/>
                <w:b/>
                <w:bCs/>
                <w:sz w:val="24"/>
                <w:szCs w:val="24"/>
              </w:rPr>
            </w:pPr>
          </w:p>
        </w:tc>
        <w:tc>
          <w:tcPr>
            <w:tcW w:w="3117" w:type="dxa"/>
            <w:tcBorders>
              <w:top w:val="nil"/>
              <w:left w:val="nil"/>
              <w:right w:val="nil"/>
            </w:tcBorders>
          </w:tcPr>
          <w:p w14:paraId="6E4994C0" w14:textId="369B959F" w:rsidR="000F1B48" w:rsidRPr="00865792" w:rsidRDefault="00E5159E" w:rsidP="002A61CB">
            <w:pPr>
              <w:jc w:val="center"/>
              <w:rPr>
                <w:rFonts w:ascii="Times New Roman" w:hAnsi="Times New Roman" w:cs="Times New Roman"/>
                <w:b/>
                <w:bCs/>
                <w:sz w:val="24"/>
                <w:szCs w:val="24"/>
              </w:rPr>
            </w:pPr>
            <w:r w:rsidRPr="00865792">
              <w:rPr>
                <w:rFonts w:ascii="Times New Roman" w:hAnsi="Times New Roman" w:cs="Times New Roman"/>
                <w:b/>
                <w:bCs/>
                <w:sz w:val="24"/>
                <w:szCs w:val="24"/>
              </w:rPr>
              <w:t>Hyporeactivity</w:t>
            </w:r>
          </w:p>
        </w:tc>
        <w:tc>
          <w:tcPr>
            <w:tcW w:w="3117" w:type="dxa"/>
            <w:tcBorders>
              <w:top w:val="nil"/>
              <w:left w:val="nil"/>
              <w:right w:val="nil"/>
            </w:tcBorders>
          </w:tcPr>
          <w:p w14:paraId="17DC6CBC" w14:textId="61836BF5" w:rsidR="000F1B48" w:rsidRPr="00865792" w:rsidRDefault="00E5159E" w:rsidP="002A61CB">
            <w:pPr>
              <w:jc w:val="center"/>
              <w:rPr>
                <w:rFonts w:ascii="Times New Roman" w:hAnsi="Times New Roman" w:cs="Times New Roman"/>
                <w:b/>
                <w:bCs/>
                <w:sz w:val="24"/>
                <w:szCs w:val="24"/>
              </w:rPr>
            </w:pPr>
            <w:r w:rsidRPr="00865792">
              <w:rPr>
                <w:rFonts w:ascii="Times New Roman" w:hAnsi="Times New Roman" w:cs="Times New Roman"/>
                <w:b/>
                <w:bCs/>
                <w:sz w:val="24"/>
                <w:szCs w:val="24"/>
              </w:rPr>
              <w:t>Hyperreactivity</w:t>
            </w:r>
          </w:p>
        </w:tc>
      </w:tr>
      <w:tr w:rsidR="00865792" w:rsidRPr="00865792" w14:paraId="79100389" w14:textId="77777777" w:rsidTr="6E3AA9BD">
        <w:tc>
          <w:tcPr>
            <w:tcW w:w="3116" w:type="dxa"/>
            <w:tcBorders>
              <w:left w:val="nil"/>
              <w:bottom w:val="nil"/>
              <w:right w:val="nil"/>
            </w:tcBorders>
          </w:tcPr>
          <w:p w14:paraId="76B34C20" w14:textId="1EEFD2D9" w:rsidR="00E5159E" w:rsidRPr="00865792" w:rsidRDefault="002A61CB" w:rsidP="000F1B48">
            <w:pPr>
              <w:rPr>
                <w:rFonts w:ascii="Times New Roman" w:hAnsi="Times New Roman" w:cs="Times New Roman"/>
                <w:b/>
                <w:bCs/>
                <w:sz w:val="24"/>
                <w:szCs w:val="24"/>
              </w:rPr>
            </w:pPr>
            <w:r w:rsidRPr="00865792">
              <w:rPr>
                <w:rFonts w:ascii="Times New Roman" w:hAnsi="Times New Roman" w:cs="Times New Roman"/>
                <w:b/>
                <w:bCs/>
                <w:sz w:val="24"/>
                <w:szCs w:val="24"/>
              </w:rPr>
              <w:t>Configural vs. Metric</w:t>
            </w:r>
          </w:p>
        </w:tc>
        <w:tc>
          <w:tcPr>
            <w:tcW w:w="3117" w:type="dxa"/>
            <w:tcBorders>
              <w:left w:val="nil"/>
              <w:bottom w:val="nil"/>
              <w:right w:val="nil"/>
            </w:tcBorders>
          </w:tcPr>
          <w:p w14:paraId="577C4CC7" w14:textId="31CCD360" w:rsidR="00E5159E" w:rsidRPr="00865792" w:rsidRDefault="31AF7A2A" w:rsidP="6E3AA9BD">
            <w:pPr>
              <w:jc w:val="center"/>
              <w:rPr>
                <w:rFonts w:ascii="Times New Roman" w:hAnsi="Times New Roman" w:cs="Times New Roman"/>
                <w:sz w:val="24"/>
                <w:szCs w:val="24"/>
              </w:rPr>
            </w:pPr>
            <w:r w:rsidRPr="00865792">
              <w:rPr>
                <w:rFonts w:ascii="Times New Roman" w:hAnsi="Times New Roman" w:cs="Times New Roman"/>
                <w:sz w:val="24"/>
                <w:szCs w:val="24"/>
              </w:rPr>
              <w:t>8.24</w:t>
            </w:r>
            <w:r w:rsidR="20598662" w:rsidRPr="00865792">
              <w:rPr>
                <w:rFonts w:ascii="Times New Roman" w:hAnsi="Times New Roman" w:cs="Times New Roman"/>
                <w:sz w:val="24"/>
                <w:szCs w:val="24"/>
              </w:rPr>
              <w:t xml:space="preserve"> (.</w:t>
            </w:r>
            <w:r w:rsidR="3FC2C34B" w:rsidRPr="00865792">
              <w:rPr>
                <w:rFonts w:ascii="Times New Roman" w:hAnsi="Times New Roman" w:cs="Times New Roman"/>
                <w:sz w:val="24"/>
                <w:szCs w:val="24"/>
              </w:rPr>
              <w:t>7</w:t>
            </w:r>
            <w:r w:rsidR="3C52F893" w:rsidRPr="00865792">
              <w:rPr>
                <w:rFonts w:ascii="Times New Roman" w:hAnsi="Times New Roman" w:cs="Times New Roman"/>
                <w:sz w:val="24"/>
                <w:szCs w:val="24"/>
              </w:rPr>
              <w:t>7</w:t>
            </w:r>
            <w:r w:rsidR="20598662" w:rsidRPr="00865792">
              <w:rPr>
                <w:rFonts w:ascii="Times New Roman" w:hAnsi="Times New Roman" w:cs="Times New Roman"/>
                <w:sz w:val="24"/>
                <w:szCs w:val="24"/>
              </w:rPr>
              <w:t>)</w:t>
            </w:r>
          </w:p>
        </w:tc>
        <w:tc>
          <w:tcPr>
            <w:tcW w:w="3117" w:type="dxa"/>
            <w:tcBorders>
              <w:left w:val="nil"/>
              <w:bottom w:val="nil"/>
              <w:right w:val="nil"/>
            </w:tcBorders>
          </w:tcPr>
          <w:p w14:paraId="569A5086" w14:textId="3808DE00" w:rsidR="00E5159E" w:rsidRPr="00865792" w:rsidRDefault="00DA63F3" w:rsidP="002A61CB">
            <w:pPr>
              <w:jc w:val="center"/>
              <w:rPr>
                <w:rFonts w:ascii="Times New Roman" w:hAnsi="Times New Roman" w:cs="Times New Roman"/>
                <w:sz w:val="24"/>
                <w:szCs w:val="24"/>
              </w:rPr>
            </w:pPr>
            <w:r w:rsidRPr="00865792">
              <w:rPr>
                <w:rFonts w:ascii="Times New Roman" w:hAnsi="Times New Roman" w:cs="Times New Roman"/>
                <w:sz w:val="24"/>
                <w:szCs w:val="24"/>
              </w:rPr>
              <w:t>2.57</w:t>
            </w:r>
            <w:r w:rsidR="007B754D" w:rsidRPr="00865792">
              <w:rPr>
                <w:rFonts w:ascii="Times New Roman" w:hAnsi="Times New Roman" w:cs="Times New Roman"/>
                <w:sz w:val="24"/>
                <w:szCs w:val="24"/>
              </w:rPr>
              <w:t xml:space="preserve"> (.9</w:t>
            </w:r>
            <w:r w:rsidRPr="00865792">
              <w:rPr>
                <w:rFonts w:ascii="Times New Roman" w:hAnsi="Times New Roman" w:cs="Times New Roman"/>
                <w:sz w:val="24"/>
                <w:szCs w:val="24"/>
              </w:rPr>
              <w:t>9</w:t>
            </w:r>
            <w:r w:rsidR="007B754D" w:rsidRPr="00865792">
              <w:rPr>
                <w:rFonts w:ascii="Times New Roman" w:hAnsi="Times New Roman" w:cs="Times New Roman"/>
                <w:sz w:val="24"/>
                <w:szCs w:val="24"/>
              </w:rPr>
              <w:t>)</w:t>
            </w:r>
          </w:p>
        </w:tc>
      </w:tr>
      <w:tr w:rsidR="00865792" w:rsidRPr="00865792" w14:paraId="5C85C5C0" w14:textId="77777777" w:rsidTr="6E3AA9BD">
        <w:tc>
          <w:tcPr>
            <w:tcW w:w="3116" w:type="dxa"/>
            <w:tcBorders>
              <w:top w:val="nil"/>
              <w:left w:val="nil"/>
              <w:bottom w:val="nil"/>
              <w:right w:val="nil"/>
            </w:tcBorders>
          </w:tcPr>
          <w:p w14:paraId="159F8FF8" w14:textId="3253845A" w:rsidR="000F1B48" w:rsidRPr="00865792" w:rsidRDefault="002A61CB" w:rsidP="000F1B48">
            <w:pPr>
              <w:rPr>
                <w:rFonts w:ascii="Times New Roman" w:hAnsi="Times New Roman" w:cs="Times New Roman"/>
                <w:b/>
                <w:bCs/>
                <w:sz w:val="24"/>
                <w:szCs w:val="24"/>
              </w:rPr>
            </w:pPr>
            <w:r w:rsidRPr="00865792">
              <w:rPr>
                <w:rFonts w:ascii="Times New Roman" w:hAnsi="Times New Roman" w:cs="Times New Roman"/>
                <w:b/>
                <w:bCs/>
                <w:sz w:val="24"/>
                <w:szCs w:val="24"/>
              </w:rPr>
              <w:t>Metric vs. Scalar</w:t>
            </w:r>
          </w:p>
        </w:tc>
        <w:tc>
          <w:tcPr>
            <w:tcW w:w="3117" w:type="dxa"/>
            <w:tcBorders>
              <w:top w:val="nil"/>
              <w:left w:val="nil"/>
              <w:bottom w:val="nil"/>
              <w:right w:val="nil"/>
            </w:tcBorders>
          </w:tcPr>
          <w:p w14:paraId="2562C82E" w14:textId="7574570C" w:rsidR="000F1B48" w:rsidRPr="00865792" w:rsidRDefault="276BB236" w:rsidP="6E3AA9BD">
            <w:pPr>
              <w:jc w:val="center"/>
              <w:rPr>
                <w:rFonts w:ascii="Times New Roman" w:hAnsi="Times New Roman" w:cs="Times New Roman"/>
                <w:sz w:val="24"/>
                <w:szCs w:val="24"/>
              </w:rPr>
            </w:pPr>
            <w:r w:rsidRPr="00865792">
              <w:rPr>
                <w:rFonts w:ascii="Times New Roman" w:hAnsi="Times New Roman" w:cs="Times New Roman"/>
                <w:sz w:val="24"/>
                <w:szCs w:val="24"/>
              </w:rPr>
              <w:t>1</w:t>
            </w:r>
            <w:r w:rsidR="53B5E3A2" w:rsidRPr="00865792">
              <w:rPr>
                <w:rFonts w:ascii="Times New Roman" w:hAnsi="Times New Roman" w:cs="Times New Roman"/>
                <w:sz w:val="24"/>
                <w:szCs w:val="24"/>
              </w:rPr>
              <w:t>88.30</w:t>
            </w:r>
            <w:r w:rsidR="59E3E919" w:rsidRPr="00865792">
              <w:rPr>
                <w:rFonts w:ascii="Times New Roman" w:hAnsi="Times New Roman" w:cs="Times New Roman"/>
                <w:sz w:val="24"/>
                <w:szCs w:val="24"/>
              </w:rPr>
              <w:t xml:space="preserve"> (&lt;.001)</w:t>
            </w:r>
          </w:p>
        </w:tc>
        <w:tc>
          <w:tcPr>
            <w:tcW w:w="3117" w:type="dxa"/>
            <w:tcBorders>
              <w:top w:val="nil"/>
              <w:left w:val="nil"/>
              <w:bottom w:val="nil"/>
              <w:right w:val="nil"/>
            </w:tcBorders>
          </w:tcPr>
          <w:p w14:paraId="59A65132" w14:textId="527CF478" w:rsidR="000F1B48" w:rsidRPr="00865792" w:rsidRDefault="00171C9F" w:rsidP="002A61CB">
            <w:pPr>
              <w:jc w:val="center"/>
              <w:rPr>
                <w:rFonts w:ascii="Times New Roman" w:hAnsi="Times New Roman" w:cs="Times New Roman"/>
                <w:sz w:val="24"/>
                <w:szCs w:val="24"/>
              </w:rPr>
            </w:pPr>
            <w:r w:rsidRPr="00865792">
              <w:rPr>
                <w:rFonts w:ascii="Times New Roman" w:hAnsi="Times New Roman" w:cs="Times New Roman"/>
                <w:sz w:val="24"/>
                <w:szCs w:val="24"/>
              </w:rPr>
              <w:t>44.89</w:t>
            </w:r>
            <w:r w:rsidR="00E66ED9" w:rsidRPr="00865792">
              <w:rPr>
                <w:rFonts w:ascii="Times New Roman" w:hAnsi="Times New Roman" w:cs="Times New Roman"/>
                <w:sz w:val="24"/>
                <w:szCs w:val="24"/>
              </w:rPr>
              <w:t xml:space="preserve"> (&lt;.001)</w:t>
            </w:r>
          </w:p>
        </w:tc>
      </w:tr>
      <w:tr w:rsidR="000F1B48" w:rsidRPr="00865792" w14:paraId="76B5F533" w14:textId="77777777" w:rsidTr="6E3AA9BD">
        <w:tc>
          <w:tcPr>
            <w:tcW w:w="3116" w:type="dxa"/>
            <w:tcBorders>
              <w:top w:val="nil"/>
              <w:left w:val="nil"/>
              <w:right w:val="nil"/>
            </w:tcBorders>
          </w:tcPr>
          <w:p w14:paraId="130047BF" w14:textId="66B1B239" w:rsidR="000F1B48" w:rsidRPr="00865792" w:rsidRDefault="002A61CB" w:rsidP="000F1B48">
            <w:pPr>
              <w:rPr>
                <w:rFonts w:ascii="Times New Roman" w:hAnsi="Times New Roman" w:cs="Times New Roman"/>
                <w:b/>
                <w:bCs/>
                <w:sz w:val="24"/>
                <w:szCs w:val="24"/>
              </w:rPr>
            </w:pPr>
            <w:r w:rsidRPr="00865792">
              <w:rPr>
                <w:rFonts w:ascii="Times New Roman" w:hAnsi="Times New Roman" w:cs="Times New Roman"/>
                <w:b/>
                <w:bCs/>
                <w:sz w:val="24"/>
                <w:szCs w:val="24"/>
              </w:rPr>
              <w:t>Scalar vs. Residual</w:t>
            </w:r>
          </w:p>
        </w:tc>
        <w:tc>
          <w:tcPr>
            <w:tcW w:w="3117" w:type="dxa"/>
            <w:tcBorders>
              <w:top w:val="nil"/>
              <w:left w:val="nil"/>
              <w:right w:val="nil"/>
            </w:tcBorders>
          </w:tcPr>
          <w:p w14:paraId="0CCD1A92" w14:textId="4E8C2CDC" w:rsidR="000F1B48" w:rsidRPr="00865792" w:rsidRDefault="6C360AA4" w:rsidP="6E3AA9BD">
            <w:pPr>
              <w:jc w:val="center"/>
              <w:rPr>
                <w:rFonts w:ascii="Times New Roman" w:hAnsi="Times New Roman" w:cs="Times New Roman"/>
                <w:sz w:val="24"/>
                <w:szCs w:val="24"/>
              </w:rPr>
            </w:pPr>
            <w:r w:rsidRPr="00865792">
              <w:rPr>
                <w:rFonts w:ascii="Times New Roman" w:hAnsi="Times New Roman" w:cs="Times New Roman"/>
                <w:sz w:val="24"/>
                <w:szCs w:val="24"/>
              </w:rPr>
              <w:t>44.65</w:t>
            </w:r>
            <w:r w:rsidR="59E3E919" w:rsidRPr="00865792">
              <w:rPr>
                <w:rFonts w:ascii="Times New Roman" w:hAnsi="Times New Roman" w:cs="Times New Roman"/>
                <w:sz w:val="24"/>
                <w:szCs w:val="24"/>
              </w:rPr>
              <w:t xml:space="preserve"> (&lt;.001)</w:t>
            </w:r>
          </w:p>
        </w:tc>
        <w:tc>
          <w:tcPr>
            <w:tcW w:w="3117" w:type="dxa"/>
            <w:tcBorders>
              <w:top w:val="nil"/>
              <w:left w:val="nil"/>
              <w:right w:val="nil"/>
            </w:tcBorders>
          </w:tcPr>
          <w:p w14:paraId="3380FEA6" w14:textId="74423793" w:rsidR="000F1B48" w:rsidRPr="00865792" w:rsidRDefault="002E62D3" w:rsidP="002A61CB">
            <w:pPr>
              <w:jc w:val="center"/>
              <w:rPr>
                <w:rFonts w:ascii="Times New Roman" w:hAnsi="Times New Roman" w:cs="Times New Roman"/>
                <w:sz w:val="24"/>
                <w:szCs w:val="24"/>
              </w:rPr>
            </w:pPr>
            <w:r w:rsidRPr="00865792">
              <w:rPr>
                <w:rFonts w:ascii="Times New Roman" w:hAnsi="Times New Roman" w:cs="Times New Roman"/>
                <w:sz w:val="24"/>
                <w:szCs w:val="24"/>
              </w:rPr>
              <w:t>21.51</w:t>
            </w:r>
            <w:r w:rsidR="00E70527" w:rsidRPr="00865792">
              <w:rPr>
                <w:rFonts w:ascii="Times New Roman" w:hAnsi="Times New Roman" w:cs="Times New Roman"/>
                <w:sz w:val="24"/>
                <w:szCs w:val="24"/>
              </w:rPr>
              <w:t xml:space="preserve"> (.0</w:t>
            </w:r>
            <w:r w:rsidRPr="00865792">
              <w:rPr>
                <w:rFonts w:ascii="Times New Roman" w:hAnsi="Times New Roman" w:cs="Times New Roman"/>
                <w:sz w:val="24"/>
                <w:szCs w:val="24"/>
              </w:rPr>
              <w:t>2</w:t>
            </w:r>
            <w:r w:rsidR="00E70527" w:rsidRPr="00865792">
              <w:rPr>
                <w:rFonts w:ascii="Times New Roman" w:hAnsi="Times New Roman" w:cs="Times New Roman"/>
                <w:sz w:val="24"/>
                <w:szCs w:val="24"/>
              </w:rPr>
              <w:t>)</w:t>
            </w:r>
          </w:p>
        </w:tc>
      </w:tr>
    </w:tbl>
    <w:p w14:paraId="5D302703" w14:textId="77777777" w:rsidR="001A0C21" w:rsidRPr="00865792" w:rsidRDefault="001A0C21" w:rsidP="008303F0">
      <w:pPr>
        <w:spacing w:after="0" w:line="480" w:lineRule="auto"/>
        <w:rPr>
          <w:rFonts w:ascii="Times New Roman" w:hAnsi="Times New Roman" w:cs="Times New Roman"/>
          <w:b/>
          <w:bCs/>
          <w:sz w:val="24"/>
          <w:szCs w:val="24"/>
        </w:rPr>
      </w:pPr>
    </w:p>
    <w:p w14:paraId="2B6362A3" w14:textId="164B2DFE" w:rsidR="003C622A" w:rsidRPr="00865792" w:rsidRDefault="003C622A" w:rsidP="008303F0">
      <w:pPr>
        <w:spacing w:after="0" w:line="480" w:lineRule="auto"/>
        <w:rPr>
          <w:rFonts w:ascii="Times New Roman" w:hAnsi="Times New Roman" w:cs="Times New Roman"/>
          <w:b/>
          <w:bCs/>
          <w:sz w:val="24"/>
          <w:szCs w:val="24"/>
        </w:rPr>
      </w:pPr>
      <w:r w:rsidRPr="00865792">
        <w:rPr>
          <w:rFonts w:ascii="Times New Roman" w:hAnsi="Times New Roman" w:cs="Times New Roman"/>
          <w:b/>
          <w:bCs/>
          <w:sz w:val="24"/>
          <w:szCs w:val="24"/>
        </w:rPr>
        <w:t>Cross-Lagged Panel Modeling Using the Metric Model</w:t>
      </w:r>
    </w:p>
    <w:p w14:paraId="6AEA9889" w14:textId="3E60A7D6" w:rsidR="00892812" w:rsidRPr="00865792" w:rsidRDefault="003F6554" w:rsidP="00892812">
      <w:pPr>
        <w:spacing w:after="0" w:line="480" w:lineRule="auto"/>
        <w:rPr>
          <w:rFonts w:ascii="Times New Roman" w:hAnsi="Times New Roman" w:cs="Times New Roman"/>
          <w:sz w:val="24"/>
          <w:szCs w:val="24"/>
        </w:rPr>
      </w:pPr>
      <w:r w:rsidRPr="00865792">
        <w:rPr>
          <w:rFonts w:ascii="Times New Roman" w:hAnsi="Times New Roman" w:cs="Times New Roman"/>
          <w:sz w:val="24"/>
          <w:szCs w:val="24"/>
        </w:rPr>
        <w:tab/>
      </w:r>
      <w:r w:rsidR="001C1C47" w:rsidRPr="00865792">
        <w:rPr>
          <w:rFonts w:ascii="Times New Roman" w:hAnsi="Times New Roman" w:cs="Times New Roman"/>
          <w:sz w:val="24"/>
          <w:szCs w:val="24"/>
        </w:rPr>
        <w:t xml:space="preserve">Figure B.1 </w:t>
      </w:r>
      <w:r w:rsidR="00077963" w:rsidRPr="00865792">
        <w:rPr>
          <w:rFonts w:ascii="Times New Roman" w:hAnsi="Times New Roman" w:cs="Times New Roman"/>
          <w:sz w:val="24"/>
          <w:szCs w:val="24"/>
        </w:rPr>
        <w:t>illustrates</w:t>
      </w:r>
      <w:r w:rsidR="001C1C47" w:rsidRPr="00865792">
        <w:rPr>
          <w:rFonts w:ascii="Times New Roman" w:hAnsi="Times New Roman" w:cs="Times New Roman"/>
          <w:sz w:val="24"/>
          <w:szCs w:val="24"/>
        </w:rPr>
        <w:t xml:space="preserve"> </w:t>
      </w:r>
      <w:r w:rsidR="005E0203" w:rsidRPr="00865792">
        <w:rPr>
          <w:rFonts w:ascii="Times New Roman" w:hAnsi="Times New Roman" w:cs="Times New Roman"/>
          <w:sz w:val="24"/>
          <w:szCs w:val="24"/>
        </w:rPr>
        <w:t>complete path diagrams of</w:t>
      </w:r>
      <w:r w:rsidR="00077963" w:rsidRPr="00865792">
        <w:rPr>
          <w:rFonts w:ascii="Times New Roman" w:hAnsi="Times New Roman" w:cs="Times New Roman"/>
          <w:sz w:val="24"/>
          <w:szCs w:val="24"/>
        </w:rPr>
        <w:t xml:space="preserve"> the</w:t>
      </w:r>
      <w:r w:rsidR="005E0203" w:rsidRPr="00865792">
        <w:rPr>
          <w:rFonts w:ascii="Times New Roman" w:hAnsi="Times New Roman" w:cs="Times New Roman"/>
          <w:sz w:val="24"/>
          <w:szCs w:val="24"/>
        </w:rPr>
        <w:t xml:space="preserve"> </w:t>
      </w:r>
      <w:r w:rsidR="00684E52" w:rsidRPr="00865792">
        <w:rPr>
          <w:rFonts w:ascii="Times New Roman" w:hAnsi="Times New Roman" w:cs="Times New Roman"/>
          <w:sz w:val="24"/>
          <w:szCs w:val="24"/>
        </w:rPr>
        <w:t>hypo- and hyperreactivity CLPM</w:t>
      </w:r>
      <w:r w:rsidR="00077963" w:rsidRPr="00865792">
        <w:rPr>
          <w:rFonts w:ascii="Times New Roman" w:hAnsi="Times New Roman" w:cs="Times New Roman"/>
          <w:sz w:val="24"/>
          <w:szCs w:val="24"/>
        </w:rPr>
        <w:t>s</w:t>
      </w:r>
      <w:r w:rsidR="008858DA" w:rsidRPr="00865792">
        <w:rPr>
          <w:rFonts w:ascii="Times New Roman" w:hAnsi="Times New Roman" w:cs="Times New Roman"/>
          <w:sz w:val="24"/>
          <w:szCs w:val="24"/>
        </w:rPr>
        <w:t>.</w:t>
      </w:r>
      <w:r w:rsidR="00684E52" w:rsidRPr="00865792">
        <w:rPr>
          <w:rFonts w:ascii="Times New Roman" w:hAnsi="Times New Roman" w:cs="Times New Roman"/>
          <w:sz w:val="24"/>
          <w:szCs w:val="24"/>
        </w:rPr>
        <w:t xml:space="preserve"> Only maternal sensitivity path diagrams are shown, as the underlying factor structure</w:t>
      </w:r>
      <w:r w:rsidR="006D256B" w:rsidRPr="00865792">
        <w:rPr>
          <w:rFonts w:ascii="Times New Roman" w:hAnsi="Times New Roman" w:cs="Times New Roman"/>
          <w:sz w:val="24"/>
          <w:szCs w:val="24"/>
        </w:rPr>
        <w:t>s</w:t>
      </w:r>
      <w:r w:rsidR="00684E52" w:rsidRPr="00865792">
        <w:rPr>
          <w:rFonts w:ascii="Times New Roman" w:hAnsi="Times New Roman" w:cs="Times New Roman"/>
          <w:sz w:val="24"/>
          <w:szCs w:val="24"/>
        </w:rPr>
        <w:t xml:space="preserve"> </w:t>
      </w:r>
      <w:r w:rsidR="00921CD3" w:rsidRPr="00865792">
        <w:rPr>
          <w:rFonts w:ascii="Times New Roman" w:hAnsi="Times New Roman" w:cs="Times New Roman"/>
          <w:sz w:val="24"/>
          <w:szCs w:val="24"/>
        </w:rPr>
        <w:t>were maintained</w:t>
      </w:r>
      <w:r w:rsidR="00684E52" w:rsidRPr="00865792">
        <w:rPr>
          <w:rFonts w:ascii="Times New Roman" w:hAnsi="Times New Roman" w:cs="Times New Roman"/>
          <w:sz w:val="24"/>
          <w:szCs w:val="24"/>
        </w:rPr>
        <w:t xml:space="preserve"> across </w:t>
      </w:r>
      <w:r w:rsidR="00640597" w:rsidRPr="00865792">
        <w:rPr>
          <w:rFonts w:ascii="Times New Roman" w:hAnsi="Times New Roman" w:cs="Times New Roman"/>
          <w:sz w:val="24"/>
          <w:szCs w:val="24"/>
        </w:rPr>
        <w:t>sensitivity and intrusiveness models.</w:t>
      </w:r>
      <w:r w:rsidR="00FD6109" w:rsidRPr="00865792">
        <w:rPr>
          <w:rFonts w:ascii="Times New Roman" w:hAnsi="Times New Roman" w:cs="Times New Roman"/>
          <w:sz w:val="24"/>
          <w:szCs w:val="24"/>
        </w:rPr>
        <w:t xml:space="preserve"> Table B.</w:t>
      </w:r>
      <w:r w:rsidR="00003E15" w:rsidRPr="00865792">
        <w:rPr>
          <w:rFonts w:ascii="Times New Roman" w:hAnsi="Times New Roman" w:cs="Times New Roman"/>
          <w:sz w:val="24"/>
          <w:szCs w:val="24"/>
        </w:rPr>
        <w:t>4</w:t>
      </w:r>
      <w:r w:rsidR="00FD6109" w:rsidRPr="00865792">
        <w:rPr>
          <w:rFonts w:ascii="Times New Roman" w:hAnsi="Times New Roman" w:cs="Times New Roman"/>
          <w:sz w:val="24"/>
          <w:szCs w:val="24"/>
        </w:rPr>
        <w:t xml:space="preserve"> contains fit indices across all four cross-lagged panel models.</w:t>
      </w:r>
    </w:p>
    <w:tbl>
      <w:tblPr>
        <w:tblStyle w:val="TableGrid"/>
        <w:tblW w:w="0" w:type="auto"/>
        <w:tblLook w:val="04A0" w:firstRow="1" w:lastRow="0" w:firstColumn="1" w:lastColumn="0" w:noHBand="0" w:noVBand="1"/>
      </w:tblPr>
      <w:tblGrid>
        <w:gridCol w:w="1870"/>
        <w:gridCol w:w="1870"/>
        <w:gridCol w:w="1870"/>
        <w:gridCol w:w="1870"/>
        <w:gridCol w:w="1870"/>
      </w:tblGrid>
      <w:tr w:rsidR="00865792" w:rsidRPr="00865792" w14:paraId="7C16494A" w14:textId="77777777" w:rsidTr="6E3AA9BD">
        <w:tc>
          <w:tcPr>
            <w:tcW w:w="9350" w:type="dxa"/>
            <w:gridSpan w:val="5"/>
            <w:tcBorders>
              <w:top w:val="nil"/>
              <w:left w:val="nil"/>
              <w:right w:val="nil"/>
            </w:tcBorders>
          </w:tcPr>
          <w:p w14:paraId="0D5474EC" w14:textId="15844CC9" w:rsidR="009C041E" w:rsidRPr="00865792" w:rsidRDefault="009C041E" w:rsidP="004F59EE">
            <w:pPr>
              <w:rPr>
                <w:rFonts w:ascii="Times New Roman" w:hAnsi="Times New Roman" w:cs="Times New Roman"/>
                <w:sz w:val="24"/>
                <w:szCs w:val="24"/>
              </w:rPr>
            </w:pPr>
            <w:r w:rsidRPr="00865792">
              <w:rPr>
                <w:rFonts w:ascii="Times New Roman" w:hAnsi="Times New Roman" w:cs="Times New Roman"/>
                <w:b/>
                <w:bCs/>
                <w:sz w:val="24"/>
                <w:szCs w:val="24"/>
              </w:rPr>
              <w:t>Table B.</w:t>
            </w:r>
            <w:r w:rsidR="00003E15" w:rsidRPr="00865792">
              <w:rPr>
                <w:rFonts w:ascii="Times New Roman" w:hAnsi="Times New Roman" w:cs="Times New Roman"/>
                <w:b/>
                <w:bCs/>
                <w:sz w:val="24"/>
                <w:szCs w:val="24"/>
              </w:rPr>
              <w:t>4</w:t>
            </w:r>
            <w:r w:rsidRPr="00865792">
              <w:rPr>
                <w:rFonts w:ascii="Times New Roman" w:hAnsi="Times New Roman" w:cs="Times New Roman"/>
                <w:b/>
                <w:bCs/>
                <w:sz w:val="24"/>
                <w:szCs w:val="24"/>
              </w:rPr>
              <w:t xml:space="preserve">. </w:t>
            </w:r>
            <w:r w:rsidRPr="00865792">
              <w:rPr>
                <w:rFonts w:ascii="Times New Roman" w:hAnsi="Times New Roman" w:cs="Times New Roman"/>
                <w:sz w:val="24"/>
                <w:szCs w:val="24"/>
              </w:rPr>
              <w:t>CLPM fit indices across models.</w:t>
            </w:r>
          </w:p>
        </w:tc>
      </w:tr>
      <w:tr w:rsidR="00865792" w:rsidRPr="00865792" w14:paraId="7C8FA453" w14:textId="77777777" w:rsidTr="6E3AA9BD">
        <w:tc>
          <w:tcPr>
            <w:tcW w:w="1870" w:type="dxa"/>
            <w:tcBorders>
              <w:left w:val="nil"/>
              <w:bottom w:val="nil"/>
              <w:right w:val="nil"/>
            </w:tcBorders>
          </w:tcPr>
          <w:p w14:paraId="7E0687A0" w14:textId="77777777" w:rsidR="009C041E" w:rsidRPr="00865792" w:rsidRDefault="009C041E" w:rsidP="004F59EE">
            <w:pPr>
              <w:rPr>
                <w:rFonts w:ascii="Times New Roman" w:hAnsi="Times New Roman" w:cs="Times New Roman"/>
                <w:sz w:val="24"/>
                <w:szCs w:val="24"/>
              </w:rPr>
            </w:pPr>
          </w:p>
        </w:tc>
        <w:tc>
          <w:tcPr>
            <w:tcW w:w="3740" w:type="dxa"/>
            <w:gridSpan w:val="2"/>
            <w:tcBorders>
              <w:left w:val="nil"/>
              <w:bottom w:val="nil"/>
              <w:right w:val="nil"/>
            </w:tcBorders>
          </w:tcPr>
          <w:p w14:paraId="5B8E0D1E" w14:textId="77777777" w:rsidR="009C041E" w:rsidRPr="00865792" w:rsidRDefault="009C041E" w:rsidP="004F59EE">
            <w:pPr>
              <w:jc w:val="center"/>
              <w:rPr>
                <w:rFonts w:ascii="Times New Roman" w:hAnsi="Times New Roman" w:cs="Times New Roman"/>
                <w:b/>
                <w:bCs/>
                <w:sz w:val="24"/>
                <w:szCs w:val="24"/>
              </w:rPr>
            </w:pPr>
            <w:r w:rsidRPr="00865792">
              <w:rPr>
                <w:rFonts w:ascii="Times New Roman" w:hAnsi="Times New Roman" w:cs="Times New Roman"/>
                <w:b/>
                <w:bCs/>
                <w:sz w:val="24"/>
                <w:szCs w:val="24"/>
              </w:rPr>
              <w:t>Hyperreactivity</w:t>
            </w:r>
          </w:p>
        </w:tc>
        <w:tc>
          <w:tcPr>
            <w:tcW w:w="3740" w:type="dxa"/>
            <w:gridSpan w:val="2"/>
            <w:tcBorders>
              <w:left w:val="nil"/>
              <w:bottom w:val="nil"/>
              <w:right w:val="nil"/>
            </w:tcBorders>
          </w:tcPr>
          <w:p w14:paraId="739A2BCF" w14:textId="77777777" w:rsidR="009C041E" w:rsidRPr="00865792" w:rsidRDefault="009C041E" w:rsidP="004F59EE">
            <w:pPr>
              <w:jc w:val="center"/>
              <w:rPr>
                <w:rFonts w:ascii="Times New Roman" w:hAnsi="Times New Roman" w:cs="Times New Roman"/>
                <w:b/>
                <w:bCs/>
                <w:sz w:val="24"/>
                <w:szCs w:val="24"/>
              </w:rPr>
            </w:pPr>
            <w:r w:rsidRPr="00865792">
              <w:rPr>
                <w:rFonts w:ascii="Times New Roman" w:hAnsi="Times New Roman" w:cs="Times New Roman"/>
                <w:b/>
                <w:bCs/>
                <w:sz w:val="24"/>
                <w:szCs w:val="24"/>
              </w:rPr>
              <w:t>Hyporeactivity</w:t>
            </w:r>
          </w:p>
        </w:tc>
      </w:tr>
      <w:tr w:rsidR="00865792" w:rsidRPr="00865792" w14:paraId="01D63744" w14:textId="77777777" w:rsidTr="6E3AA9BD">
        <w:tc>
          <w:tcPr>
            <w:tcW w:w="1870" w:type="dxa"/>
            <w:tcBorders>
              <w:top w:val="nil"/>
              <w:left w:val="nil"/>
              <w:bottom w:val="single" w:sz="4" w:space="0" w:color="auto"/>
              <w:right w:val="nil"/>
            </w:tcBorders>
          </w:tcPr>
          <w:p w14:paraId="2D9FF55F" w14:textId="77777777" w:rsidR="009C041E" w:rsidRPr="00865792" w:rsidRDefault="009C041E" w:rsidP="004F59EE">
            <w:pPr>
              <w:rPr>
                <w:rFonts w:ascii="Times New Roman" w:hAnsi="Times New Roman" w:cs="Times New Roman"/>
                <w:sz w:val="24"/>
                <w:szCs w:val="24"/>
              </w:rPr>
            </w:pPr>
          </w:p>
        </w:tc>
        <w:tc>
          <w:tcPr>
            <w:tcW w:w="1870" w:type="dxa"/>
            <w:tcBorders>
              <w:top w:val="nil"/>
              <w:left w:val="nil"/>
              <w:bottom w:val="single" w:sz="4" w:space="0" w:color="auto"/>
              <w:right w:val="nil"/>
            </w:tcBorders>
          </w:tcPr>
          <w:p w14:paraId="6C9502AB" w14:textId="77777777" w:rsidR="009C041E" w:rsidRPr="00865792" w:rsidRDefault="009C041E" w:rsidP="004F59EE">
            <w:pPr>
              <w:jc w:val="center"/>
              <w:rPr>
                <w:rFonts w:ascii="Times New Roman" w:hAnsi="Times New Roman" w:cs="Times New Roman"/>
                <w:b/>
                <w:bCs/>
                <w:sz w:val="24"/>
                <w:szCs w:val="24"/>
              </w:rPr>
            </w:pPr>
            <w:r w:rsidRPr="00865792">
              <w:rPr>
                <w:rFonts w:ascii="Times New Roman" w:hAnsi="Times New Roman" w:cs="Times New Roman"/>
                <w:b/>
                <w:bCs/>
                <w:sz w:val="24"/>
                <w:szCs w:val="24"/>
              </w:rPr>
              <w:t>Sensitivity</w:t>
            </w:r>
          </w:p>
        </w:tc>
        <w:tc>
          <w:tcPr>
            <w:tcW w:w="1870" w:type="dxa"/>
            <w:tcBorders>
              <w:top w:val="nil"/>
              <w:left w:val="nil"/>
              <w:bottom w:val="single" w:sz="4" w:space="0" w:color="auto"/>
              <w:right w:val="nil"/>
            </w:tcBorders>
          </w:tcPr>
          <w:p w14:paraId="2B944D10" w14:textId="77777777" w:rsidR="009C041E" w:rsidRPr="00865792" w:rsidRDefault="009C041E" w:rsidP="004F59EE">
            <w:pPr>
              <w:jc w:val="center"/>
              <w:rPr>
                <w:rFonts w:ascii="Times New Roman" w:hAnsi="Times New Roman" w:cs="Times New Roman"/>
                <w:b/>
                <w:bCs/>
                <w:sz w:val="24"/>
                <w:szCs w:val="24"/>
              </w:rPr>
            </w:pPr>
            <w:r w:rsidRPr="00865792">
              <w:rPr>
                <w:rFonts w:ascii="Times New Roman" w:hAnsi="Times New Roman" w:cs="Times New Roman"/>
                <w:b/>
                <w:bCs/>
                <w:sz w:val="24"/>
                <w:szCs w:val="24"/>
              </w:rPr>
              <w:t>Intrusiveness</w:t>
            </w:r>
          </w:p>
        </w:tc>
        <w:tc>
          <w:tcPr>
            <w:tcW w:w="1870" w:type="dxa"/>
            <w:tcBorders>
              <w:top w:val="nil"/>
              <w:left w:val="nil"/>
              <w:bottom w:val="single" w:sz="4" w:space="0" w:color="auto"/>
              <w:right w:val="nil"/>
            </w:tcBorders>
          </w:tcPr>
          <w:p w14:paraId="735D2ADD" w14:textId="77777777" w:rsidR="009C041E" w:rsidRPr="00865792" w:rsidRDefault="009C041E" w:rsidP="004F59EE">
            <w:pPr>
              <w:jc w:val="center"/>
              <w:rPr>
                <w:rFonts w:ascii="Times New Roman" w:hAnsi="Times New Roman" w:cs="Times New Roman"/>
                <w:b/>
                <w:bCs/>
                <w:sz w:val="24"/>
                <w:szCs w:val="24"/>
              </w:rPr>
            </w:pPr>
            <w:r w:rsidRPr="00865792">
              <w:rPr>
                <w:rFonts w:ascii="Times New Roman" w:hAnsi="Times New Roman" w:cs="Times New Roman"/>
                <w:b/>
                <w:bCs/>
                <w:sz w:val="24"/>
                <w:szCs w:val="24"/>
              </w:rPr>
              <w:t>Sensitivity</w:t>
            </w:r>
          </w:p>
        </w:tc>
        <w:tc>
          <w:tcPr>
            <w:tcW w:w="1870" w:type="dxa"/>
            <w:tcBorders>
              <w:top w:val="nil"/>
              <w:left w:val="nil"/>
              <w:bottom w:val="single" w:sz="4" w:space="0" w:color="auto"/>
              <w:right w:val="nil"/>
            </w:tcBorders>
          </w:tcPr>
          <w:p w14:paraId="58424822" w14:textId="77777777" w:rsidR="009C041E" w:rsidRPr="00865792" w:rsidRDefault="009C041E" w:rsidP="004F59EE">
            <w:pPr>
              <w:jc w:val="center"/>
              <w:rPr>
                <w:rFonts w:ascii="Times New Roman" w:hAnsi="Times New Roman" w:cs="Times New Roman"/>
                <w:b/>
                <w:bCs/>
                <w:sz w:val="24"/>
                <w:szCs w:val="24"/>
              </w:rPr>
            </w:pPr>
            <w:r w:rsidRPr="00865792">
              <w:rPr>
                <w:rFonts w:ascii="Times New Roman" w:hAnsi="Times New Roman" w:cs="Times New Roman"/>
                <w:b/>
                <w:bCs/>
                <w:sz w:val="24"/>
                <w:szCs w:val="24"/>
              </w:rPr>
              <w:t>Intrusiveness</w:t>
            </w:r>
          </w:p>
        </w:tc>
      </w:tr>
      <w:tr w:rsidR="00865792" w:rsidRPr="00865792" w14:paraId="64B63B19" w14:textId="77777777" w:rsidTr="6E3AA9BD">
        <w:tc>
          <w:tcPr>
            <w:tcW w:w="1870" w:type="dxa"/>
            <w:tcBorders>
              <w:top w:val="single" w:sz="4" w:space="0" w:color="auto"/>
              <w:left w:val="nil"/>
              <w:bottom w:val="nil"/>
              <w:right w:val="nil"/>
            </w:tcBorders>
          </w:tcPr>
          <w:p w14:paraId="1212E94C" w14:textId="77777777" w:rsidR="009C041E" w:rsidRPr="00865792" w:rsidRDefault="009C041E" w:rsidP="004F59EE">
            <w:pPr>
              <w:rPr>
                <w:rFonts w:ascii="Times New Roman" w:hAnsi="Times New Roman" w:cs="Times New Roman"/>
                <w:sz w:val="24"/>
                <w:szCs w:val="24"/>
              </w:rPr>
            </w:pPr>
            <w:r w:rsidRPr="00865792">
              <w:rPr>
                <w:rFonts w:ascii="Times New Roman" w:hAnsi="Times New Roman" w:cs="Times New Roman"/>
                <w:b/>
                <w:bCs/>
                <w:sz w:val="24"/>
                <w:szCs w:val="24"/>
              </w:rPr>
              <w:t>χ</w:t>
            </w:r>
            <w:r w:rsidRPr="00865792">
              <w:rPr>
                <w:rFonts w:ascii="Times New Roman" w:hAnsi="Times New Roman" w:cs="Times New Roman"/>
                <w:b/>
                <w:bCs/>
                <w:sz w:val="24"/>
                <w:szCs w:val="24"/>
                <w:vertAlign w:val="superscript"/>
              </w:rPr>
              <w:t>2</w:t>
            </w:r>
            <w:r w:rsidRPr="00865792">
              <w:rPr>
                <w:rFonts w:ascii="Times New Roman" w:hAnsi="Times New Roman" w:cs="Times New Roman"/>
                <w:b/>
                <w:bCs/>
                <w:sz w:val="24"/>
                <w:szCs w:val="24"/>
              </w:rPr>
              <w:t xml:space="preserve"> (df)</w:t>
            </w:r>
          </w:p>
        </w:tc>
        <w:tc>
          <w:tcPr>
            <w:tcW w:w="1870" w:type="dxa"/>
            <w:tcBorders>
              <w:top w:val="single" w:sz="4" w:space="0" w:color="auto"/>
              <w:left w:val="nil"/>
              <w:bottom w:val="nil"/>
              <w:right w:val="nil"/>
            </w:tcBorders>
          </w:tcPr>
          <w:p w14:paraId="7A8CC7EC" w14:textId="6B1BF213" w:rsidR="009C041E" w:rsidRPr="00865792" w:rsidRDefault="00091DF9" w:rsidP="004F59EE">
            <w:pPr>
              <w:rPr>
                <w:rFonts w:ascii="Times New Roman" w:hAnsi="Times New Roman" w:cs="Times New Roman"/>
                <w:sz w:val="24"/>
                <w:szCs w:val="24"/>
              </w:rPr>
            </w:pPr>
            <w:r w:rsidRPr="00865792">
              <w:rPr>
                <w:rFonts w:ascii="Times New Roman" w:hAnsi="Times New Roman" w:cs="Times New Roman"/>
                <w:sz w:val="24"/>
                <w:szCs w:val="24"/>
              </w:rPr>
              <w:t>488</w:t>
            </w:r>
            <w:r w:rsidR="000219CB" w:rsidRPr="00865792">
              <w:rPr>
                <w:rFonts w:ascii="Times New Roman" w:hAnsi="Times New Roman" w:cs="Times New Roman"/>
                <w:sz w:val="24"/>
                <w:szCs w:val="24"/>
              </w:rPr>
              <w:t>.853</w:t>
            </w:r>
            <w:r w:rsidR="009C041E" w:rsidRPr="00865792">
              <w:rPr>
                <w:rFonts w:ascii="Times New Roman" w:hAnsi="Times New Roman" w:cs="Times New Roman"/>
                <w:sz w:val="24"/>
                <w:szCs w:val="24"/>
              </w:rPr>
              <w:t xml:space="preserve"> (205)</w:t>
            </w:r>
          </w:p>
        </w:tc>
        <w:tc>
          <w:tcPr>
            <w:tcW w:w="1870" w:type="dxa"/>
            <w:tcBorders>
              <w:top w:val="single" w:sz="4" w:space="0" w:color="auto"/>
              <w:left w:val="nil"/>
              <w:bottom w:val="nil"/>
              <w:right w:val="nil"/>
            </w:tcBorders>
          </w:tcPr>
          <w:p w14:paraId="05DEAC3D" w14:textId="7BDE6A3E" w:rsidR="009C041E" w:rsidRPr="00865792" w:rsidRDefault="00A96812" w:rsidP="004F59EE">
            <w:pPr>
              <w:rPr>
                <w:rFonts w:ascii="Times New Roman" w:hAnsi="Times New Roman" w:cs="Times New Roman"/>
                <w:sz w:val="24"/>
                <w:szCs w:val="24"/>
              </w:rPr>
            </w:pPr>
            <w:r w:rsidRPr="00865792">
              <w:rPr>
                <w:rFonts w:ascii="Times New Roman" w:hAnsi="Times New Roman" w:cs="Times New Roman"/>
                <w:sz w:val="24"/>
                <w:szCs w:val="24"/>
              </w:rPr>
              <w:t>480.849</w:t>
            </w:r>
            <w:r w:rsidR="009C041E" w:rsidRPr="00865792">
              <w:rPr>
                <w:rFonts w:ascii="Times New Roman" w:hAnsi="Times New Roman" w:cs="Times New Roman"/>
                <w:sz w:val="24"/>
                <w:szCs w:val="24"/>
              </w:rPr>
              <w:t xml:space="preserve"> (205)</w:t>
            </w:r>
          </w:p>
        </w:tc>
        <w:tc>
          <w:tcPr>
            <w:tcW w:w="1870" w:type="dxa"/>
            <w:tcBorders>
              <w:top w:val="single" w:sz="4" w:space="0" w:color="auto"/>
              <w:left w:val="nil"/>
              <w:bottom w:val="nil"/>
              <w:right w:val="nil"/>
            </w:tcBorders>
          </w:tcPr>
          <w:p w14:paraId="4A824B3E" w14:textId="4E0B127D" w:rsidR="009C041E" w:rsidRPr="00865792" w:rsidRDefault="5CAA7560" w:rsidP="6E3AA9BD">
            <w:pPr>
              <w:rPr>
                <w:rFonts w:ascii="Times New Roman" w:hAnsi="Times New Roman" w:cs="Times New Roman"/>
                <w:sz w:val="24"/>
                <w:szCs w:val="24"/>
              </w:rPr>
            </w:pPr>
            <w:r w:rsidRPr="00865792">
              <w:rPr>
                <w:rFonts w:ascii="Times New Roman" w:hAnsi="Times New Roman" w:cs="Times New Roman"/>
                <w:sz w:val="24"/>
                <w:szCs w:val="24"/>
              </w:rPr>
              <w:t>6</w:t>
            </w:r>
            <w:r w:rsidR="07338C1D" w:rsidRPr="00865792">
              <w:rPr>
                <w:rFonts w:ascii="Times New Roman" w:hAnsi="Times New Roman" w:cs="Times New Roman"/>
                <w:sz w:val="24"/>
                <w:szCs w:val="24"/>
              </w:rPr>
              <w:t>84.840</w:t>
            </w:r>
            <w:r w:rsidR="05D65D0E" w:rsidRPr="00865792">
              <w:rPr>
                <w:rFonts w:ascii="Times New Roman" w:hAnsi="Times New Roman" w:cs="Times New Roman"/>
                <w:sz w:val="24"/>
                <w:szCs w:val="24"/>
              </w:rPr>
              <w:t xml:space="preserve"> (295)</w:t>
            </w:r>
          </w:p>
        </w:tc>
        <w:tc>
          <w:tcPr>
            <w:tcW w:w="1870" w:type="dxa"/>
            <w:tcBorders>
              <w:top w:val="single" w:sz="4" w:space="0" w:color="auto"/>
              <w:left w:val="nil"/>
              <w:bottom w:val="nil"/>
              <w:right w:val="nil"/>
            </w:tcBorders>
          </w:tcPr>
          <w:p w14:paraId="038D7460" w14:textId="73D8448F" w:rsidR="009C041E" w:rsidRPr="00865792" w:rsidRDefault="76859F00" w:rsidP="6E3AA9BD">
            <w:pPr>
              <w:rPr>
                <w:rFonts w:ascii="Times New Roman" w:hAnsi="Times New Roman" w:cs="Times New Roman"/>
                <w:sz w:val="24"/>
                <w:szCs w:val="24"/>
              </w:rPr>
            </w:pPr>
            <w:r w:rsidRPr="00865792">
              <w:rPr>
                <w:rFonts w:ascii="Times New Roman" w:hAnsi="Times New Roman" w:cs="Times New Roman"/>
                <w:sz w:val="24"/>
                <w:szCs w:val="24"/>
              </w:rPr>
              <w:t>6</w:t>
            </w:r>
            <w:r w:rsidR="493B5EF5" w:rsidRPr="00865792">
              <w:rPr>
                <w:rFonts w:ascii="Times New Roman" w:hAnsi="Times New Roman" w:cs="Times New Roman"/>
                <w:sz w:val="24"/>
                <w:szCs w:val="24"/>
              </w:rPr>
              <w:t>89.305</w:t>
            </w:r>
            <w:r w:rsidR="05D65D0E" w:rsidRPr="00865792">
              <w:rPr>
                <w:rFonts w:ascii="Times New Roman" w:hAnsi="Times New Roman" w:cs="Times New Roman"/>
                <w:sz w:val="24"/>
                <w:szCs w:val="24"/>
              </w:rPr>
              <w:t xml:space="preserve"> (295)</w:t>
            </w:r>
          </w:p>
        </w:tc>
      </w:tr>
      <w:tr w:rsidR="00865792" w:rsidRPr="00865792" w14:paraId="68995C94" w14:textId="77777777" w:rsidTr="6E3AA9BD">
        <w:tc>
          <w:tcPr>
            <w:tcW w:w="1870" w:type="dxa"/>
            <w:tcBorders>
              <w:top w:val="nil"/>
              <w:left w:val="nil"/>
              <w:bottom w:val="nil"/>
              <w:right w:val="nil"/>
            </w:tcBorders>
          </w:tcPr>
          <w:p w14:paraId="3E061F13" w14:textId="77777777" w:rsidR="009C041E" w:rsidRPr="00865792" w:rsidRDefault="009C041E" w:rsidP="004F59EE">
            <w:pPr>
              <w:rPr>
                <w:rFonts w:ascii="Times New Roman" w:hAnsi="Times New Roman" w:cs="Times New Roman"/>
                <w:b/>
                <w:bCs/>
                <w:sz w:val="24"/>
                <w:szCs w:val="24"/>
              </w:rPr>
            </w:pPr>
            <w:r w:rsidRPr="00865792">
              <w:rPr>
                <w:rFonts w:ascii="Times New Roman" w:hAnsi="Times New Roman" w:cs="Times New Roman"/>
                <w:b/>
                <w:bCs/>
                <w:sz w:val="24"/>
                <w:szCs w:val="24"/>
              </w:rPr>
              <w:t>CFI</w:t>
            </w:r>
          </w:p>
        </w:tc>
        <w:tc>
          <w:tcPr>
            <w:tcW w:w="1870" w:type="dxa"/>
            <w:tcBorders>
              <w:top w:val="nil"/>
              <w:left w:val="nil"/>
              <w:bottom w:val="nil"/>
              <w:right w:val="nil"/>
            </w:tcBorders>
          </w:tcPr>
          <w:p w14:paraId="0BE2F273" w14:textId="11FCFC0F" w:rsidR="009C041E" w:rsidRPr="00865792" w:rsidRDefault="009C041E" w:rsidP="004F59EE">
            <w:pPr>
              <w:jc w:val="center"/>
              <w:rPr>
                <w:rFonts w:ascii="Times New Roman" w:hAnsi="Times New Roman" w:cs="Times New Roman"/>
                <w:sz w:val="24"/>
                <w:szCs w:val="24"/>
              </w:rPr>
            </w:pPr>
            <w:r w:rsidRPr="00865792">
              <w:rPr>
                <w:rFonts w:ascii="Times New Roman" w:hAnsi="Times New Roman" w:cs="Times New Roman"/>
                <w:sz w:val="24"/>
                <w:szCs w:val="24"/>
              </w:rPr>
              <w:t>0.7</w:t>
            </w:r>
            <w:r w:rsidR="000219CB" w:rsidRPr="00865792">
              <w:rPr>
                <w:rFonts w:ascii="Times New Roman" w:hAnsi="Times New Roman" w:cs="Times New Roman"/>
                <w:sz w:val="24"/>
                <w:szCs w:val="24"/>
              </w:rPr>
              <w:t>8</w:t>
            </w:r>
          </w:p>
        </w:tc>
        <w:tc>
          <w:tcPr>
            <w:tcW w:w="1870" w:type="dxa"/>
            <w:tcBorders>
              <w:top w:val="nil"/>
              <w:left w:val="nil"/>
              <w:bottom w:val="nil"/>
              <w:right w:val="nil"/>
            </w:tcBorders>
          </w:tcPr>
          <w:p w14:paraId="1C7BD163" w14:textId="77777777" w:rsidR="009C041E" w:rsidRPr="00865792" w:rsidRDefault="009C041E" w:rsidP="004F59EE">
            <w:pPr>
              <w:jc w:val="center"/>
              <w:rPr>
                <w:rFonts w:ascii="Times New Roman" w:hAnsi="Times New Roman" w:cs="Times New Roman"/>
                <w:sz w:val="24"/>
                <w:szCs w:val="24"/>
              </w:rPr>
            </w:pPr>
            <w:r w:rsidRPr="00865792">
              <w:rPr>
                <w:rFonts w:ascii="Times New Roman" w:hAnsi="Times New Roman" w:cs="Times New Roman"/>
                <w:sz w:val="24"/>
                <w:szCs w:val="24"/>
              </w:rPr>
              <w:t>0.77</w:t>
            </w:r>
          </w:p>
        </w:tc>
        <w:tc>
          <w:tcPr>
            <w:tcW w:w="1870" w:type="dxa"/>
            <w:tcBorders>
              <w:top w:val="nil"/>
              <w:left w:val="nil"/>
              <w:bottom w:val="nil"/>
              <w:right w:val="nil"/>
            </w:tcBorders>
          </w:tcPr>
          <w:p w14:paraId="551C91DD" w14:textId="34EB1632" w:rsidR="009C041E" w:rsidRPr="00865792" w:rsidRDefault="05D65D0E" w:rsidP="6E3AA9BD">
            <w:pPr>
              <w:jc w:val="center"/>
              <w:rPr>
                <w:rFonts w:ascii="Times New Roman" w:hAnsi="Times New Roman" w:cs="Times New Roman"/>
                <w:sz w:val="24"/>
                <w:szCs w:val="24"/>
              </w:rPr>
            </w:pPr>
            <w:r w:rsidRPr="00865792">
              <w:rPr>
                <w:rFonts w:ascii="Times New Roman" w:hAnsi="Times New Roman" w:cs="Times New Roman"/>
                <w:sz w:val="24"/>
                <w:szCs w:val="24"/>
              </w:rPr>
              <w:t>0.</w:t>
            </w:r>
            <w:r w:rsidR="1822BA80" w:rsidRPr="00865792">
              <w:rPr>
                <w:rFonts w:ascii="Times New Roman" w:hAnsi="Times New Roman" w:cs="Times New Roman"/>
                <w:sz w:val="24"/>
                <w:szCs w:val="24"/>
              </w:rPr>
              <w:t>8</w:t>
            </w:r>
            <w:r w:rsidR="5CC84E0B" w:rsidRPr="00865792">
              <w:rPr>
                <w:rFonts w:ascii="Times New Roman" w:hAnsi="Times New Roman" w:cs="Times New Roman"/>
                <w:sz w:val="24"/>
                <w:szCs w:val="24"/>
              </w:rPr>
              <w:t>3</w:t>
            </w:r>
          </w:p>
        </w:tc>
        <w:tc>
          <w:tcPr>
            <w:tcW w:w="1870" w:type="dxa"/>
            <w:tcBorders>
              <w:top w:val="nil"/>
              <w:left w:val="nil"/>
              <w:bottom w:val="nil"/>
              <w:right w:val="nil"/>
            </w:tcBorders>
          </w:tcPr>
          <w:p w14:paraId="4414AF64" w14:textId="28C28B04" w:rsidR="009C041E" w:rsidRPr="00865792" w:rsidRDefault="05D65D0E" w:rsidP="6E3AA9BD">
            <w:pPr>
              <w:jc w:val="center"/>
              <w:rPr>
                <w:rFonts w:ascii="Times New Roman" w:hAnsi="Times New Roman" w:cs="Times New Roman"/>
                <w:sz w:val="24"/>
                <w:szCs w:val="24"/>
              </w:rPr>
            </w:pPr>
            <w:r w:rsidRPr="00865792">
              <w:rPr>
                <w:rFonts w:ascii="Times New Roman" w:hAnsi="Times New Roman" w:cs="Times New Roman"/>
                <w:sz w:val="24"/>
                <w:szCs w:val="24"/>
              </w:rPr>
              <w:t>0.</w:t>
            </w:r>
            <w:r w:rsidR="76859F00" w:rsidRPr="00865792">
              <w:rPr>
                <w:rFonts w:ascii="Times New Roman" w:hAnsi="Times New Roman" w:cs="Times New Roman"/>
                <w:sz w:val="24"/>
                <w:szCs w:val="24"/>
              </w:rPr>
              <w:t>8</w:t>
            </w:r>
            <w:r w:rsidR="1828BC2B" w:rsidRPr="00865792">
              <w:rPr>
                <w:rFonts w:ascii="Times New Roman" w:hAnsi="Times New Roman" w:cs="Times New Roman"/>
                <w:sz w:val="24"/>
                <w:szCs w:val="24"/>
              </w:rPr>
              <w:t>3</w:t>
            </w:r>
          </w:p>
        </w:tc>
      </w:tr>
      <w:tr w:rsidR="00865792" w:rsidRPr="00865792" w14:paraId="29FA237F" w14:textId="77777777" w:rsidTr="6E3AA9BD">
        <w:tc>
          <w:tcPr>
            <w:tcW w:w="1870" w:type="dxa"/>
            <w:tcBorders>
              <w:top w:val="nil"/>
              <w:left w:val="nil"/>
              <w:bottom w:val="nil"/>
              <w:right w:val="nil"/>
            </w:tcBorders>
          </w:tcPr>
          <w:p w14:paraId="5E817E05" w14:textId="77777777" w:rsidR="009C041E" w:rsidRPr="00865792" w:rsidRDefault="009C041E" w:rsidP="004F59EE">
            <w:pPr>
              <w:rPr>
                <w:rFonts w:ascii="Times New Roman" w:hAnsi="Times New Roman" w:cs="Times New Roman"/>
                <w:b/>
                <w:bCs/>
                <w:sz w:val="24"/>
                <w:szCs w:val="24"/>
              </w:rPr>
            </w:pPr>
            <w:r w:rsidRPr="00865792">
              <w:rPr>
                <w:rFonts w:ascii="Times New Roman" w:hAnsi="Times New Roman" w:cs="Times New Roman"/>
                <w:b/>
                <w:bCs/>
                <w:sz w:val="24"/>
                <w:szCs w:val="24"/>
              </w:rPr>
              <w:t>TLI</w:t>
            </w:r>
          </w:p>
        </w:tc>
        <w:tc>
          <w:tcPr>
            <w:tcW w:w="1870" w:type="dxa"/>
            <w:tcBorders>
              <w:top w:val="nil"/>
              <w:left w:val="nil"/>
              <w:bottom w:val="nil"/>
              <w:right w:val="nil"/>
            </w:tcBorders>
          </w:tcPr>
          <w:p w14:paraId="28CC6102" w14:textId="13856143" w:rsidR="009C041E" w:rsidRPr="00865792" w:rsidRDefault="009C041E" w:rsidP="004F59EE">
            <w:pPr>
              <w:jc w:val="center"/>
              <w:rPr>
                <w:rFonts w:ascii="Times New Roman" w:hAnsi="Times New Roman" w:cs="Times New Roman"/>
                <w:sz w:val="24"/>
                <w:szCs w:val="24"/>
              </w:rPr>
            </w:pPr>
            <w:r w:rsidRPr="00865792">
              <w:rPr>
                <w:rFonts w:ascii="Times New Roman" w:hAnsi="Times New Roman" w:cs="Times New Roman"/>
                <w:sz w:val="24"/>
                <w:szCs w:val="24"/>
              </w:rPr>
              <w:t>0.7</w:t>
            </w:r>
            <w:r w:rsidR="000219CB" w:rsidRPr="00865792">
              <w:rPr>
                <w:rFonts w:ascii="Times New Roman" w:hAnsi="Times New Roman" w:cs="Times New Roman"/>
                <w:sz w:val="24"/>
                <w:szCs w:val="24"/>
              </w:rPr>
              <w:t>5</w:t>
            </w:r>
          </w:p>
        </w:tc>
        <w:tc>
          <w:tcPr>
            <w:tcW w:w="1870" w:type="dxa"/>
            <w:tcBorders>
              <w:top w:val="nil"/>
              <w:left w:val="nil"/>
              <w:bottom w:val="nil"/>
              <w:right w:val="nil"/>
            </w:tcBorders>
          </w:tcPr>
          <w:p w14:paraId="43B23F60" w14:textId="3FF4231B" w:rsidR="009C041E" w:rsidRPr="00865792" w:rsidRDefault="009C041E" w:rsidP="004F59EE">
            <w:pPr>
              <w:jc w:val="center"/>
              <w:rPr>
                <w:rFonts w:ascii="Times New Roman" w:hAnsi="Times New Roman" w:cs="Times New Roman"/>
                <w:sz w:val="24"/>
                <w:szCs w:val="24"/>
              </w:rPr>
            </w:pPr>
            <w:r w:rsidRPr="00865792">
              <w:rPr>
                <w:rFonts w:ascii="Times New Roman" w:hAnsi="Times New Roman" w:cs="Times New Roman"/>
                <w:sz w:val="24"/>
                <w:szCs w:val="24"/>
              </w:rPr>
              <w:t>0.7</w:t>
            </w:r>
            <w:r w:rsidR="008E6531" w:rsidRPr="00865792">
              <w:rPr>
                <w:rFonts w:ascii="Times New Roman" w:hAnsi="Times New Roman" w:cs="Times New Roman"/>
                <w:sz w:val="24"/>
                <w:szCs w:val="24"/>
              </w:rPr>
              <w:t>5</w:t>
            </w:r>
          </w:p>
        </w:tc>
        <w:tc>
          <w:tcPr>
            <w:tcW w:w="1870" w:type="dxa"/>
            <w:tcBorders>
              <w:top w:val="nil"/>
              <w:left w:val="nil"/>
              <w:bottom w:val="nil"/>
              <w:right w:val="nil"/>
            </w:tcBorders>
          </w:tcPr>
          <w:p w14:paraId="283621D0" w14:textId="6DF6BE8D" w:rsidR="009C041E" w:rsidRPr="00865792" w:rsidRDefault="05D65D0E" w:rsidP="6E3AA9BD">
            <w:pPr>
              <w:jc w:val="center"/>
              <w:rPr>
                <w:rFonts w:ascii="Times New Roman" w:hAnsi="Times New Roman" w:cs="Times New Roman"/>
                <w:sz w:val="24"/>
                <w:szCs w:val="24"/>
              </w:rPr>
            </w:pPr>
            <w:r w:rsidRPr="00865792">
              <w:rPr>
                <w:rFonts w:ascii="Times New Roman" w:hAnsi="Times New Roman" w:cs="Times New Roman"/>
                <w:sz w:val="24"/>
                <w:szCs w:val="24"/>
              </w:rPr>
              <w:t>0.</w:t>
            </w:r>
            <w:r w:rsidR="30C601FE" w:rsidRPr="00865792">
              <w:rPr>
                <w:rFonts w:ascii="Times New Roman" w:hAnsi="Times New Roman" w:cs="Times New Roman"/>
                <w:sz w:val="24"/>
                <w:szCs w:val="24"/>
              </w:rPr>
              <w:t>8</w:t>
            </w:r>
            <w:r w:rsidR="64D77667" w:rsidRPr="00865792">
              <w:rPr>
                <w:rFonts w:ascii="Times New Roman" w:hAnsi="Times New Roman" w:cs="Times New Roman"/>
                <w:sz w:val="24"/>
                <w:szCs w:val="24"/>
              </w:rPr>
              <w:t>1</w:t>
            </w:r>
          </w:p>
        </w:tc>
        <w:tc>
          <w:tcPr>
            <w:tcW w:w="1870" w:type="dxa"/>
            <w:tcBorders>
              <w:top w:val="nil"/>
              <w:left w:val="nil"/>
              <w:bottom w:val="nil"/>
              <w:right w:val="nil"/>
            </w:tcBorders>
          </w:tcPr>
          <w:p w14:paraId="3FBBFD88" w14:textId="5A116AD7" w:rsidR="009C041E" w:rsidRPr="00865792" w:rsidRDefault="05D65D0E" w:rsidP="6E3AA9BD">
            <w:pPr>
              <w:jc w:val="center"/>
              <w:rPr>
                <w:rFonts w:ascii="Times New Roman" w:hAnsi="Times New Roman" w:cs="Times New Roman"/>
                <w:sz w:val="24"/>
                <w:szCs w:val="24"/>
              </w:rPr>
            </w:pPr>
            <w:r w:rsidRPr="00865792">
              <w:rPr>
                <w:rFonts w:ascii="Times New Roman" w:hAnsi="Times New Roman" w:cs="Times New Roman"/>
                <w:sz w:val="24"/>
                <w:szCs w:val="24"/>
              </w:rPr>
              <w:t>0.</w:t>
            </w:r>
            <w:r w:rsidR="76859F00" w:rsidRPr="00865792">
              <w:rPr>
                <w:rFonts w:ascii="Times New Roman" w:hAnsi="Times New Roman" w:cs="Times New Roman"/>
                <w:sz w:val="24"/>
                <w:szCs w:val="24"/>
              </w:rPr>
              <w:t>8</w:t>
            </w:r>
            <w:r w:rsidR="19FFCA99" w:rsidRPr="00865792">
              <w:rPr>
                <w:rFonts w:ascii="Times New Roman" w:hAnsi="Times New Roman" w:cs="Times New Roman"/>
                <w:sz w:val="24"/>
                <w:szCs w:val="24"/>
              </w:rPr>
              <w:t>1</w:t>
            </w:r>
          </w:p>
        </w:tc>
      </w:tr>
      <w:tr w:rsidR="00865792" w:rsidRPr="00865792" w14:paraId="2E31FAF3" w14:textId="77777777" w:rsidTr="6E3AA9BD">
        <w:tc>
          <w:tcPr>
            <w:tcW w:w="1870" w:type="dxa"/>
            <w:tcBorders>
              <w:top w:val="nil"/>
              <w:left w:val="nil"/>
              <w:bottom w:val="nil"/>
              <w:right w:val="nil"/>
            </w:tcBorders>
          </w:tcPr>
          <w:p w14:paraId="7C3097D9" w14:textId="77777777" w:rsidR="009C041E" w:rsidRPr="00865792" w:rsidRDefault="009C041E" w:rsidP="004F59EE">
            <w:pPr>
              <w:rPr>
                <w:rFonts w:ascii="Times New Roman" w:hAnsi="Times New Roman" w:cs="Times New Roman"/>
                <w:b/>
                <w:bCs/>
                <w:sz w:val="24"/>
                <w:szCs w:val="24"/>
              </w:rPr>
            </w:pPr>
            <w:r w:rsidRPr="00865792">
              <w:rPr>
                <w:rFonts w:ascii="Times New Roman" w:hAnsi="Times New Roman" w:cs="Times New Roman"/>
                <w:b/>
                <w:bCs/>
                <w:sz w:val="24"/>
                <w:szCs w:val="24"/>
              </w:rPr>
              <w:t>RMSEA</w:t>
            </w:r>
          </w:p>
        </w:tc>
        <w:tc>
          <w:tcPr>
            <w:tcW w:w="1870" w:type="dxa"/>
            <w:tcBorders>
              <w:top w:val="nil"/>
              <w:left w:val="nil"/>
              <w:bottom w:val="nil"/>
              <w:right w:val="nil"/>
            </w:tcBorders>
          </w:tcPr>
          <w:p w14:paraId="6F3E626E" w14:textId="7DA217CB" w:rsidR="009C041E" w:rsidRPr="00865792" w:rsidRDefault="009C041E" w:rsidP="004F59EE">
            <w:pPr>
              <w:jc w:val="center"/>
              <w:rPr>
                <w:rFonts w:ascii="Times New Roman" w:hAnsi="Times New Roman" w:cs="Times New Roman"/>
                <w:sz w:val="24"/>
                <w:szCs w:val="24"/>
              </w:rPr>
            </w:pPr>
            <w:r w:rsidRPr="00865792">
              <w:rPr>
                <w:rFonts w:ascii="Times New Roman" w:hAnsi="Times New Roman" w:cs="Times New Roman"/>
                <w:sz w:val="24"/>
                <w:szCs w:val="24"/>
              </w:rPr>
              <w:t>0.07</w:t>
            </w:r>
            <w:r w:rsidR="000219CB" w:rsidRPr="00865792">
              <w:rPr>
                <w:rFonts w:ascii="Times New Roman" w:hAnsi="Times New Roman" w:cs="Times New Roman"/>
                <w:sz w:val="24"/>
                <w:szCs w:val="24"/>
              </w:rPr>
              <w:t>4</w:t>
            </w:r>
          </w:p>
        </w:tc>
        <w:tc>
          <w:tcPr>
            <w:tcW w:w="1870" w:type="dxa"/>
            <w:tcBorders>
              <w:top w:val="nil"/>
              <w:left w:val="nil"/>
              <w:bottom w:val="nil"/>
              <w:right w:val="nil"/>
            </w:tcBorders>
          </w:tcPr>
          <w:p w14:paraId="475306E1" w14:textId="01D374BE" w:rsidR="009C041E" w:rsidRPr="00865792" w:rsidRDefault="009C041E" w:rsidP="004F59EE">
            <w:pPr>
              <w:jc w:val="center"/>
              <w:rPr>
                <w:rFonts w:ascii="Times New Roman" w:hAnsi="Times New Roman" w:cs="Times New Roman"/>
                <w:sz w:val="24"/>
                <w:szCs w:val="24"/>
              </w:rPr>
            </w:pPr>
            <w:r w:rsidRPr="00865792">
              <w:rPr>
                <w:rFonts w:ascii="Times New Roman" w:hAnsi="Times New Roman" w:cs="Times New Roman"/>
                <w:sz w:val="24"/>
                <w:szCs w:val="24"/>
              </w:rPr>
              <w:t>0.07</w:t>
            </w:r>
            <w:r w:rsidR="008E6531" w:rsidRPr="00865792">
              <w:rPr>
                <w:rFonts w:ascii="Times New Roman" w:hAnsi="Times New Roman" w:cs="Times New Roman"/>
                <w:sz w:val="24"/>
                <w:szCs w:val="24"/>
              </w:rPr>
              <w:t>3</w:t>
            </w:r>
          </w:p>
        </w:tc>
        <w:tc>
          <w:tcPr>
            <w:tcW w:w="1870" w:type="dxa"/>
            <w:tcBorders>
              <w:top w:val="nil"/>
              <w:left w:val="nil"/>
              <w:bottom w:val="nil"/>
              <w:right w:val="nil"/>
            </w:tcBorders>
          </w:tcPr>
          <w:p w14:paraId="573BB563" w14:textId="34F19D69" w:rsidR="009C041E" w:rsidRPr="00865792" w:rsidRDefault="05D65D0E" w:rsidP="6E3AA9BD">
            <w:pPr>
              <w:jc w:val="center"/>
              <w:rPr>
                <w:rFonts w:ascii="Times New Roman" w:hAnsi="Times New Roman" w:cs="Times New Roman"/>
                <w:sz w:val="24"/>
                <w:szCs w:val="24"/>
              </w:rPr>
            </w:pPr>
            <w:r w:rsidRPr="00865792">
              <w:rPr>
                <w:rFonts w:ascii="Times New Roman" w:hAnsi="Times New Roman" w:cs="Times New Roman"/>
                <w:sz w:val="24"/>
                <w:szCs w:val="24"/>
              </w:rPr>
              <w:t>0.0</w:t>
            </w:r>
            <w:r w:rsidR="3A8ADB40" w:rsidRPr="00865792">
              <w:rPr>
                <w:rFonts w:ascii="Times New Roman" w:hAnsi="Times New Roman" w:cs="Times New Roman"/>
                <w:sz w:val="24"/>
                <w:szCs w:val="24"/>
              </w:rPr>
              <w:t>73</w:t>
            </w:r>
          </w:p>
        </w:tc>
        <w:tc>
          <w:tcPr>
            <w:tcW w:w="1870" w:type="dxa"/>
            <w:tcBorders>
              <w:top w:val="nil"/>
              <w:left w:val="nil"/>
              <w:bottom w:val="nil"/>
              <w:right w:val="nil"/>
            </w:tcBorders>
          </w:tcPr>
          <w:p w14:paraId="28AA7407" w14:textId="4C917F66" w:rsidR="009C041E" w:rsidRPr="00865792" w:rsidRDefault="05D65D0E" w:rsidP="6E3AA9BD">
            <w:pPr>
              <w:jc w:val="center"/>
              <w:rPr>
                <w:rFonts w:ascii="Times New Roman" w:hAnsi="Times New Roman" w:cs="Times New Roman"/>
                <w:sz w:val="24"/>
                <w:szCs w:val="24"/>
              </w:rPr>
            </w:pPr>
            <w:r w:rsidRPr="00865792">
              <w:rPr>
                <w:rFonts w:ascii="Times New Roman" w:hAnsi="Times New Roman" w:cs="Times New Roman"/>
                <w:sz w:val="24"/>
                <w:szCs w:val="24"/>
              </w:rPr>
              <w:t>0.0</w:t>
            </w:r>
            <w:r w:rsidR="24D7B4E0" w:rsidRPr="00865792">
              <w:rPr>
                <w:rFonts w:ascii="Times New Roman" w:hAnsi="Times New Roman" w:cs="Times New Roman"/>
                <w:sz w:val="24"/>
                <w:szCs w:val="24"/>
              </w:rPr>
              <w:t>73</w:t>
            </w:r>
          </w:p>
        </w:tc>
      </w:tr>
      <w:tr w:rsidR="00865792" w:rsidRPr="00865792" w14:paraId="25E9DFC8" w14:textId="77777777" w:rsidTr="6E3AA9BD">
        <w:tc>
          <w:tcPr>
            <w:tcW w:w="1870" w:type="dxa"/>
            <w:tcBorders>
              <w:top w:val="nil"/>
              <w:left w:val="nil"/>
              <w:right w:val="nil"/>
            </w:tcBorders>
          </w:tcPr>
          <w:p w14:paraId="4E74FDEA" w14:textId="77777777" w:rsidR="009C041E" w:rsidRPr="00865792" w:rsidRDefault="009C041E" w:rsidP="004F59EE">
            <w:pPr>
              <w:rPr>
                <w:rFonts w:ascii="Times New Roman" w:hAnsi="Times New Roman" w:cs="Times New Roman"/>
                <w:b/>
                <w:bCs/>
                <w:sz w:val="24"/>
                <w:szCs w:val="24"/>
              </w:rPr>
            </w:pPr>
            <w:r w:rsidRPr="00865792">
              <w:rPr>
                <w:rFonts w:ascii="Times New Roman" w:hAnsi="Times New Roman" w:cs="Times New Roman"/>
                <w:b/>
                <w:bCs/>
                <w:sz w:val="24"/>
                <w:szCs w:val="24"/>
              </w:rPr>
              <w:t>SRMR</w:t>
            </w:r>
          </w:p>
        </w:tc>
        <w:tc>
          <w:tcPr>
            <w:tcW w:w="1870" w:type="dxa"/>
            <w:tcBorders>
              <w:top w:val="nil"/>
              <w:left w:val="nil"/>
              <w:right w:val="nil"/>
            </w:tcBorders>
          </w:tcPr>
          <w:p w14:paraId="793DD857" w14:textId="087BED2E" w:rsidR="009C041E" w:rsidRPr="00865792" w:rsidRDefault="009C041E" w:rsidP="004F59EE">
            <w:pPr>
              <w:jc w:val="center"/>
              <w:rPr>
                <w:rFonts w:ascii="Times New Roman" w:hAnsi="Times New Roman" w:cs="Times New Roman"/>
                <w:sz w:val="24"/>
                <w:szCs w:val="24"/>
              </w:rPr>
            </w:pPr>
            <w:r w:rsidRPr="00865792">
              <w:rPr>
                <w:rFonts w:ascii="Times New Roman" w:hAnsi="Times New Roman" w:cs="Times New Roman"/>
                <w:sz w:val="24"/>
                <w:szCs w:val="24"/>
              </w:rPr>
              <w:t>0.0</w:t>
            </w:r>
            <w:r w:rsidR="000219CB" w:rsidRPr="00865792">
              <w:rPr>
                <w:rFonts w:ascii="Times New Roman" w:hAnsi="Times New Roman" w:cs="Times New Roman"/>
                <w:sz w:val="24"/>
                <w:szCs w:val="24"/>
              </w:rPr>
              <w:t>93</w:t>
            </w:r>
          </w:p>
        </w:tc>
        <w:tc>
          <w:tcPr>
            <w:tcW w:w="1870" w:type="dxa"/>
            <w:tcBorders>
              <w:top w:val="nil"/>
              <w:left w:val="nil"/>
              <w:right w:val="nil"/>
            </w:tcBorders>
          </w:tcPr>
          <w:p w14:paraId="54A175BE" w14:textId="6D008CCE" w:rsidR="009C041E" w:rsidRPr="00865792" w:rsidRDefault="009C041E" w:rsidP="004F59EE">
            <w:pPr>
              <w:jc w:val="center"/>
              <w:rPr>
                <w:rFonts w:ascii="Times New Roman" w:hAnsi="Times New Roman" w:cs="Times New Roman"/>
                <w:sz w:val="24"/>
                <w:szCs w:val="24"/>
              </w:rPr>
            </w:pPr>
            <w:r w:rsidRPr="00865792">
              <w:rPr>
                <w:rFonts w:ascii="Times New Roman" w:hAnsi="Times New Roman" w:cs="Times New Roman"/>
                <w:sz w:val="24"/>
                <w:szCs w:val="24"/>
              </w:rPr>
              <w:t>0.0</w:t>
            </w:r>
            <w:r w:rsidR="008E6531" w:rsidRPr="00865792">
              <w:rPr>
                <w:rFonts w:ascii="Times New Roman" w:hAnsi="Times New Roman" w:cs="Times New Roman"/>
                <w:sz w:val="24"/>
                <w:szCs w:val="24"/>
              </w:rPr>
              <w:t>91</w:t>
            </w:r>
          </w:p>
        </w:tc>
        <w:tc>
          <w:tcPr>
            <w:tcW w:w="1870" w:type="dxa"/>
            <w:tcBorders>
              <w:top w:val="nil"/>
              <w:left w:val="nil"/>
              <w:right w:val="nil"/>
            </w:tcBorders>
          </w:tcPr>
          <w:p w14:paraId="512EE8D7" w14:textId="7E67FE1D" w:rsidR="009C041E" w:rsidRPr="00865792" w:rsidRDefault="05D65D0E" w:rsidP="6E3AA9BD">
            <w:pPr>
              <w:jc w:val="center"/>
              <w:rPr>
                <w:rFonts w:ascii="Times New Roman" w:hAnsi="Times New Roman" w:cs="Times New Roman"/>
                <w:sz w:val="24"/>
                <w:szCs w:val="24"/>
              </w:rPr>
            </w:pPr>
            <w:r w:rsidRPr="00865792">
              <w:rPr>
                <w:rFonts w:ascii="Times New Roman" w:hAnsi="Times New Roman" w:cs="Times New Roman"/>
                <w:sz w:val="24"/>
                <w:szCs w:val="24"/>
              </w:rPr>
              <w:t>0.0</w:t>
            </w:r>
            <w:r w:rsidR="234DE5AA" w:rsidRPr="00865792">
              <w:rPr>
                <w:rFonts w:ascii="Times New Roman" w:hAnsi="Times New Roman" w:cs="Times New Roman"/>
                <w:sz w:val="24"/>
                <w:szCs w:val="24"/>
              </w:rPr>
              <w:t>84</w:t>
            </w:r>
          </w:p>
        </w:tc>
        <w:tc>
          <w:tcPr>
            <w:tcW w:w="1870" w:type="dxa"/>
            <w:tcBorders>
              <w:top w:val="nil"/>
              <w:left w:val="nil"/>
              <w:right w:val="nil"/>
            </w:tcBorders>
          </w:tcPr>
          <w:p w14:paraId="0FA772C0" w14:textId="63C0567C" w:rsidR="009C041E" w:rsidRPr="00865792" w:rsidRDefault="05D65D0E" w:rsidP="6E3AA9BD">
            <w:pPr>
              <w:jc w:val="center"/>
              <w:rPr>
                <w:rFonts w:ascii="Times New Roman" w:hAnsi="Times New Roman" w:cs="Times New Roman"/>
                <w:sz w:val="24"/>
                <w:szCs w:val="24"/>
              </w:rPr>
            </w:pPr>
            <w:r w:rsidRPr="00865792">
              <w:rPr>
                <w:rFonts w:ascii="Times New Roman" w:hAnsi="Times New Roman" w:cs="Times New Roman"/>
                <w:sz w:val="24"/>
                <w:szCs w:val="24"/>
              </w:rPr>
              <w:t>0.08</w:t>
            </w:r>
            <w:r w:rsidR="5BDDE4DD" w:rsidRPr="00865792">
              <w:rPr>
                <w:rFonts w:ascii="Times New Roman" w:hAnsi="Times New Roman" w:cs="Times New Roman"/>
                <w:sz w:val="24"/>
                <w:szCs w:val="24"/>
              </w:rPr>
              <w:t>3</w:t>
            </w:r>
          </w:p>
        </w:tc>
      </w:tr>
    </w:tbl>
    <w:p w14:paraId="6C6F2151" w14:textId="77777777" w:rsidR="00865792" w:rsidRDefault="00865792" w:rsidP="00892812">
      <w:pPr>
        <w:spacing w:after="0" w:line="480" w:lineRule="auto"/>
        <w:rPr>
          <w:rFonts w:ascii="Times New Roman" w:hAnsi="Times New Roman" w:cs="Times New Roman"/>
          <w:b/>
          <w:bCs/>
          <w:sz w:val="24"/>
          <w:szCs w:val="24"/>
        </w:rPr>
      </w:pPr>
    </w:p>
    <w:p w14:paraId="7B8C9870" w14:textId="77777777" w:rsidR="00865792" w:rsidRDefault="00865792" w:rsidP="00892812">
      <w:pPr>
        <w:spacing w:after="0" w:line="480" w:lineRule="auto"/>
        <w:rPr>
          <w:rFonts w:ascii="Times New Roman" w:hAnsi="Times New Roman" w:cs="Times New Roman"/>
          <w:b/>
          <w:bCs/>
          <w:sz w:val="24"/>
          <w:szCs w:val="24"/>
        </w:rPr>
      </w:pPr>
    </w:p>
    <w:p w14:paraId="1AF0CECF" w14:textId="7E5E1D07" w:rsidR="00F6563E" w:rsidRDefault="4CEF0136" w:rsidP="00892812">
      <w:pPr>
        <w:spacing w:after="0" w:line="480" w:lineRule="auto"/>
        <w:rPr>
          <w:rFonts w:ascii="Times New Roman" w:hAnsi="Times New Roman" w:cs="Times New Roman"/>
          <w:sz w:val="24"/>
          <w:szCs w:val="24"/>
        </w:rPr>
      </w:pPr>
      <w:r w:rsidRPr="00865792">
        <w:rPr>
          <w:rFonts w:ascii="Times New Roman" w:hAnsi="Times New Roman" w:cs="Times New Roman"/>
          <w:b/>
          <w:bCs/>
          <w:sz w:val="24"/>
          <w:szCs w:val="24"/>
        </w:rPr>
        <w:lastRenderedPageBreak/>
        <w:t xml:space="preserve">Figure B.1. </w:t>
      </w:r>
      <w:r w:rsidRPr="00865792">
        <w:rPr>
          <w:rFonts w:ascii="Times New Roman" w:hAnsi="Times New Roman" w:cs="Times New Roman"/>
          <w:sz w:val="24"/>
          <w:szCs w:val="24"/>
        </w:rPr>
        <w:t>Path diagrams of CLPM with underlying metric model factor structures for hypo</w:t>
      </w:r>
      <w:r w:rsidRPr="6E3AA9BD">
        <w:rPr>
          <w:rFonts w:ascii="Times New Roman" w:hAnsi="Times New Roman" w:cs="Times New Roman"/>
          <w:sz w:val="24"/>
          <w:szCs w:val="24"/>
        </w:rPr>
        <w:t>- and hyperreactivity.</w:t>
      </w:r>
      <w:r w:rsidR="00F21279">
        <w:rPr>
          <w:rFonts w:ascii="Times New Roman" w:hAnsi="Times New Roman" w:cs="Times New Roman"/>
          <w:sz w:val="24"/>
          <w:szCs w:val="24"/>
        </w:rPr>
        <w:t xml:space="preserve">   </w:t>
      </w:r>
    </w:p>
    <w:p w14:paraId="5EFAD086" w14:textId="66C3735B" w:rsidR="006D256B" w:rsidRDefault="3203B631" w:rsidP="6E3AA9BD">
      <w:pPr>
        <w:spacing w:after="0" w:line="480" w:lineRule="auto"/>
      </w:pPr>
      <w:r>
        <w:rPr>
          <w:noProof/>
        </w:rPr>
        <w:drawing>
          <wp:inline distT="0" distB="0" distL="0" distR="0" wp14:anchorId="286D09EC" wp14:editId="1319624E">
            <wp:extent cx="5903931" cy="2417662"/>
            <wp:effectExtent l="0" t="0" r="1905" b="1905"/>
            <wp:docPr id="1982645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903931" cy="2417662"/>
                    </a:xfrm>
                    <a:prstGeom prst="rect">
                      <a:avLst/>
                    </a:prstGeom>
                    <a:noFill/>
                    <a:ln w="9525">
                      <a:noFill/>
                      <a:prstDash val="solid"/>
                    </a:ln>
                  </pic:spPr>
                </pic:pic>
              </a:graphicData>
            </a:graphic>
          </wp:inline>
        </w:drawing>
      </w:r>
      <w:r>
        <w:rPr>
          <w:noProof/>
        </w:rPr>
        <w:drawing>
          <wp:inline distT="0" distB="0" distL="0" distR="0" wp14:anchorId="3EAA11CC" wp14:editId="47B40EE7">
            <wp:extent cx="5943600" cy="2105025"/>
            <wp:effectExtent l="0" t="0" r="0" b="0"/>
            <wp:docPr id="12469363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936346"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105025"/>
                    </a:xfrm>
                    <a:prstGeom prst="rect">
                      <a:avLst/>
                    </a:prstGeom>
                  </pic:spPr>
                </pic:pic>
              </a:graphicData>
            </a:graphic>
          </wp:inline>
        </w:drawing>
      </w:r>
    </w:p>
    <w:p w14:paraId="4C85F0D6" w14:textId="77777777" w:rsidR="006D256B" w:rsidRDefault="006D256B" w:rsidP="00892812">
      <w:pPr>
        <w:spacing w:after="0" w:line="480" w:lineRule="auto"/>
        <w:rPr>
          <w:rFonts w:ascii="Times New Roman" w:hAnsi="Times New Roman" w:cs="Times New Roman"/>
          <w:sz w:val="24"/>
          <w:szCs w:val="24"/>
        </w:rPr>
      </w:pPr>
    </w:p>
    <w:p w14:paraId="2BC15F89" w14:textId="7EBABB26" w:rsidR="006D256B" w:rsidRDefault="006D256B" w:rsidP="00892812">
      <w:pPr>
        <w:spacing w:after="0" w:line="480" w:lineRule="auto"/>
        <w:rPr>
          <w:rFonts w:ascii="Times New Roman" w:hAnsi="Times New Roman" w:cs="Times New Roman"/>
          <w:sz w:val="24"/>
          <w:szCs w:val="24"/>
        </w:rPr>
      </w:pPr>
    </w:p>
    <w:p w14:paraId="59F7E1CB" w14:textId="233D4780" w:rsidR="6E3AA9BD" w:rsidRDefault="6E3AA9BD" w:rsidP="6E3AA9BD">
      <w:pPr>
        <w:spacing w:after="0" w:line="480" w:lineRule="auto"/>
        <w:jc w:val="center"/>
        <w:rPr>
          <w:rFonts w:ascii="Times New Roman" w:hAnsi="Times New Roman" w:cs="Times New Roman"/>
          <w:b/>
          <w:bCs/>
          <w:sz w:val="24"/>
          <w:szCs w:val="24"/>
        </w:rPr>
      </w:pPr>
    </w:p>
    <w:p w14:paraId="695CC19E" w14:textId="47C182DD" w:rsidR="6E3AA9BD" w:rsidRDefault="6E3AA9BD" w:rsidP="6E3AA9BD">
      <w:pPr>
        <w:spacing w:after="0" w:line="480" w:lineRule="auto"/>
        <w:jc w:val="center"/>
        <w:rPr>
          <w:rFonts w:ascii="Times New Roman" w:hAnsi="Times New Roman" w:cs="Times New Roman"/>
          <w:b/>
          <w:bCs/>
          <w:sz w:val="24"/>
          <w:szCs w:val="24"/>
        </w:rPr>
      </w:pPr>
    </w:p>
    <w:p w14:paraId="7533822A" w14:textId="76925E7A" w:rsidR="6E3AA9BD" w:rsidRDefault="6E3AA9BD" w:rsidP="6E3AA9BD">
      <w:pPr>
        <w:spacing w:after="0" w:line="480" w:lineRule="auto"/>
        <w:jc w:val="center"/>
        <w:rPr>
          <w:rFonts w:ascii="Times New Roman" w:hAnsi="Times New Roman" w:cs="Times New Roman"/>
          <w:b/>
          <w:bCs/>
          <w:sz w:val="24"/>
          <w:szCs w:val="24"/>
        </w:rPr>
      </w:pPr>
    </w:p>
    <w:p w14:paraId="50474BF2" w14:textId="3F5D1147" w:rsidR="6E3AA9BD" w:rsidRDefault="6E3AA9BD" w:rsidP="6E3AA9BD">
      <w:pPr>
        <w:spacing w:after="0" w:line="480" w:lineRule="auto"/>
        <w:jc w:val="center"/>
        <w:rPr>
          <w:rFonts w:ascii="Times New Roman" w:hAnsi="Times New Roman" w:cs="Times New Roman"/>
          <w:b/>
          <w:bCs/>
          <w:sz w:val="24"/>
          <w:szCs w:val="24"/>
        </w:rPr>
      </w:pPr>
    </w:p>
    <w:p w14:paraId="3F9590D8" w14:textId="77777777" w:rsidR="00865792" w:rsidRDefault="00865792" w:rsidP="6E3AA9BD">
      <w:pPr>
        <w:spacing w:after="0" w:line="480" w:lineRule="auto"/>
        <w:jc w:val="center"/>
        <w:rPr>
          <w:rFonts w:ascii="Times New Roman" w:hAnsi="Times New Roman" w:cs="Times New Roman"/>
          <w:b/>
          <w:bCs/>
          <w:sz w:val="24"/>
          <w:szCs w:val="24"/>
        </w:rPr>
      </w:pPr>
    </w:p>
    <w:p w14:paraId="7A9F38D5" w14:textId="77777777" w:rsidR="00865792" w:rsidRDefault="00865792" w:rsidP="6E3AA9BD">
      <w:pPr>
        <w:spacing w:after="0" w:line="480" w:lineRule="auto"/>
        <w:jc w:val="center"/>
        <w:rPr>
          <w:rFonts w:ascii="Times New Roman" w:hAnsi="Times New Roman" w:cs="Times New Roman"/>
          <w:b/>
          <w:bCs/>
          <w:sz w:val="24"/>
          <w:szCs w:val="24"/>
        </w:rPr>
      </w:pPr>
    </w:p>
    <w:p w14:paraId="69142CAE" w14:textId="37244396" w:rsidR="006D256B" w:rsidRDefault="006D256B" w:rsidP="006D256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38988289" w14:textId="05C98619" w:rsidR="006D256B" w:rsidRDefault="003457DF" w:rsidP="003457DF">
      <w:pPr>
        <w:spacing w:after="0" w:line="480" w:lineRule="auto"/>
        <w:ind w:left="720" w:hanging="720"/>
        <w:rPr>
          <w:rFonts w:ascii="Times New Roman" w:hAnsi="Times New Roman" w:cs="Times New Roman"/>
          <w:sz w:val="24"/>
          <w:szCs w:val="24"/>
        </w:rPr>
      </w:pPr>
      <w:r w:rsidRPr="003457DF">
        <w:rPr>
          <w:rFonts w:ascii="Times New Roman" w:hAnsi="Times New Roman" w:cs="Times New Roman"/>
          <w:sz w:val="24"/>
          <w:szCs w:val="24"/>
        </w:rPr>
        <w:t xml:space="preserve">Mackinnon, S., Curtis, R., &amp; O'Connor, R. (2022). A tutorial in longitudinal measurement invariance and cross-lagged panel models using lavaan. </w:t>
      </w:r>
      <w:r w:rsidRPr="003457DF">
        <w:rPr>
          <w:rFonts w:ascii="Times New Roman" w:hAnsi="Times New Roman" w:cs="Times New Roman"/>
          <w:i/>
          <w:iCs/>
          <w:sz w:val="24"/>
          <w:szCs w:val="24"/>
        </w:rPr>
        <w:t>Meta-Psychology, 6</w:t>
      </w:r>
      <w:r w:rsidRPr="003457DF">
        <w:rPr>
          <w:rFonts w:ascii="Times New Roman" w:hAnsi="Times New Roman" w:cs="Times New Roman"/>
          <w:sz w:val="24"/>
          <w:szCs w:val="24"/>
        </w:rPr>
        <w:t xml:space="preserve">. </w:t>
      </w:r>
      <w:r w:rsidR="00C405A9">
        <w:rPr>
          <w:rFonts w:ascii="Times New Roman" w:hAnsi="Times New Roman" w:cs="Times New Roman"/>
          <w:sz w:val="24"/>
          <w:szCs w:val="24"/>
        </w:rPr>
        <w:t>https://doi.org/10.15626/MP.2020.2595</w:t>
      </w:r>
    </w:p>
    <w:p w14:paraId="45D35518" w14:textId="153E170B" w:rsidR="00C405A9" w:rsidRDefault="00C405A9" w:rsidP="00C405A9">
      <w:pPr>
        <w:spacing w:after="0" w:line="480" w:lineRule="auto"/>
        <w:ind w:left="720" w:hanging="720"/>
        <w:rPr>
          <w:rFonts w:ascii="Times New Roman" w:hAnsi="Times New Roman" w:cs="Times New Roman"/>
          <w:sz w:val="24"/>
          <w:szCs w:val="24"/>
        </w:rPr>
      </w:pPr>
      <w:r w:rsidRPr="007D1AC2">
        <w:rPr>
          <w:rFonts w:ascii="Times New Roman" w:hAnsi="Times New Roman" w:cs="Times New Roman"/>
          <w:sz w:val="24"/>
          <w:szCs w:val="24"/>
        </w:rPr>
        <w:t>Rosseel</w:t>
      </w:r>
      <w:r>
        <w:rPr>
          <w:rFonts w:ascii="Times New Roman" w:hAnsi="Times New Roman" w:cs="Times New Roman"/>
          <w:sz w:val="24"/>
          <w:szCs w:val="24"/>
        </w:rPr>
        <w:t>,</w:t>
      </w:r>
      <w:r w:rsidRPr="007D1AC2">
        <w:rPr>
          <w:rFonts w:ascii="Times New Roman" w:hAnsi="Times New Roman" w:cs="Times New Roman"/>
          <w:sz w:val="24"/>
          <w:szCs w:val="24"/>
        </w:rPr>
        <w:t xml:space="preserve"> Y</w:t>
      </w:r>
      <w:r>
        <w:rPr>
          <w:rFonts w:ascii="Times New Roman" w:hAnsi="Times New Roman" w:cs="Times New Roman"/>
          <w:sz w:val="24"/>
          <w:szCs w:val="24"/>
        </w:rPr>
        <w:t>.</w:t>
      </w:r>
      <w:r w:rsidRPr="007D1AC2">
        <w:rPr>
          <w:rFonts w:ascii="Times New Roman" w:hAnsi="Times New Roman" w:cs="Times New Roman"/>
          <w:sz w:val="24"/>
          <w:szCs w:val="24"/>
        </w:rPr>
        <w:t xml:space="preserve"> (2012). lavaan: An R Package for Structural Equation Modeling. </w:t>
      </w:r>
      <w:r w:rsidRPr="007D1AC2">
        <w:rPr>
          <w:rFonts w:ascii="Times New Roman" w:hAnsi="Times New Roman" w:cs="Times New Roman"/>
          <w:i/>
          <w:iCs/>
          <w:sz w:val="24"/>
          <w:szCs w:val="24"/>
        </w:rPr>
        <w:t>Journal of Statistical Software, 48</w:t>
      </w:r>
      <w:r w:rsidRPr="007D1AC2">
        <w:rPr>
          <w:rFonts w:ascii="Times New Roman" w:hAnsi="Times New Roman" w:cs="Times New Roman"/>
          <w:sz w:val="24"/>
          <w:szCs w:val="24"/>
        </w:rPr>
        <w:t xml:space="preserve">(2), 1–36. </w:t>
      </w:r>
      <w:r>
        <w:rPr>
          <w:rFonts w:ascii="Times New Roman" w:hAnsi="Times New Roman" w:cs="Times New Roman"/>
          <w:sz w:val="24"/>
          <w:szCs w:val="24"/>
        </w:rPr>
        <w:t>https://doi.org/10.18637/jss.v048.i02</w:t>
      </w:r>
    </w:p>
    <w:p w14:paraId="6010BA61" w14:textId="2FF3B66D" w:rsidR="00C405A9" w:rsidRPr="006D256B" w:rsidRDefault="00C405A9" w:rsidP="003457DF">
      <w:pPr>
        <w:spacing w:after="0" w:line="480" w:lineRule="auto"/>
        <w:ind w:left="720" w:hanging="720"/>
        <w:rPr>
          <w:rFonts w:ascii="Times New Roman" w:hAnsi="Times New Roman" w:cs="Times New Roman"/>
          <w:sz w:val="24"/>
          <w:szCs w:val="24"/>
        </w:rPr>
      </w:pPr>
    </w:p>
    <w:sectPr w:rsidR="00C405A9" w:rsidRPr="006D25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2F"/>
    <w:rsid w:val="00003E15"/>
    <w:rsid w:val="0001218A"/>
    <w:rsid w:val="000219CB"/>
    <w:rsid w:val="0002505D"/>
    <w:rsid w:val="00032608"/>
    <w:rsid w:val="000550FF"/>
    <w:rsid w:val="000723A7"/>
    <w:rsid w:val="00077963"/>
    <w:rsid w:val="000801C1"/>
    <w:rsid w:val="00091DF9"/>
    <w:rsid w:val="00091E2F"/>
    <w:rsid w:val="000A1B16"/>
    <w:rsid w:val="000A2A71"/>
    <w:rsid w:val="000C4BDA"/>
    <w:rsid w:val="000C55DB"/>
    <w:rsid w:val="000C6D5A"/>
    <w:rsid w:val="000C7D15"/>
    <w:rsid w:val="000E4731"/>
    <w:rsid w:val="000F1B48"/>
    <w:rsid w:val="001060C7"/>
    <w:rsid w:val="00127DAA"/>
    <w:rsid w:val="001617B9"/>
    <w:rsid w:val="001625D0"/>
    <w:rsid w:val="001660CA"/>
    <w:rsid w:val="00171C9F"/>
    <w:rsid w:val="00194377"/>
    <w:rsid w:val="001A0C21"/>
    <w:rsid w:val="001C1C47"/>
    <w:rsid w:val="001D0D2C"/>
    <w:rsid w:val="001D4BDF"/>
    <w:rsid w:val="001E5CE4"/>
    <w:rsid w:val="001F373F"/>
    <w:rsid w:val="001F45F6"/>
    <w:rsid w:val="00206E56"/>
    <w:rsid w:val="00220C31"/>
    <w:rsid w:val="00232E2B"/>
    <w:rsid w:val="002544F0"/>
    <w:rsid w:val="00264CE3"/>
    <w:rsid w:val="00294FB8"/>
    <w:rsid w:val="00295BF9"/>
    <w:rsid w:val="002A61CB"/>
    <w:rsid w:val="002C7F27"/>
    <w:rsid w:val="002D4A94"/>
    <w:rsid w:val="002D4E5B"/>
    <w:rsid w:val="002E62D3"/>
    <w:rsid w:val="003457DF"/>
    <w:rsid w:val="00355B22"/>
    <w:rsid w:val="003803E3"/>
    <w:rsid w:val="00387900"/>
    <w:rsid w:val="003A045B"/>
    <w:rsid w:val="003A2919"/>
    <w:rsid w:val="003A6144"/>
    <w:rsid w:val="003A6D24"/>
    <w:rsid w:val="003C1B1D"/>
    <w:rsid w:val="003C365C"/>
    <w:rsid w:val="003C622A"/>
    <w:rsid w:val="003D067B"/>
    <w:rsid w:val="003E53CE"/>
    <w:rsid w:val="003E681E"/>
    <w:rsid w:val="003F3AF5"/>
    <w:rsid w:val="003F6554"/>
    <w:rsid w:val="003F77F0"/>
    <w:rsid w:val="0040013D"/>
    <w:rsid w:val="004067C5"/>
    <w:rsid w:val="0042485F"/>
    <w:rsid w:val="00430D98"/>
    <w:rsid w:val="004670A2"/>
    <w:rsid w:val="00467434"/>
    <w:rsid w:val="004727AF"/>
    <w:rsid w:val="004946D5"/>
    <w:rsid w:val="004A0F7C"/>
    <w:rsid w:val="004B11EE"/>
    <w:rsid w:val="004D245E"/>
    <w:rsid w:val="004E7160"/>
    <w:rsid w:val="004F6820"/>
    <w:rsid w:val="00510973"/>
    <w:rsid w:val="00512061"/>
    <w:rsid w:val="0053363A"/>
    <w:rsid w:val="00534148"/>
    <w:rsid w:val="00542D02"/>
    <w:rsid w:val="005557BD"/>
    <w:rsid w:val="005632CE"/>
    <w:rsid w:val="00587F5F"/>
    <w:rsid w:val="00595A9B"/>
    <w:rsid w:val="005C1EC4"/>
    <w:rsid w:val="005C35FF"/>
    <w:rsid w:val="005E0203"/>
    <w:rsid w:val="005E5E32"/>
    <w:rsid w:val="005E7859"/>
    <w:rsid w:val="006030D1"/>
    <w:rsid w:val="00611F52"/>
    <w:rsid w:val="0063333C"/>
    <w:rsid w:val="00640597"/>
    <w:rsid w:val="00654ADA"/>
    <w:rsid w:val="00674491"/>
    <w:rsid w:val="00684E52"/>
    <w:rsid w:val="006D256B"/>
    <w:rsid w:val="006F0626"/>
    <w:rsid w:val="006F3AA2"/>
    <w:rsid w:val="00710743"/>
    <w:rsid w:val="007109E7"/>
    <w:rsid w:val="007207BF"/>
    <w:rsid w:val="00721196"/>
    <w:rsid w:val="0074415A"/>
    <w:rsid w:val="007462A3"/>
    <w:rsid w:val="00777033"/>
    <w:rsid w:val="00787716"/>
    <w:rsid w:val="00795888"/>
    <w:rsid w:val="00795D35"/>
    <w:rsid w:val="007B754D"/>
    <w:rsid w:val="007E003C"/>
    <w:rsid w:val="007E2CEC"/>
    <w:rsid w:val="007E43F3"/>
    <w:rsid w:val="007E5BBC"/>
    <w:rsid w:val="007E76EF"/>
    <w:rsid w:val="008033BA"/>
    <w:rsid w:val="00815C58"/>
    <w:rsid w:val="008248BC"/>
    <w:rsid w:val="008303F0"/>
    <w:rsid w:val="00837C5C"/>
    <w:rsid w:val="00865792"/>
    <w:rsid w:val="00880D7F"/>
    <w:rsid w:val="0088435D"/>
    <w:rsid w:val="008858DA"/>
    <w:rsid w:val="00892812"/>
    <w:rsid w:val="008A1125"/>
    <w:rsid w:val="008C2894"/>
    <w:rsid w:val="008D2BC1"/>
    <w:rsid w:val="008D9625"/>
    <w:rsid w:val="008E5374"/>
    <w:rsid w:val="008E6531"/>
    <w:rsid w:val="00907F27"/>
    <w:rsid w:val="00913A2A"/>
    <w:rsid w:val="00913A61"/>
    <w:rsid w:val="00921CD3"/>
    <w:rsid w:val="00921FFE"/>
    <w:rsid w:val="00925942"/>
    <w:rsid w:val="00926615"/>
    <w:rsid w:val="009345B2"/>
    <w:rsid w:val="0094166C"/>
    <w:rsid w:val="00951103"/>
    <w:rsid w:val="00967088"/>
    <w:rsid w:val="009676EF"/>
    <w:rsid w:val="0097588C"/>
    <w:rsid w:val="00982D18"/>
    <w:rsid w:val="009836F7"/>
    <w:rsid w:val="00991BAE"/>
    <w:rsid w:val="0099233C"/>
    <w:rsid w:val="009A76D6"/>
    <w:rsid w:val="009B4A62"/>
    <w:rsid w:val="009B5750"/>
    <w:rsid w:val="009B690A"/>
    <w:rsid w:val="009C041E"/>
    <w:rsid w:val="009C6434"/>
    <w:rsid w:val="009E5F70"/>
    <w:rsid w:val="00A0158D"/>
    <w:rsid w:val="00A03856"/>
    <w:rsid w:val="00A131A8"/>
    <w:rsid w:val="00A3550D"/>
    <w:rsid w:val="00A40C2B"/>
    <w:rsid w:val="00A4142B"/>
    <w:rsid w:val="00A504D0"/>
    <w:rsid w:val="00A51AEF"/>
    <w:rsid w:val="00A776A5"/>
    <w:rsid w:val="00A80990"/>
    <w:rsid w:val="00A84D0D"/>
    <w:rsid w:val="00A96765"/>
    <w:rsid w:val="00A96812"/>
    <w:rsid w:val="00AC4618"/>
    <w:rsid w:val="00AC54A4"/>
    <w:rsid w:val="00AD63D2"/>
    <w:rsid w:val="00AD74CB"/>
    <w:rsid w:val="00AE3F81"/>
    <w:rsid w:val="00B217BF"/>
    <w:rsid w:val="00B22A59"/>
    <w:rsid w:val="00B23031"/>
    <w:rsid w:val="00B46F38"/>
    <w:rsid w:val="00B60BE3"/>
    <w:rsid w:val="00B74AA1"/>
    <w:rsid w:val="00B9641F"/>
    <w:rsid w:val="00BA5860"/>
    <w:rsid w:val="00BB14E1"/>
    <w:rsid w:val="00BB698F"/>
    <w:rsid w:val="00BD0482"/>
    <w:rsid w:val="00BD2E7A"/>
    <w:rsid w:val="00C136CD"/>
    <w:rsid w:val="00C24799"/>
    <w:rsid w:val="00C3362D"/>
    <w:rsid w:val="00C405A9"/>
    <w:rsid w:val="00C406A5"/>
    <w:rsid w:val="00C413A5"/>
    <w:rsid w:val="00C655C1"/>
    <w:rsid w:val="00C74537"/>
    <w:rsid w:val="00C8227F"/>
    <w:rsid w:val="00C91040"/>
    <w:rsid w:val="00C91567"/>
    <w:rsid w:val="00C96B66"/>
    <w:rsid w:val="00CD4DBF"/>
    <w:rsid w:val="00CD503F"/>
    <w:rsid w:val="00D0164B"/>
    <w:rsid w:val="00D02F9E"/>
    <w:rsid w:val="00D10A4C"/>
    <w:rsid w:val="00D2652E"/>
    <w:rsid w:val="00D33514"/>
    <w:rsid w:val="00D779AA"/>
    <w:rsid w:val="00D81076"/>
    <w:rsid w:val="00DA26CA"/>
    <w:rsid w:val="00DA55CC"/>
    <w:rsid w:val="00DA63F3"/>
    <w:rsid w:val="00DB4EBD"/>
    <w:rsid w:val="00DC112B"/>
    <w:rsid w:val="00DC144E"/>
    <w:rsid w:val="00DC4598"/>
    <w:rsid w:val="00E144F4"/>
    <w:rsid w:val="00E36114"/>
    <w:rsid w:val="00E5159E"/>
    <w:rsid w:val="00E6280D"/>
    <w:rsid w:val="00E66ED9"/>
    <w:rsid w:val="00E70527"/>
    <w:rsid w:val="00E83112"/>
    <w:rsid w:val="00E90B13"/>
    <w:rsid w:val="00E93418"/>
    <w:rsid w:val="00EA0551"/>
    <w:rsid w:val="00EB192F"/>
    <w:rsid w:val="00EB2069"/>
    <w:rsid w:val="00EB4E40"/>
    <w:rsid w:val="00EE463E"/>
    <w:rsid w:val="00F21279"/>
    <w:rsid w:val="00F21FC3"/>
    <w:rsid w:val="00F22ECC"/>
    <w:rsid w:val="00F433A5"/>
    <w:rsid w:val="00F4459A"/>
    <w:rsid w:val="00F50B74"/>
    <w:rsid w:val="00F6563E"/>
    <w:rsid w:val="00F7754F"/>
    <w:rsid w:val="00F9031E"/>
    <w:rsid w:val="00FA2092"/>
    <w:rsid w:val="00FA50FC"/>
    <w:rsid w:val="00FA54CC"/>
    <w:rsid w:val="00FC4AB3"/>
    <w:rsid w:val="00FD6109"/>
    <w:rsid w:val="00FF6857"/>
    <w:rsid w:val="02165F30"/>
    <w:rsid w:val="05D65D0E"/>
    <w:rsid w:val="07338C1D"/>
    <w:rsid w:val="0A5B633C"/>
    <w:rsid w:val="0AB0C4CA"/>
    <w:rsid w:val="0CC1B036"/>
    <w:rsid w:val="0D50C681"/>
    <w:rsid w:val="100779B9"/>
    <w:rsid w:val="10F84C1E"/>
    <w:rsid w:val="14CBB287"/>
    <w:rsid w:val="1507D69D"/>
    <w:rsid w:val="168D621F"/>
    <w:rsid w:val="16E2130D"/>
    <w:rsid w:val="170438CF"/>
    <w:rsid w:val="1773198D"/>
    <w:rsid w:val="17A42539"/>
    <w:rsid w:val="1822BA80"/>
    <w:rsid w:val="1828BC2B"/>
    <w:rsid w:val="19D6C16A"/>
    <w:rsid w:val="19FFCA99"/>
    <w:rsid w:val="1AACCD18"/>
    <w:rsid w:val="1D8AA804"/>
    <w:rsid w:val="20598662"/>
    <w:rsid w:val="219E96D1"/>
    <w:rsid w:val="234DE5AA"/>
    <w:rsid w:val="24D7B4E0"/>
    <w:rsid w:val="26617B89"/>
    <w:rsid w:val="26A0FE60"/>
    <w:rsid w:val="276BB236"/>
    <w:rsid w:val="27A7FB93"/>
    <w:rsid w:val="29DB7411"/>
    <w:rsid w:val="2ACF789F"/>
    <w:rsid w:val="2B0C4100"/>
    <w:rsid w:val="2BAF3971"/>
    <w:rsid w:val="30C601FE"/>
    <w:rsid w:val="31AF7A2A"/>
    <w:rsid w:val="3203B631"/>
    <w:rsid w:val="3369309D"/>
    <w:rsid w:val="33FC269E"/>
    <w:rsid w:val="34E6DDEA"/>
    <w:rsid w:val="3900D0D7"/>
    <w:rsid w:val="397BC26C"/>
    <w:rsid w:val="3A8ADB40"/>
    <w:rsid w:val="3AE1C848"/>
    <w:rsid w:val="3C52F893"/>
    <w:rsid w:val="3DAC2EAE"/>
    <w:rsid w:val="3FC2C34B"/>
    <w:rsid w:val="42FA4927"/>
    <w:rsid w:val="4375500A"/>
    <w:rsid w:val="473C29A2"/>
    <w:rsid w:val="47E6BC1C"/>
    <w:rsid w:val="4873EF0D"/>
    <w:rsid w:val="493B5EF5"/>
    <w:rsid w:val="49BC7917"/>
    <w:rsid w:val="49F7767C"/>
    <w:rsid w:val="4B9A222E"/>
    <w:rsid w:val="4BA5FECD"/>
    <w:rsid w:val="4CEF0136"/>
    <w:rsid w:val="4DBE988B"/>
    <w:rsid w:val="51EA25EF"/>
    <w:rsid w:val="52F6D9A3"/>
    <w:rsid w:val="53B5E3A2"/>
    <w:rsid w:val="564797C4"/>
    <w:rsid w:val="57C0D98A"/>
    <w:rsid w:val="580B0CB1"/>
    <w:rsid w:val="58834C1A"/>
    <w:rsid w:val="59AA5056"/>
    <w:rsid w:val="59E3E919"/>
    <w:rsid w:val="5BDDE4DD"/>
    <w:rsid w:val="5C6FA3D1"/>
    <w:rsid w:val="5CAA7560"/>
    <w:rsid w:val="5CC84E0B"/>
    <w:rsid w:val="5D6FC654"/>
    <w:rsid w:val="5DFBFA69"/>
    <w:rsid w:val="5F539684"/>
    <w:rsid w:val="5FEA6CA4"/>
    <w:rsid w:val="620538A6"/>
    <w:rsid w:val="64B29900"/>
    <w:rsid w:val="64D77667"/>
    <w:rsid w:val="6854E5C0"/>
    <w:rsid w:val="696C91A7"/>
    <w:rsid w:val="6A87263B"/>
    <w:rsid w:val="6C360AA4"/>
    <w:rsid w:val="6CBA7DF3"/>
    <w:rsid w:val="6E3AA9BD"/>
    <w:rsid w:val="6F4D017D"/>
    <w:rsid w:val="7031C04F"/>
    <w:rsid w:val="75B2659D"/>
    <w:rsid w:val="76859F00"/>
    <w:rsid w:val="799B6A86"/>
    <w:rsid w:val="7DCC3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743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E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E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E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E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E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E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E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E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E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E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E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E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E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E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E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E2F"/>
    <w:rPr>
      <w:rFonts w:eastAsiaTheme="majorEastAsia" w:cstheme="majorBidi"/>
      <w:color w:val="272727" w:themeColor="text1" w:themeTint="D8"/>
    </w:rPr>
  </w:style>
  <w:style w:type="paragraph" w:styleId="Title">
    <w:name w:val="Title"/>
    <w:basedOn w:val="Normal"/>
    <w:next w:val="Normal"/>
    <w:link w:val="TitleChar"/>
    <w:uiPriority w:val="10"/>
    <w:qFormat/>
    <w:rsid w:val="00091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E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E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E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E2F"/>
    <w:pPr>
      <w:spacing w:before="160"/>
      <w:jc w:val="center"/>
    </w:pPr>
    <w:rPr>
      <w:i/>
      <w:iCs/>
      <w:color w:val="404040" w:themeColor="text1" w:themeTint="BF"/>
    </w:rPr>
  </w:style>
  <w:style w:type="character" w:customStyle="1" w:styleId="QuoteChar">
    <w:name w:val="Quote Char"/>
    <w:basedOn w:val="DefaultParagraphFont"/>
    <w:link w:val="Quote"/>
    <w:uiPriority w:val="29"/>
    <w:rsid w:val="00091E2F"/>
    <w:rPr>
      <w:i/>
      <w:iCs/>
      <w:color w:val="404040" w:themeColor="text1" w:themeTint="BF"/>
    </w:rPr>
  </w:style>
  <w:style w:type="paragraph" w:styleId="ListParagraph">
    <w:name w:val="List Paragraph"/>
    <w:basedOn w:val="Normal"/>
    <w:uiPriority w:val="34"/>
    <w:qFormat/>
    <w:rsid w:val="00091E2F"/>
    <w:pPr>
      <w:ind w:left="720"/>
      <w:contextualSpacing/>
    </w:pPr>
  </w:style>
  <w:style w:type="character" w:styleId="IntenseEmphasis">
    <w:name w:val="Intense Emphasis"/>
    <w:basedOn w:val="DefaultParagraphFont"/>
    <w:uiPriority w:val="21"/>
    <w:qFormat/>
    <w:rsid w:val="00091E2F"/>
    <w:rPr>
      <w:i/>
      <w:iCs/>
      <w:color w:val="0F4761" w:themeColor="accent1" w:themeShade="BF"/>
    </w:rPr>
  </w:style>
  <w:style w:type="paragraph" w:styleId="IntenseQuote">
    <w:name w:val="Intense Quote"/>
    <w:basedOn w:val="Normal"/>
    <w:next w:val="Normal"/>
    <w:link w:val="IntenseQuoteChar"/>
    <w:uiPriority w:val="30"/>
    <w:qFormat/>
    <w:rsid w:val="00091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E2F"/>
    <w:rPr>
      <w:i/>
      <w:iCs/>
      <w:color w:val="0F4761" w:themeColor="accent1" w:themeShade="BF"/>
    </w:rPr>
  </w:style>
  <w:style w:type="character" w:styleId="IntenseReference">
    <w:name w:val="Intense Reference"/>
    <w:basedOn w:val="DefaultParagraphFont"/>
    <w:uiPriority w:val="32"/>
    <w:qFormat/>
    <w:rsid w:val="00091E2F"/>
    <w:rPr>
      <w:b/>
      <w:bCs/>
      <w:smallCaps/>
      <w:color w:val="0F4761" w:themeColor="accent1" w:themeShade="BF"/>
      <w:spacing w:val="5"/>
    </w:rPr>
  </w:style>
  <w:style w:type="table" w:styleId="TableGrid">
    <w:name w:val="Table Grid"/>
    <w:basedOn w:val="TableNormal"/>
    <w:uiPriority w:val="39"/>
    <w:rsid w:val="00603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62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E6280D"/>
    <w:rPr>
      <w:rFonts w:ascii="Courier New" w:eastAsia="Times New Roman" w:hAnsi="Courier New" w:cs="Courier New"/>
      <w:kern w:val="0"/>
      <w:sz w:val="20"/>
      <w:szCs w:val="20"/>
      <w14:ligatures w14:val="none"/>
    </w:rPr>
  </w:style>
  <w:style w:type="character" w:customStyle="1" w:styleId="gntyacmbo3b">
    <w:name w:val="gntyacmbo3b"/>
    <w:basedOn w:val="DefaultParagraphFont"/>
    <w:rsid w:val="00E6280D"/>
  </w:style>
  <w:style w:type="character" w:styleId="Hyperlink">
    <w:name w:val="Hyperlink"/>
    <w:basedOn w:val="DefaultParagraphFont"/>
    <w:uiPriority w:val="99"/>
    <w:unhideWhenUsed/>
    <w:rsid w:val="00C405A9"/>
    <w:rPr>
      <w:color w:val="467886" w:themeColor="hyperlink"/>
      <w:u w:val="single"/>
    </w:rPr>
  </w:style>
  <w:style w:type="character" w:styleId="UnresolvedMention">
    <w:name w:val="Unresolved Mention"/>
    <w:basedOn w:val="DefaultParagraphFont"/>
    <w:uiPriority w:val="99"/>
    <w:semiHidden/>
    <w:unhideWhenUsed/>
    <w:rsid w:val="00C405A9"/>
    <w:rPr>
      <w:color w:val="605E5C"/>
      <w:shd w:val="clear" w:color="auto" w:fill="E1DFDD"/>
    </w:rPr>
  </w:style>
  <w:style w:type="character" w:styleId="CommentReference">
    <w:name w:val="annotation reference"/>
    <w:basedOn w:val="DefaultParagraphFont"/>
    <w:uiPriority w:val="99"/>
    <w:semiHidden/>
    <w:unhideWhenUsed/>
    <w:rsid w:val="009C041E"/>
    <w:rPr>
      <w:sz w:val="16"/>
      <w:szCs w:val="16"/>
    </w:rPr>
  </w:style>
  <w:style w:type="paragraph" w:styleId="CommentText">
    <w:name w:val="annotation text"/>
    <w:basedOn w:val="Normal"/>
    <w:link w:val="CommentTextChar"/>
    <w:uiPriority w:val="99"/>
    <w:unhideWhenUsed/>
    <w:rsid w:val="009C041E"/>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C041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77963"/>
    <w:rPr>
      <w:b/>
      <w:bCs/>
      <w:kern w:val="2"/>
      <w14:ligatures w14:val="standardContextual"/>
    </w:rPr>
  </w:style>
  <w:style w:type="character" w:customStyle="1" w:styleId="CommentSubjectChar">
    <w:name w:val="Comment Subject Char"/>
    <w:basedOn w:val="CommentTextChar"/>
    <w:link w:val="CommentSubject"/>
    <w:uiPriority w:val="99"/>
    <w:semiHidden/>
    <w:rsid w:val="00077963"/>
    <w:rPr>
      <w:b/>
      <w:bCs/>
      <w:kern w:val="0"/>
      <w:sz w:val="20"/>
      <w:szCs w:val="20"/>
      <w14:ligatures w14:val="none"/>
    </w:rPr>
  </w:style>
  <w:style w:type="paragraph" w:styleId="Revision">
    <w:name w:val="Revision"/>
    <w:hidden/>
    <w:uiPriority w:val="99"/>
    <w:semiHidden/>
    <w:rsid w:val="000779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46221">
      <w:bodyDiv w:val="1"/>
      <w:marLeft w:val="0"/>
      <w:marRight w:val="0"/>
      <w:marTop w:val="0"/>
      <w:marBottom w:val="0"/>
      <w:divBdr>
        <w:top w:val="none" w:sz="0" w:space="0" w:color="auto"/>
        <w:left w:val="none" w:sz="0" w:space="0" w:color="auto"/>
        <w:bottom w:val="none" w:sz="0" w:space="0" w:color="auto"/>
        <w:right w:val="none" w:sz="0" w:space="0" w:color="auto"/>
      </w:divBdr>
    </w:div>
    <w:div w:id="500975399">
      <w:bodyDiv w:val="1"/>
      <w:marLeft w:val="0"/>
      <w:marRight w:val="0"/>
      <w:marTop w:val="0"/>
      <w:marBottom w:val="0"/>
      <w:divBdr>
        <w:top w:val="none" w:sz="0" w:space="0" w:color="auto"/>
        <w:left w:val="none" w:sz="0" w:space="0" w:color="auto"/>
        <w:bottom w:val="none" w:sz="0" w:space="0" w:color="auto"/>
        <w:right w:val="none" w:sz="0" w:space="0" w:color="auto"/>
      </w:divBdr>
    </w:div>
    <w:div w:id="823816233">
      <w:bodyDiv w:val="1"/>
      <w:marLeft w:val="0"/>
      <w:marRight w:val="0"/>
      <w:marTop w:val="0"/>
      <w:marBottom w:val="0"/>
      <w:divBdr>
        <w:top w:val="none" w:sz="0" w:space="0" w:color="auto"/>
        <w:left w:val="none" w:sz="0" w:space="0" w:color="auto"/>
        <w:bottom w:val="none" w:sz="0" w:space="0" w:color="auto"/>
        <w:right w:val="none" w:sz="0" w:space="0" w:color="auto"/>
      </w:divBdr>
    </w:div>
    <w:div w:id="858859602">
      <w:bodyDiv w:val="1"/>
      <w:marLeft w:val="0"/>
      <w:marRight w:val="0"/>
      <w:marTop w:val="0"/>
      <w:marBottom w:val="0"/>
      <w:divBdr>
        <w:top w:val="none" w:sz="0" w:space="0" w:color="auto"/>
        <w:left w:val="none" w:sz="0" w:space="0" w:color="auto"/>
        <w:bottom w:val="none" w:sz="0" w:space="0" w:color="auto"/>
        <w:right w:val="none" w:sz="0" w:space="0" w:color="auto"/>
      </w:divBdr>
    </w:div>
    <w:div w:id="174942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2025-12-16T18:28:00Z</dcterms:created>
  <dcterms:modified xsi:type="dcterms:W3CDTF">2025-12-16T18:29:00Z</dcterms:modified>
  <cp:category/>
</cp:coreProperties>
</file>