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FFCE" w14:textId="54977111" w:rsidR="00B21A57" w:rsidRDefault="00B21A57" w:rsidP="00B21A57">
      <w:pPr>
        <w:jc w:val="center"/>
        <w:rPr>
          <w:rFonts w:ascii="Times New Roman" w:hAnsi="Times New Roman" w:cs="Times New Roman"/>
        </w:rPr>
      </w:pPr>
      <w:r w:rsidRPr="00B21A57">
        <w:rPr>
          <w:rFonts w:ascii="Times New Roman" w:hAnsi="Times New Roman" w:cs="Times New Roman"/>
        </w:rPr>
        <w:t>Supplemental</w:t>
      </w:r>
      <w:r w:rsidR="00DB2906">
        <w:rPr>
          <w:rFonts w:ascii="Times New Roman" w:hAnsi="Times New Roman" w:cs="Times New Roman"/>
        </w:rPr>
        <w:t xml:space="preserve"> Materials</w:t>
      </w:r>
    </w:p>
    <w:p w14:paraId="3A07A311" w14:textId="0094E302" w:rsidR="00B21A57" w:rsidRPr="00376CD4" w:rsidRDefault="00052BCE" w:rsidP="00376CD4">
      <w:pPr>
        <w:spacing w:line="360" w:lineRule="auto"/>
        <w:rPr>
          <w:rFonts w:ascii="Times New Roman" w:hAnsi="Times New Roman" w:cs="Times New Roman"/>
          <w:b/>
          <w:bCs/>
        </w:rPr>
      </w:pPr>
      <w:r w:rsidRPr="00376CD4">
        <w:rPr>
          <w:rFonts w:ascii="Times New Roman" w:hAnsi="Times New Roman" w:cs="Times New Roman"/>
          <w:b/>
          <w:bCs/>
        </w:rPr>
        <w:t>Results based on 5-class solution for G1 CM</w:t>
      </w:r>
    </w:p>
    <w:p w14:paraId="3BAA4734" w14:textId="77777777" w:rsidR="00052BCE" w:rsidRPr="00052BCE" w:rsidRDefault="00052BCE" w:rsidP="00376CD4">
      <w:pPr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052BCE">
        <w:rPr>
          <w:rFonts w:ascii="Times New Roman" w:hAnsi="Times New Roman" w:cs="Times New Roman"/>
          <w:b/>
          <w:bCs/>
          <w:i/>
          <w:iCs/>
        </w:rPr>
        <w:t>Latent Class Analyses</w:t>
      </w:r>
    </w:p>
    <w:p w14:paraId="5BB53191" w14:textId="34738191" w:rsidR="00052BCE" w:rsidRDefault="00052BCE" w:rsidP="00376CD4">
      <w:pPr>
        <w:spacing w:line="360" w:lineRule="auto"/>
        <w:ind w:firstLine="720"/>
        <w:rPr>
          <w:rFonts w:ascii="Times New Roman" w:hAnsi="Times New Roman" w:cs="Times New Roman"/>
        </w:rPr>
      </w:pPr>
      <w:r w:rsidRPr="00052BCE">
        <w:rPr>
          <w:rFonts w:ascii="Times New Roman" w:hAnsi="Times New Roman" w:cs="Times New Roman"/>
        </w:rPr>
        <w:t xml:space="preserve">One to seven classes were fit for </w:t>
      </w:r>
      <w:r w:rsidR="00AA4D57">
        <w:rPr>
          <w:rFonts w:ascii="Times New Roman" w:hAnsi="Times New Roman" w:cs="Times New Roman"/>
        </w:rPr>
        <w:t>G1</w:t>
      </w:r>
      <w:r w:rsidRPr="00052BCE">
        <w:rPr>
          <w:rFonts w:ascii="Times New Roman" w:hAnsi="Times New Roman" w:cs="Times New Roman"/>
        </w:rPr>
        <w:t xml:space="preserve"> CM exposure. </w:t>
      </w:r>
      <w:r>
        <w:rPr>
          <w:rFonts w:ascii="Times New Roman" w:hAnsi="Times New Roman" w:cs="Times New Roman"/>
        </w:rPr>
        <w:t xml:space="preserve">As noted in the manuscript, both the 4-class and 5-class solutions were reasonable fits for the data based on information criteria indices. However, the 4-class solution was ultimately selected </w:t>
      </w:r>
      <w:r w:rsidRPr="00052BCE">
        <w:rPr>
          <w:rFonts w:ascii="Times New Roman" w:hAnsi="Times New Roman" w:cs="Times New Roman"/>
        </w:rPr>
        <w:t xml:space="preserve">because </w:t>
      </w:r>
      <w:r>
        <w:rPr>
          <w:rFonts w:ascii="Times New Roman" w:hAnsi="Times New Roman" w:cs="Times New Roman"/>
        </w:rPr>
        <w:t>it</w:t>
      </w:r>
      <w:r w:rsidRPr="00052BCE">
        <w:rPr>
          <w:rFonts w:ascii="Times New Roman" w:hAnsi="Times New Roman" w:cs="Times New Roman"/>
        </w:rPr>
        <w:t xml:space="preserve"> provided a more parsimonious and replicable class structure</w:t>
      </w:r>
      <w:r>
        <w:rPr>
          <w:rFonts w:ascii="Times New Roman" w:hAnsi="Times New Roman" w:cs="Times New Roman"/>
        </w:rPr>
        <w:t xml:space="preserve">. Although there are no explicit absolute thresholds for minimum class size, the general rule-of-thumb is that class solutions with classes representing less than 5% of the sample (or classes containing fewer than 50 cases) are less stable and reproducible (e.g., </w:t>
      </w:r>
      <w:r w:rsidR="005B2D73">
        <w:rPr>
          <w:rFonts w:ascii="Times New Roman" w:hAnsi="Times New Roman" w:cs="Times New Roman"/>
        </w:rPr>
        <w:t xml:space="preserve">Collins &amp; Lanza, 2010; Lanza &amp; Rhoades, 2013; Nylund et al., 2007; Weller et al., 2020). In our study, the 5-class solution yielded three classes at 10% or less, with the smallest class not meeting guidelines for minimum class size (3.96%, n = 31). We elected for the more conservative approach in the manuscript, but given the “edge” decision, we also present the study results for the 5-class solution, including a description of the five classes of G1 maternal CM exposure, as well as the crosstabulations testing the intergenerational associations between the five G1 classes and the four G2 classes. </w:t>
      </w:r>
    </w:p>
    <w:p w14:paraId="3768F491" w14:textId="79CD215D" w:rsidR="00B96611" w:rsidRDefault="00052BCE" w:rsidP="00376CD4">
      <w:pPr>
        <w:spacing w:line="360" w:lineRule="auto"/>
        <w:rPr>
          <w:rFonts w:ascii="Times New Roman" w:hAnsi="Times New Roman" w:cs="Times New Roman"/>
        </w:rPr>
      </w:pPr>
      <w:r w:rsidRPr="00052BCE">
        <w:rPr>
          <w:rFonts w:ascii="Times New Roman" w:hAnsi="Times New Roman" w:cs="Times New Roman"/>
        </w:rPr>
        <w:t xml:space="preserve">The </w:t>
      </w:r>
      <w:r w:rsidR="00B96611">
        <w:rPr>
          <w:rFonts w:ascii="Times New Roman" w:hAnsi="Times New Roman" w:cs="Times New Roman"/>
        </w:rPr>
        <w:t>5</w:t>
      </w:r>
      <w:r w:rsidRPr="00052BCE">
        <w:rPr>
          <w:rFonts w:ascii="Times New Roman" w:hAnsi="Times New Roman" w:cs="Times New Roman"/>
        </w:rPr>
        <w:t xml:space="preserve">-class solution </w:t>
      </w:r>
      <w:r w:rsidR="00B96611">
        <w:rPr>
          <w:rFonts w:ascii="Times New Roman" w:hAnsi="Times New Roman" w:cs="Times New Roman"/>
        </w:rPr>
        <w:t xml:space="preserve">for G1 maternal CM exposure </w:t>
      </w:r>
      <w:r w:rsidRPr="00052BCE">
        <w:rPr>
          <w:rFonts w:ascii="Times New Roman" w:hAnsi="Times New Roman" w:cs="Times New Roman"/>
        </w:rPr>
        <w:t>was characterized as follows:</w:t>
      </w:r>
    </w:p>
    <w:p w14:paraId="2990FB91" w14:textId="0F482077" w:rsidR="00052BCE" w:rsidRPr="00B96611" w:rsidRDefault="00052BCE" w:rsidP="00376CD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052BCE">
        <w:rPr>
          <w:rFonts w:ascii="Times New Roman" w:hAnsi="Times New Roman" w:cs="Times New Roman"/>
          <w:i/>
          <w:iCs/>
        </w:rPr>
        <w:t>No Maltreatment Class</w:t>
      </w:r>
      <w:r w:rsidRPr="00052BCE">
        <w:rPr>
          <w:rFonts w:ascii="Times New Roman" w:hAnsi="Times New Roman" w:cs="Times New Roman"/>
        </w:rPr>
        <w:t xml:space="preserve"> (n = 296; 37.80%): This class included mothers who did not have any exposure to maltreatment based on CTQ responses (i.e., item response probabilities were 0 for all subtypes). </w:t>
      </w:r>
    </w:p>
    <w:p w14:paraId="78DB105E" w14:textId="77777777" w:rsidR="00B96611" w:rsidRPr="00052BCE" w:rsidRDefault="00B96611" w:rsidP="00376CD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052BCE">
        <w:rPr>
          <w:rFonts w:ascii="Times New Roman" w:hAnsi="Times New Roman" w:cs="Times New Roman"/>
          <w:i/>
          <w:iCs/>
        </w:rPr>
        <w:t xml:space="preserve">Multi-Subtype Class </w:t>
      </w:r>
      <w:r w:rsidRPr="00052BCE">
        <w:rPr>
          <w:rFonts w:ascii="Times New Roman" w:hAnsi="Times New Roman" w:cs="Times New Roman"/>
        </w:rPr>
        <w:t xml:space="preserve">(n = 322; 41.12%) was characterized by moderate to high rates of emotional abuse (77.6%), physical abuse (74.5%), sexual abuse (78.1%), and/or neglect (69.3%). All members of this class experienced more than one subtype. This was the most prevalent pattern of maltreatment among mothers. </w:t>
      </w:r>
    </w:p>
    <w:p w14:paraId="73B84BBE" w14:textId="77777777" w:rsidR="00B96611" w:rsidRPr="00052BCE" w:rsidRDefault="00B96611" w:rsidP="00376CD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52BCE">
        <w:rPr>
          <w:rFonts w:ascii="Times New Roman" w:hAnsi="Times New Roman" w:cs="Times New Roman"/>
          <w:i/>
          <w:iCs/>
        </w:rPr>
        <w:t>Sexual Abuse Class</w:t>
      </w:r>
      <w:r w:rsidRPr="00052BCE">
        <w:rPr>
          <w:rFonts w:ascii="Times New Roman" w:hAnsi="Times New Roman" w:cs="Times New Roman"/>
        </w:rPr>
        <w:t xml:space="preserve"> (n = 82; 10.47%): </w:t>
      </w:r>
      <w:proofErr w:type="gramStart"/>
      <w:r w:rsidRPr="00052BCE">
        <w:rPr>
          <w:rFonts w:ascii="Times New Roman" w:hAnsi="Times New Roman" w:cs="Times New Roman"/>
        </w:rPr>
        <w:t>All of</w:t>
      </w:r>
      <w:proofErr w:type="gramEnd"/>
      <w:r w:rsidRPr="00052BCE">
        <w:rPr>
          <w:rFonts w:ascii="Times New Roman" w:hAnsi="Times New Roman" w:cs="Times New Roman"/>
        </w:rPr>
        <w:t xml:space="preserve"> the members of this class experienced only sexual abuse without exposure to any other subtype. </w:t>
      </w:r>
    </w:p>
    <w:p w14:paraId="608E6DF5" w14:textId="111213AC" w:rsidR="00E2740E" w:rsidRDefault="00B96611" w:rsidP="00376CD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52BCE">
        <w:rPr>
          <w:rFonts w:ascii="Times New Roman" w:hAnsi="Times New Roman" w:cs="Times New Roman"/>
          <w:i/>
          <w:iCs/>
        </w:rPr>
        <w:lastRenderedPageBreak/>
        <w:t>Single Subtype</w:t>
      </w:r>
      <w:r w:rsidR="00E2740E">
        <w:rPr>
          <w:rFonts w:ascii="Times New Roman" w:hAnsi="Times New Roman" w:cs="Times New Roman"/>
          <w:i/>
          <w:iCs/>
        </w:rPr>
        <w:t>-Emotional/Physical Abuse</w:t>
      </w:r>
      <w:r w:rsidRPr="00052BCE">
        <w:rPr>
          <w:rFonts w:ascii="Times New Roman" w:hAnsi="Times New Roman" w:cs="Times New Roman"/>
          <w:i/>
          <w:iCs/>
        </w:rPr>
        <w:t xml:space="preserve"> Class</w:t>
      </w:r>
      <w:r w:rsidRPr="00052BCE">
        <w:rPr>
          <w:rFonts w:ascii="Times New Roman" w:hAnsi="Times New Roman" w:cs="Times New Roman"/>
        </w:rPr>
        <w:t xml:space="preserve"> </w:t>
      </w:r>
      <w:r w:rsidR="00E2740E" w:rsidRPr="00052BCE">
        <w:rPr>
          <w:rFonts w:ascii="Times New Roman" w:hAnsi="Times New Roman" w:cs="Times New Roman"/>
        </w:rPr>
        <w:t xml:space="preserve">(n = </w:t>
      </w:r>
      <w:r w:rsidR="00E2740E">
        <w:rPr>
          <w:rFonts w:ascii="Times New Roman" w:hAnsi="Times New Roman" w:cs="Times New Roman"/>
        </w:rPr>
        <w:t>31</w:t>
      </w:r>
      <w:r w:rsidR="00E2740E" w:rsidRPr="00052BCE">
        <w:rPr>
          <w:rFonts w:ascii="Times New Roman" w:hAnsi="Times New Roman" w:cs="Times New Roman"/>
        </w:rPr>
        <w:t xml:space="preserve">; </w:t>
      </w:r>
      <w:r w:rsidR="00E2740E">
        <w:rPr>
          <w:rFonts w:ascii="Times New Roman" w:hAnsi="Times New Roman" w:cs="Times New Roman"/>
        </w:rPr>
        <w:t>3.96</w:t>
      </w:r>
      <w:r w:rsidR="00E2740E" w:rsidRPr="00052BCE">
        <w:rPr>
          <w:rFonts w:ascii="Times New Roman" w:hAnsi="Times New Roman" w:cs="Times New Roman"/>
        </w:rPr>
        <w:t>%)</w:t>
      </w:r>
      <w:r w:rsidR="00E2740E">
        <w:rPr>
          <w:rFonts w:ascii="Times New Roman" w:hAnsi="Times New Roman" w:cs="Times New Roman"/>
        </w:rPr>
        <w:t xml:space="preserve">: </w:t>
      </w:r>
      <w:proofErr w:type="gramStart"/>
      <w:r w:rsidR="00E2740E">
        <w:rPr>
          <w:rFonts w:ascii="Times New Roman" w:hAnsi="Times New Roman" w:cs="Times New Roman"/>
        </w:rPr>
        <w:t>All of</w:t>
      </w:r>
      <w:proofErr w:type="gramEnd"/>
      <w:r w:rsidR="00E2740E">
        <w:rPr>
          <w:rFonts w:ascii="Times New Roman" w:hAnsi="Times New Roman" w:cs="Times New Roman"/>
        </w:rPr>
        <w:t xml:space="preserve"> the members of this class experienced only a single type of abuse, either emotional </w:t>
      </w:r>
      <w:r w:rsidR="00B325A0">
        <w:rPr>
          <w:rFonts w:ascii="Times New Roman" w:hAnsi="Times New Roman" w:cs="Times New Roman"/>
        </w:rPr>
        <w:t xml:space="preserve">(0.36) </w:t>
      </w:r>
      <w:r w:rsidR="00E2740E">
        <w:rPr>
          <w:rFonts w:ascii="Times New Roman" w:hAnsi="Times New Roman" w:cs="Times New Roman"/>
        </w:rPr>
        <w:t>or physical abuse</w:t>
      </w:r>
      <w:r w:rsidR="00B325A0">
        <w:rPr>
          <w:rFonts w:ascii="Times New Roman" w:hAnsi="Times New Roman" w:cs="Times New Roman"/>
        </w:rPr>
        <w:t xml:space="preserve"> (0.65)</w:t>
      </w:r>
      <w:r w:rsidR="00E2740E">
        <w:rPr>
          <w:rFonts w:ascii="Times New Roman" w:hAnsi="Times New Roman" w:cs="Times New Roman"/>
        </w:rPr>
        <w:t xml:space="preserve">. </w:t>
      </w:r>
    </w:p>
    <w:p w14:paraId="605FCC7C" w14:textId="588207AE" w:rsidR="00F576AA" w:rsidRDefault="00E2740E" w:rsidP="00376CD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52BCE">
        <w:rPr>
          <w:rFonts w:ascii="Times New Roman" w:hAnsi="Times New Roman" w:cs="Times New Roman"/>
          <w:i/>
          <w:iCs/>
        </w:rPr>
        <w:t>Single Subtype</w:t>
      </w:r>
      <w:r>
        <w:rPr>
          <w:rFonts w:ascii="Times New Roman" w:hAnsi="Times New Roman" w:cs="Times New Roman"/>
          <w:i/>
          <w:iCs/>
        </w:rPr>
        <w:t>-Neglect</w:t>
      </w:r>
      <w:r w:rsidRPr="00052BCE">
        <w:rPr>
          <w:rFonts w:ascii="Times New Roman" w:hAnsi="Times New Roman" w:cs="Times New Roman"/>
          <w:i/>
          <w:iCs/>
        </w:rPr>
        <w:t xml:space="preserve"> Class</w:t>
      </w:r>
      <w:r w:rsidRPr="00052BCE">
        <w:rPr>
          <w:rFonts w:ascii="Times New Roman" w:hAnsi="Times New Roman" w:cs="Times New Roman"/>
        </w:rPr>
        <w:t xml:space="preserve"> n = </w:t>
      </w:r>
      <w:r>
        <w:rPr>
          <w:rFonts w:ascii="Times New Roman" w:hAnsi="Times New Roman" w:cs="Times New Roman"/>
        </w:rPr>
        <w:t>52</w:t>
      </w:r>
      <w:r w:rsidRPr="00052BC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6.64</w:t>
      </w:r>
      <w:r w:rsidRPr="00052BCE">
        <w:rPr>
          <w:rFonts w:ascii="Times New Roman" w:hAnsi="Times New Roman" w:cs="Times New Roman"/>
        </w:rPr>
        <w:t>%)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members of this class experienced only neglect without exposure to any other type. </w:t>
      </w:r>
      <w:r w:rsidRPr="00052BCE">
        <w:rPr>
          <w:rFonts w:ascii="Times New Roman" w:hAnsi="Times New Roman" w:cs="Times New Roman"/>
        </w:rPr>
        <w:t xml:space="preserve"> </w:t>
      </w:r>
    </w:p>
    <w:p w14:paraId="5E3895BB" w14:textId="77777777" w:rsidR="00B325A0" w:rsidRPr="00B325A0" w:rsidRDefault="00B325A0" w:rsidP="00B325A0">
      <w:pPr>
        <w:spacing w:after="0"/>
        <w:rPr>
          <w:rFonts w:ascii="Times New Roman" w:hAnsi="Times New Roman" w:cs="Times New Roman"/>
        </w:rPr>
      </w:pPr>
      <w:r w:rsidRPr="00B325A0">
        <w:rPr>
          <w:rFonts w:ascii="Times New Roman" w:hAnsi="Times New Roman" w:cs="Times New Roman"/>
        </w:rPr>
        <w:t>Below are the item response probabilities for the 5-class solution:</w:t>
      </w:r>
    </w:p>
    <w:p w14:paraId="3BD50113" w14:textId="77777777" w:rsidR="00B325A0" w:rsidRPr="00B325A0" w:rsidRDefault="00B325A0" w:rsidP="00B325A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325A0" w14:paraId="4985E2B6" w14:textId="77777777" w:rsidTr="00F03232">
        <w:tc>
          <w:tcPr>
            <w:tcW w:w="1558" w:type="dxa"/>
          </w:tcPr>
          <w:p w14:paraId="7596FD15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77FDE6" w14:textId="474A796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 (41</w:t>
            </w:r>
            <w:r w:rsidR="002F0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1%)</w:t>
            </w:r>
          </w:p>
        </w:tc>
        <w:tc>
          <w:tcPr>
            <w:tcW w:w="1558" w:type="dxa"/>
          </w:tcPr>
          <w:p w14:paraId="6254305A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2 (4.0%)</w:t>
            </w:r>
          </w:p>
        </w:tc>
        <w:tc>
          <w:tcPr>
            <w:tcW w:w="1558" w:type="dxa"/>
          </w:tcPr>
          <w:p w14:paraId="52CFD7B1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3 (6.6%)</w:t>
            </w:r>
          </w:p>
        </w:tc>
        <w:tc>
          <w:tcPr>
            <w:tcW w:w="1559" w:type="dxa"/>
          </w:tcPr>
          <w:p w14:paraId="0A9289D4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4 (10.5%)</w:t>
            </w:r>
          </w:p>
        </w:tc>
        <w:tc>
          <w:tcPr>
            <w:tcW w:w="1559" w:type="dxa"/>
          </w:tcPr>
          <w:p w14:paraId="32BE4C67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5 (37.8%)</w:t>
            </w:r>
          </w:p>
        </w:tc>
      </w:tr>
      <w:tr w:rsidR="00B325A0" w14:paraId="5CDCCC53" w14:textId="77777777" w:rsidTr="00F03232">
        <w:tc>
          <w:tcPr>
            <w:tcW w:w="1558" w:type="dxa"/>
          </w:tcPr>
          <w:p w14:paraId="30572B0C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Abuse</w:t>
            </w:r>
          </w:p>
        </w:tc>
        <w:tc>
          <w:tcPr>
            <w:tcW w:w="1558" w:type="dxa"/>
          </w:tcPr>
          <w:p w14:paraId="1B1B376A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558" w:type="dxa"/>
          </w:tcPr>
          <w:p w14:paraId="7E299EFE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58" w:type="dxa"/>
          </w:tcPr>
          <w:p w14:paraId="1DC56D0A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39F4C85D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7EB7664E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325A0" w14:paraId="64316EBB" w14:textId="77777777" w:rsidTr="00F03232">
        <w:tc>
          <w:tcPr>
            <w:tcW w:w="1558" w:type="dxa"/>
          </w:tcPr>
          <w:p w14:paraId="1D976E16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Abuse</w:t>
            </w:r>
          </w:p>
        </w:tc>
        <w:tc>
          <w:tcPr>
            <w:tcW w:w="1558" w:type="dxa"/>
          </w:tcPr>
          <w:p w14:paraId="556704FA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558" w:type="dxa"/>
          </w:tcPr>
          <w:p w14:paraId="6C36D37E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558" w:type="dxa"/>
          </w:tcPr>
          <w:p w14:paraId="0E5C7F77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0D92A0EC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4D34230C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325A0" w14:paraId="2E939F99" w14:textId="77777777" w:rsidTr="00F03232">
        <w:tc>
          <w:tcPr>
            <w:tcW w:w="1558" w:type="dxa"/>
          </w:tcPr>
          <w:p w14:paraId="5771E0F0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Abuse</w:t>
            </w:r>
          </w:p>
        </w:tc>
        <w:tc>
          <w:tcPr>
            <w:tcW w:w="1558" w:type="dxa"/>
          </w:tcPr>
          <w:p w14:paraId="46CF2B55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1558" w:type="dxa"/>
          </w:tcPr>
          <w:p w14:paraId="14BE350C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8" w:type="dxa"/>
          </w:tcPr>
          <w:p w14:paraId="6005C6AE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58A3D953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</w:tcPr>
          <w:p w14:paraId="20D5365F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325A0" w14:paraId="11525D30" w14:textId="77777777" w:rsidTr="00F03232">
        <w:tc>
          <w:tcPr>
            <w:tcW w:w="1558" w:type="dxa"/>
          </w:tcPr>
          <w:p w14:paraId="705E7630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Neglect</w:t>
            </w:r>
          </w:p>
        </w:tc>
        <w:tc>
          <w:tcPr>
            <w:tcW w:w="1558" w:type="dxa"/>
          </w:tcPr>
          <w:p w14:paraId="72E905D2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558" w:type="dxa"/>
          </w:tcPr>
          <w:p w14:paraId="70914930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8" w:type="dxa"/>
          </w:tcPr>
          <w:p w14:paraId="10B1B90A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</w:tcPr>
          <w:p w14:paraId="0D147F31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66602402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325A0" w14:paraId="0BD24DAC" w14:textId="77777777" w:rsidTr="00F03232">
        <w:tc>
          <w:tcPr>
            <w:tcW w:w="1558" w:type="dxa"/>
          </w:tcPr>
          <w:p w14:paraId="1FCDA29A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Subtypes</w:t>
            </w:r>
          </w:p>
        </w:tc>
        <w:tc>
          <w:tcPr>
            <w:tcW w:w="1558" w:type="dxa"/>
          </w:tcPr>
          <w:p w14:paraId="2EE3AF36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C5661C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2EB228F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96819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B37A3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0" w14:paraId="489F514A" w14:textId="77777777" w:rsidTr="00F03232">
        <w:tc>
          <w:tcPr>
            <w:tcW w:w="1558" w:type="dxa"/>
          </w:tcPr>
          <w:p w14:paraId="1DFA70B7" w14:textId="77777777" w:rsidR="00B325A0" w:rsidRPr="00422BC2" w:rsidRDefault="00B325A0" w:rsidP="00F03232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2BC2DCEC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8" w:type="dxa"/>
          </w:tcPr>
          <w:p w14:paraId="6DA2054D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8" w:type="dxa"/>
          </w:tcPr>
          <w:p w14:paraId="7BB24452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00F3E69E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27E2F35F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325A0" w14:paraId="2CA7081D" w14:textId="77777777" w:rsidTr="00F03232">
        <w:tc>
          <w:tcPr>
            <w:tcW w:w="1558" w:type="dxa"/>
          </w:tcPr>
          <w:p w14:paraId="22FE57B1" w14:textId="77777777" w:rsidR="00B325A0" w:rsidRPr="00422BC2" w:rsidRDefault="00B325A0" w:rsidP="00F03232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1276EE55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8" w:type="dxa"/>
          </w:tcPr>
          <w:p w14:paraId="77A1DBDD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8" w:type="dxa"/>
          </w:tcPr>
          <w:p w14:paraId="177C94D7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</w:tcPr>
          <w:p w14:paraId="2166B0C8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</w:tcPr>
          <w:p w14:paraId="7B98B6BA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325A0" w14:paraId="167B1032" w14:textId="77777777" w:rsidTr="00F03232">
        <w:tc>
          <w:tcPr>
            <w:tcW w:w="1558" w:type="dxa"/>
          </w:tcPr>
          <w:p w14:paraId="1EEF14D5" w14:textId="77777777" w:rsidR="00B325A0" w:rsidRPr="00422BC2" w:rsidRDefault="00B325A0" w:rsidP="00F03232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2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2+</w:t>
            </w:r>
          </w:p>
        </w:tc>
        <w:tc>
          <w:tcPr>
            <w:tcW w:w="1558" w:type="dxa"/>
          </w:tcPr>
          <w:p w14:paraId="54FEF01E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558" w:type="dxa"/>
          </w:tcPr>
          <w:p w14:paraId="534E8657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8" w:type="dxa"/>
          </w:tcPr>
          <w:p w14:paraId="06849079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26A735C5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559" w:type="dxa"/>
          </w:tcPr>
          <w:p w14:paraId="77C688CD" w14:textId="77777777" w:rsidR="00B325A0" w:rsidRDefault="00B325A0" w:rsidP="00F0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14:paraId="5CD306BF" w14:textId="77777777" w:rsidR="00B325A0" w:rsidRPr="00376CD4" w:rsidRDefault="00B325A0" w:rsidP="00B325A0">
      <w:pPr>
        <w:spacing w:line="360" w:lineRule="auto"/>
        <w:rPr>
          <w:rFonts w:ascii="Times New Roman" w:hAnsi="Times New Roman" w:cs="Times New Roman"/>
        </w:rPr>
      </w:pPr>
    </w:p>
    <w:p w14:paraId="734BA940" w14:textId="025C8264" w:rsidR="00C84D56" w:rsidRPr="00376CD4" w:rsidRDefault="00F576AA" w:rsidP="00376CD4">
      <w:pPr>
        <w:spacing w:line="360" w:lineRule="auto"/>
        <w:ind w:firstLine="360"/>
        <w:rPr>
          <w:rFonts w:ascii="Times New Roman" w:hAnsi="Times New Roman" w:cs="Times New Roman"/>
          <w:b/>
          <w:bCs/>
        </w:rPr>
      </w:pPr>
      <w:r w:rsidRPr="005C3B48">
        <w:rPr>
          <w:rFonts w:ascii="Times New Roman" w:hAnsi="Times New Roman" w:cs="Times New Roman"/>
          <w:b/>
          <w:bCs/>
        </w:rPr>
        <w:t>Comparison to</w:t>
      </w:r>
      <w:r w:rsidR="00AA4D57">
        <w:rPr>
          <w:rFonts w:ascii="Times New Roman" w:hAnsi="Times New Roman" w:cs="Times New Roman"/>
          <w:b/>
          <w:bCs/>
        </w:rPr>
        <w:t xml:space="preserve"> the</w:t>
      </w:r>
      <w:r w:rsidRPr="005C3B48">
        <w:rPr>
          <w:rFonts w:ascii="Times New Roman" w:hAnsi="Times New Roman" w:cs="Times New Roman"/>
          <w:b/>
          <w:bCs/>
        </w:rPr>
        <w:t xml:space="preserve"> 4-class results.</w:t>
      </w:r>
      <w:r w:rsidR="005C3B48">
        <w:rPr>
          <w:rFonts w:ascii="Times New Roman" w:hAnsi="Times New Roman" w:cs="Times New Roman"/>
          <w:b/>
          <w:bCs/>
        </w:rPr>
        <w:t xml:space="preserve"> </w:t>
      </w:r>
      <w:r w:rsidR="001D4715" w:rsidRPr="001D4715">
        <w:rPr>
          <w:rFonts w:ascii="Times New Roman" w:hAnsi="Times New Roman" w:cs="Times New Roman"/>
        </w:rPr>
        <w:t>The 5-class solution effectively retains three classes from the 4-class solution (</w:t>
      </w:r>
      <w:proofErr w:type="spellStart"/>
      <w:r w:rsidR="001D4715" w:rsidRPr="001D4715">
        <w:rPr>
          <w:rFonts w:ascii="Times New Roman" w:hAnsi="Times New Roman" w:cs="Times New Roman"/>
          <w:i/>
          <w:iCs/>
        </w:rPr>
        <w:t>nonmaltreated</w:t>
      </w:r>
      <w:proofErr w:type="spellEnd"/>
      <w:r w:rsidR="001D4715" w:rsidRPr="001D4715">
        <w:rPr>
          <w:rFonts w:ascii="Times New Roman" w:hAnsi="Times New Roman" w:cs="Times New Roman"/>
          <w:i/>
          <w:iCs/>
        </w:rPr>
        <w:t>, Single Type-Sexual Abuse, and Multi-Type CM</w:t>
      </w:r>
      <w:r w:rsidR="001D4715" w:rsidRPr="001D4715">
        <w:rPr>
          <w:rFonts w:ascii="Times New Roman" w:hAnsi="Times New Roman" w:cs="Times New Roman"/>
        </w:rPr>
        <w:t xml:space="preserve">). Distinctly, it appears to </w:t>
      </w:r>
      <w:r w:rsidR="001D4715">
        <w:rPr>
          <w:rFonts w:ascii="Times New Roman" w:hAnsi="Times New Roman" w:cs="Times New Roman"/>
        </w:rPr>
        <w:t>further</w:t>
      </w:r>
      <w:r w:rsidR="001D4715" w:rsidRPr="001D4715">
        <w:rPr>
          <w:rFonts w:ascii="Times New Roman" w:hAnsi="Times New Roman" w:cs="Times New Roman"/>
        </w:rPr>
        <w:t xml:space="preserve"> tease apart the </w:t>
      </w:r>
      <w:r w:rsidR="001D4715" w:rsidRPr="001D4715">
        <w:rPr>
          <w:rFonts w:ascii="Times New Roman" w:hAnsi="Times New Roman" w:cs="Times New Roman"/>
          <w:i/>
          <w:iCs/>
        </w:rPr>
        <w:t xml:space="preserve">mixed Single Subtype </w:t>
      </w:r>
      <w:r w:rsidR="001D4715" w:rsidRPr="001D4715">
        <w:rPr>
          <w:rFonts w:ascii="Times New Roman" w:hAnsi="Times New Roman" w:cs="Times New Roman"/>
        </w:rPr>
        <w:t xml:space="preserve">class from the 4-class solution (n=83, 10.6%), which was characterized </w:t>
      </w:r>
      <w:r w:rsidRPr="001D4715">
        <w:rPr>
          <w:rFonts w:ascii="Times New Roman" w:hAnsi="Times New Roman" w:cs="Times New Roman"/>
          <w:color w:val="000000" w:themeColor="text1"/>
        </w:rPr>
        <w:t xml:space="preserve">by moderate rates of emotional abuse (13.3%), physical abuse (24.1%), or neglect (62.7%), but not sexual abuse (0%). </w:t>
      </w:r>
      <w:r w:rsidR="001D4715">
        <w:rPr>
          <w:rFonts w:ascii="Times New Roman" w:hAnsi="Times New Roman" w:cs="Times New Roman"/>
          <w:color w:val="000000" w:themeColor="text1"/>
        </w:rPr>
        <w:t xml:space="preserve">The 5-class solution breaks this class down further into two distinct classes: </w:t>
      </w:r>
      <w:r w:rsidR="001D4715" w:rsidRPr="00052BCE">
        <w:rPr>
          <w:rFonts w:ascii="Times New Roman" w:hAnsi="Times New Roman" w:cs="Times New Roman"/>
          <w:i/>
          <w:iCs/>
        </w:rPr>
        <w:t>Single Subtype</w:t>
      </w:r>
      <w:r w:rsidR="001D4715">
        <w:rPr>
          <w:rFonts w:ascii="Times New Roman" w:hAnsi="Times New Roman" w:cs="Times New Roman"/>
          <w:i/>
          <w:iCs/>
        </w:rPr>
        <w:t>-Emotional/Physical Abuse</w:t>
      </w:r>
      <w:r w:rsidR="001D4715" w:rsidRPr="00052BCE">
        <w:rPr>
          <w:rFonts w:ascii="Times New Roman" w:hAnsi="Times New Roman" w:cs="Times New Roman"/>
          <w:i/>
          <w:iCs/>
        </w:rPr>
        <w:t xml:space="preserve"> Class</w:t>
      </w:r>
      <w:r w:rsidR="001D4715" w:rsidRPr="00052BCE">
        <w:rPr>
          <w:rFonts w:ascii="Times New Roman" w:hAnsi="Times New Roman" w:cs="Times New Roman"/>
        </w:rPr>
        <w:t xml:space="preserve"> </w:t>
      </w:r>
      <w:r w:rsidR="001D4715">
        <w:rPr>
          <w:rFonts w:ascii="Times New Roman" w:hAnsi="Times New Roman" w:cs="Times New Roman"/>
        </w:rPr>
        <w:t xml:space="preserve">and </w:t>
      </w:r>
      <w:r w:rsidR="001D4715" w:rsidRPr="00052BCE">
        <w:rPr>
          <w:rFonts w:ascii="Times New Roman" w:hAnsi="Times New Roman" w:cs="Times New Roman"/>
          <w:i/>
          <w:iCs/>
        </w:rPr>
        <w:t>Single Subtype</w:t>
      </w:r>
      <w:r w:rsidR="001D4715">
        <w:rPr>
          <w:rFonts w:ascii="Times New Roman" w:hAnsi="Times New Roman" w:cs="Times New Roman"/>
          <w:i/>
          <w:iCs/>
        </w:rPr>
        <w:t>-Neglect</w:t>
      </w:r>
      <w:r w:rsidR="001D4715" w:rsidRPr="00052BCE">
        <w:rPr>
          <w:rFonts w:ascii="Times New Roman" w:hAnsi="Times New Roman" w:cs="Times New Roman"/>
          <w:i/>
          <w:iCs/>
        </w:rPr>
        <w:t xml:space="preserve"> Class</w:t>
      </w:r>
      <w:r w:rsidR="00AA4D57">
        <w:rPr>
          <w:rFonts w:ascii="Times New Roman" w:hAnsi="Times New Roman" w:cs="Times New Roman"/>
        </w:rPr>
        <w:t>.</w:t>
      </w:r>
    </w:p>
    <w:p w14:paraId="33A3B1ED" w14:textId="0714BB33" w:rsidR="00376CD4" w:rsidRPr="00376CD4" w:rsidRDefault="00C121A4" w:rsidP="00376CD4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376CD4">
        <w:rPr>
          <w:rFonts w:ascii="Times New Roman" w:hAnsi="Times New Roman" w:cs="Times New Roman"/>
          <w:b/>
          <w:bCs/>
          <w:i/>
          <w:iCs/>
          <w:color w:val="000000" w:themeColor="text1"/>
        </w:rPr>
        <w:t>Intergenerational continuity of CM classes</w:t>
      </w:r>
    </w:p>
    <w:p w14:paraId="51B8A1A2" w14:textId="63FCCA6C" w:rsidR="00C121A4" w:rsidRPr="00C121A4" w:rsidRDefault="00C121A4" w:rsidP="00376CD4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C121A4">
        <w:rPr>
          <w:rFonts w:ascii="Times New Roman" w:hAnsi="Times New Roman" w:cs="Times New Roman"/>
          <w:color w:val="000000" w:themeColor="text1"/>
        </w:rPr>
        <w:t xml:space="preserve">G1s and G2s were assigned to their most probable class membership as determined by </w:t>
      </w:r>
      <w:r w:rsidR="002F01DD" w:rsidRPr="002F01DD">
        <w:rPr>
          <w:rFonts w:ascii="Times New Roman" w:hAnsi="Times New Roman" w:cs="Times New Roman"/>
          <w:color w:val="000000" w:themeColor="text1"/>
        </w:rPr>
        <w:t>assigning most probable class membership based on highest posterior probabilities</w:t>
      </w:r>
      <w:r w:rsidR="002F01DD" w:rsidRPr="002F01DD">
        <w:rPr>
          <w:rFonts w:ascii="Times New Roman" w:hAnsi="Times New Roman" w:cs="Times New Roman"/>
          <w:color w:val="000000" w:themeColor="text1"/>
        </w:rPr>
        <w:t xml:space="preserve"> </w:t>
      </w:r>
      <w:r w:rsidRPr="00C121A4">
        <w:rPr>
          <w:rFonts w:ascii="Times New Roman" w:hAnsi="Times New Roman" w:cs="Times New Roman"/>
          <w:color w:val="000000" w:themeColor="text1"/>
        </w:rPr>
        <w:t xml:space="preserve">for individuals. To examine continuity in intergenerational CM exposure we used crosstabulations and chi-square tests to determine if G1’s class membership was associated with their G2’s class </w:t>
      </w:r>
      <w:r w:rsidRPr="00C121A4">
        <w:rPr>
          <w:rFonts w:ascii="Times New Roman" w:hAnsi="Times New Roman" w:cs="Times New Roman"/>
          <w:color w:val="000000" w:themeColor="text1"/>
        </w:rPr>
        <w:lastRenderedPageBreak/>
        <w:t xml:space="preserve">membership (analyses conducted in SPSS v29). When probing sources of significance within the 4x4 crosstabulations, adjusted residual values &gt;2 </w:t>
      </w:r>
      <w:proofErr w:type="gramStart"/>
      <w:r w:rsidRPr="00C121A4">
        <w:rPr>
          <w:rFonts w:ascii="Times New Roman" w:hAnsi="Times New Roman" w:cs="Times New Roman"/>
          <w:color w:val="000000" w:themeColor="text1"/>
        </w:rPr>
        <w:t>were</w:t>
      </w:r>
      <w:proofErr w:type="gramEnd"/>
      <w:r w:rsidRPr="00C121A4">
        <w:rPr>
          <w:rFonts w:ascii="Times New Roman" w:hAnsi="Times New Roman" w:cs="Times New Roman"/>
          <w:color w:val="000000" w:themeColor="text1"/>
        </w:rPr>
        <w:t xml:space="preserve"> considered to be of significance.</w:t>
      </w:r>
      <w:r w:rsidR="00AA4D57">
        <w:rPr>
          <w:rFonts w:ascii="Times New Roman" w:hAnsi="Times New Roman" w:cs="Times New Roman"/>
          <w:color w:val="000000" w:themeColor="text1"/>
        </w:rPr>
        <w:t xml:space="preserve"> </w:t>
      </w:r>
    </w:p>
    <w:p w14:paraId="60D5A806" w14:textId="77777777" w:rsidR="00CA6959" w:rsidRDefault="00CA6959" w:rsidP="00376CD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376CD4">
        <w:rPr>
          <w:rFonts w:ascii="Times New Roman" w:hAnsi="Times New Roman" w:cs="Times New Roman"/>
          <w:b/>
        </w:rPr>
        <w:t>5 x 4 crosstabulation.</w:t>
      </w:r>
      <w:r>
        <w:rPr>
          <w:rFonts w:ascii="Times New Roman" w:hAnsi="Times New Roman" w:cs="Times New Roman"/>
          <w:bCs/>
        </w:rPr>
        <w:t xml:space="preserve"> </w:t>
      </w:r>
      <w:r w:rsidR="00B21A57" w:rsidRPr="00B21A57">
        <w:rPr>
          <w:rFonts w:ascii="Times New Roman" w:hAnsi="Times New Roman" w:cs="Times New Roman"/>
        </w:rPr>
        <w:t xml:space="preserve">Results of </w:t>
      </w:r>
      <w:r>
        <w:rPr>
          <w:rFonts w:ascii="Times New Roman" w:hAnsi="Times New Roman" w:cs="Times New Roman"/>
        </w:rPr>
        <w:t>5</w:t>
      </w:r>
      <w:r w:rsidR="00B21A57" w:rsidRPr="00B21A57">
        <w:rPr>
          <w:rFonts w:ascii="Times New Roman" w:hAnsi="Times New Roman" w:cs="Times New Roman"/>
        </w:rPr>
        <w:t xml:space="preserve"> X 4 crosstabulation testing the association between the G1 classes of CM exposure and G2 classes of exposure indicate a significant overall association between generations </w:t>
      </w:r>
      <w:r w:rsidR="00B21A57" w:rsidRPr="00B21A57">
        <w:rPr>
          <w:rFonts w:ascii="Times New Roman" w:hAnsi="Times New Roman" w:cs="Times New Roman"/>
          <w:bCs/>
          <w:i/>
          <w:iCs/>
        </w:rPr>
        <w:t>X</w:t>
      </w:r>
      <w:r w:rsidR="00B21A57" w:rsidRPr="00B21A57">
        <w:rPr>
          <w:rFonts w:ascii="Times New Roman" w:hAnsi="Times New Roman" w:cs="Times New Roman"/>
          <w:bCs/>
          <w:vertAlign w:val="superscript"/>
        </w:rPr>
        <w:t>2</w:t>
      </w:r>
      <w:r w:rsidR="00B21A57" w:rsidRPr="00B21A57">
        <w:rPr>
          <w:rFonts w:ascii="Times New Roman" w:hAnsi="Times New Roman" w:cs="Times New Roman"/>
          <w:bCs/>
        </w:rPr>
        <w:t xml:space="preserve"> (</w:t>
      </w:r>
      <w:r w:rsidR="00B871EB">
        <w:rPr>
          <w:rFonts w:ascii="Times New Roman" w:hAnsi="Times New Roman" w:cs="Times New Roman"/>
          <w:bCs/>
        </w:rPr>
        <w:t>12</w:t>
      </w:r>
      <w:r w:rsidR="00B21A57" w:rsidRPr="00B21A57">
        <w:rPr>
          <w:rFonts w:ascii="Times New Roman" w:hAnsi="Times New Roman" w:cs="Times New Roman"/>
          <w:bCs/>
        </w:rPr>
        <w:t xml:space="preserve">) = </w:t>
      </w:r>
      <w:r w:rsidR="00B871EB">
        <w:rPr>
          <w:rFonts w:ascii="Times New Roman" w:hAnsi="Times New Roman" w:cs="Times New Roman"/>
          <w:bCs/>
        </w:rPr>
        <w:t>61.6</w:t>
      </w:r>
      <w:r w:rsidR="00B21A57" w:rsidRPr="00B21A57">
        <w:rPr>
          <w:rFonts w:ascii="Times New Roman" w:hAnsi="Times New Roman" w:cs="Times New Roman"/>
          <w:bCs/>
        </w:rPr>
        <w:t>, p &lt; .001. Of G1s with “</w:t>
      </w:r>
      <w:r w:rsidR="00B21A57" w:rsidRPr="00B21A57">
        <w:rPr>
          <w:rFonts w:ascii="Times New Roman" w:hAnsi="Times New Roman" w:cs="Times New Roman"/>
          <w:bCs/>
          <w:i/>
          <w:iCs/>
        </w:rPr>
        <w:t>Multi-Type</w:t>
      </w:r>
      <w:r w:rsidR="00B21A57" w:rsidRPr="00B21A57">
        <w:rPr>
          <w:rFonts w:ascii="Times New Roman" w:hAnsi="Times New Roman" w:cs="Times New Roman"/>
          <w:bCs/>
        </w:rPr>
        <w:t>” CM exposure, 40.6% had G2s exposed to “</w:t>
      </w:r>
      <w:r w:rsidR="00B21A57" w:rsidRPr="00B21A57">
        <w:rPr>
          <w:rFonts w:ascii="Times New Roman" w:hAnsi="Times New Roman" w:cs="Times New Roman"/>
          <w:bCs/>
          <w:i/>
          <w:iCs/>
        </w:rPr>
        <w:t>Chronic, Multi-Type</w:t>
      </w:r>
      <w:r w:rsidR="00B21A57" w:rsidRPr="00B21A57">
        <w:rPr>
          <w:rFonts w:ascii="Times New Roman" w:hAnsi="Times New Roman" w:cs="Times New Roman"/>
          <w:bCs/>
        </w:rPr>
        <w:t>” CM exposure (adjusted residual = 5.</w:t>
      </w:r>
      <w:r w:rsidR="00B871EB">
        <w:rPr>
          <w:rFonts w:ascii="Times New Roman" w:hAnsi="Times New Roman" w:cs="Times New Roman"/>
          <w:bCs/>
        </w:rPr>
        <w:t>3</w:t>
      </w:r>
      <w:r w:rsidR="00B21A57" w:rsidRPr="00B21A57">
        <w:rPr>
          <w:rFonts w:ascii="Times New Roman" w:hAnsi="Times New Roman" w:cs="Times New Roman"/>
          <w:bCs/>
        </w:rPr>
        <w:t>). G1s with “</w:t>
      </w:r>
      <w:r w:rsidR="00B21A57" w:rsidRPr="00B21A57">
        <w:rPr>
          <w:rFonts w:ascii="Times New Roman" w:hAnsi="Times New Roman" w:cs="Times New Roman"/>
          <w:bCs/>
          <w:i/>
          <w:iCs/>
        </w:rPr>
        <w:t>Multi-Type</w:t>
      </w:r>
      <w:r w:rsidR="00B21A57" w:rsidRPr="00B21A57">
        <w:rPr>
          <w:rFonts w:ascii="Times New Roman" w:hAnsi="Times New Roman" w:cs="Times New Roman"/>
          <w:bCs/>
        </w:rPr>
        <w:t>” CM were not significantly more likely to have G2s experience other forms of CM such as “</w:t>
      </w:r>
      <w:r w:rsidR="00B21A57" w:rsidRPr="00B21A57">
        <w:rPr>
          <w:rFonts w:ascii="Times New Roman" w:hAnsi="Times New Roman" w:cs="Times New Roman"/>
          <w:bCs/>
          <w:i/>
          <w:iCs/>
        </w:rPr>
        <w:t>Episodic, Single-Type (Neglect)”</w:t>
      </w:r>
      <w:r w:rsidR="00B21A57" w:rsidRPr="00B21A57">
        <w:rPr>
          <w:rFonts w:ascii="Times New Roman" w:hAnsi="Times New Roman" w:cs="Times New Roman"/>
          <w:bCs/>
        </w:rPr>
        <w:t xml:space="preserve"> (adjusted residual = 0.8) or “</w:t>
      </w:r>
      <w:r w:rsidR="00B21A57" w:rsidRPr="00B21A57">
        <w:rPr>
          <w:rFonts w:ascii="Times New Roman" w:hAnsi="Times New Roman" w:cs="Times New Roman"/>
          <w:bCs/>
          <w:i/>
          <w:iCs/>
        </w:rPr>
        <w:t xml:space="preserve">Episodic, Single-Type (Abuse)” </w:t>
      </w:r>
      <w:r w:rsidR="00B21A57" w:rsidRPr="00B21A57">
        <w:rPr>
          <w:rFonts w:ascii="Times New Roman" w:hAnsi="Times New Roman" w:cs="Times New Roman"/>
          <w:bCs/>
        </w:rPr>
        <w:t>(adjusted residual = 1.0).</w:t>
      </w:r>
    </w:p>
    <w:p w14:paraId="23A7BE71" w14:textId="77777777" w:rsidR="00CA6959" w:rsidRDefault="00B871EB" w:rsidP="00376CD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B21A57">
        <w:rPr>
          <w:rFonts w:ascii="Times New Roman" w:hAnsi="Times New Roman" w:cs="Times New Roman"/>
          <w:bCs/>
        </w:rPr>
        <w:t>G1</w:t>
      </w:r>
      <w:r w:rsidRPr="00B21A57">
        <w:rPr>
          <w:rFonts w:ascii="Times New Roman" w:hAnsi="Times New Roman" w:cs="Times New Roman"/>
          <w:bCs/>
          <w:i/>
          <w:iCs/>
        </w:rPr>
        <w:t>“Single-Type (Sexual Abuse)”</w:t>
      </w:r>
      <w:r w:rsidRPr="00B21A57">
        <w:rPr>
          <w:rFonts w:ascii="Times New Roman" w:hAnsi="Times New Roman" w:cs="Times New Roman"/>
          <w:bCs/>
        </w:rPr>
        <w:t xml:space="preserve"> exposure was not significantly associated with any distinct form of G2 CM exposure: “</w:t>
      </w:r>
      <w:r w:rsidRPr="00B21A57">
        <w:rPr>
          <w:rFonts w:ascii="Times New Roman" w:hAnsi="Times New Roman" w:cs="Times New Roman"/>
          <w:bCs/>
          <w:i/>
          <w:iCs/>
        </w:rPr>
        <w:t>Chronic, Multi-Type</w:t>
      </w:r>
      <w:r w:rsidRPr="00B21A57">
        <w:rPr>
          <w:rFonts w:ascii="Times New Roman" w:hAnsi="Times New Roman" w:cs="Times New Roman"/>
          <w:bCs/>
        </w:rPr>
        <w:t>” (adjusted residual = -0.4), “</w:t>
      </w:r>
      <w:r w:rsidRPr="00B21A57">
        <w:rPr>
          <w:rFonts w:ascii="Times New Roman" w:hAnsi="Times New Roman" w:cs="Times New Roman"/>
          <w:bCs/>
          <w:i/>
          <w:iCs/>
        </w:rPr>
        <w:t>Episodic, Single-Type (Neglect)”</w:t>
      </w:r>
      <w:r w:rsidRPr="00B21A57">
        <w:rPr>
          <w:rFonts w:ascii="Times New Roman" w:hAnsi="Times New Roman" w:cs="Times New Roman"/>
          <w:bCs/>
        </w:rPr>
        <w:t xml:space="preserve"> (adjusted residual = 0.3), or “</w:t>
      </w:r>
      <w:r w:rsidRPr="00B21A57">
        <w:rPr>
          <w:rFonts w:ascii="Times New Roman" w:hAnsi="Times New Roman" w:cs="Times New Roman"/>
          <w:bCs/>
          <w:i/>
          <w:iCs/>
        </w:rPr>
        <w:t>Episodic, Single-Type (Abuse)”</w:t>
      </w:r>
      <w:r w:rsidRPr="00B21A57">
        <w:rPr>
          <w:rFonts w:ascii="Times New Roman" w:hAnsi="Times New Roman" w:cs="Times New Roman"/>
          <w:bCs/>
        </w:rPr>
        <w:t xml:space="preserve"> (adjusted residual= -0.5).</w:t>
      </w:r>
    </w:p>
    <w:p w14:paraId="4EF950BB" w14:textId="77777777" w:rsidR="00CA6959" w:rsidRDefault="00B871EB" w:rsidP="00376CD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CA6959">
        <w:rPr>
          <w:rFonts w:ascii="Times New Roman" w:hAnsi="Times New Roman" w:cs="Times New Roman"/>
          <w:bCs/>
        </w:rPr>
        <w:t>G1s  with “</w:t>
      </w:r>
      <w:r w:rsidRPr="00CA6959">
        <w:rPr>
          <w:rFonts w:ascii="Times New Roman" w:hAnsi="Times New Roman" w:cs="Times New Roman"/>
          <w:bCs/>
          <w:i/>
          <w:iCs/>
        </w:rPr>
        <w:t xml:space="preserve">Single-Type (EA/PA)” </w:t>
      </w:r>
      <w:r w:rsidRPr="00CA6959">
        <w:rPr>
          <w:rFonts w:ascii="Times New Roman" w:hAnsi="Times New Roman" w:cs="Times New Roman"/>
          <w:bCs/>
        </w:rPr>
        <w:t>exposure had significantly more G2s who were exposed to “</w:t>
      </w:r>
      <w:r w:rsidRPr="00CA6959">
        <w:rPr>
          <w:rFonts w:ascii="Times New Roman" w:hAnsi="Times New Roman" w:cs="Times New Roman"/>
          <w:bCs/>
          <w:i/>
          <w:iCs/>
        </w:rPr>
        <w:t>Episodic, Single-Type (Abuse)”</w:t>
      </w:r>
      <w:r w:rsidRPr="00CA6959">
        <w:rPr>
          <w:rFonts w:ascii="Times New Roman" w:hAnsi="Times New Roman" w:cs="Times New Roman"/>
          <w:bCs/>
        </w:rPr>
        <w:t xml:space="preserve"> exposure (adjusted residual = </w:t>
      </w:r>
      <w:r w:rsidR="0069369F" w:rsidRPr="00CA6959">
        <w:rPr>
          <w:rFonts w:ascii="Times New Roman" w:hAnsi="Times New Roman" w:cs="Times New Roman"/>
          <w:bCs/>
        </w:rPr>
        <w:t>2.0)</w:t>
      </w:r>
      <w:r w:rsidRPr="00CA6959">
        <w:rPr>
          <w:rFonts w:ascii="Times New Roman" w:hAnsi="Times New Roman" w:cs="Times New Roman"/>
          <w:bCs/>
        </w:rPr>
        <w:t>. However, G1 “</w:t>
      </w:r>
      <w:r w:rsidRPr="00CA6959">
        <w:rPr>
          <w:rFonts w:ascii="Times New Roman" w:hAnsi="Times New Roman" w:cs="Times New Roman"/>
          <w:bCs/>
          <w:i/>
          <w:iCs/>
        </w:rPr>
        <w:t>Single-Type (</w:t>
      </w:r>
      <w:r w:rsidR="0069369F" w:rsidRPr="00CA6959">
        <w:rPr>
          <w:rFonts w:ascii="Times New Roman" w:hAnsi="Times New Roman" w:cs="Times New Roman"/>
          <w:bCs/>
          <w:i/>
          <w:iCs/>
        </w:rPr>
        <w:t>EA/PA</w:t>
      </w:r>
      <w:r w:rsidRPr="00CA6959">
        <w:rPr>
          <w:rFonts w:ascii="Times New Roman" w:hAnsi="Times New Roman" w:cs="Times New Roman"/>
          <w:bCs/>
          <w:i/>
          <w:iCs/>
        </w:rPr>
        <w:t>)”</w:t>
      </w:r>
      <w:r w:rsidRPr="00CA6959">
        <w:rPr>
          <w:rFonts w:ascii="Times New Roman" w:hAnsi="Times New Roman" w:cs="Times New Roman"/>
          <w:bCs/>
        </w:rPr>
        <w:t xml:space="preserve"> was not associated with G2 “</w:t>
      </w:r>
      <w:r w:rsidRPr="00CA6959">
        <w:rPr>
          <w:rFonts w:ascii="Times New Roman" w:hAnsi="Times New Roman" w:cs="Times New Roman"/>
          <w:bCs/>
          <w:i/>
          <w:iCs/>
        </w:rPr>
        <w:t>Chronic, Multi-Type</w:t>
      </w:r>
      <w:r w:rsidRPr="00CA6959">
        <w:rPr>
          <w:rFonts w:ascii="Times New Roman" w:hAnsi="Times New Roman" w:cs="Times New Roman"/>
          <w:bCs/>
        </w:rPr>
        <w:t xml:space="preserve">” exposure (adjusted residual = </w:t>
      </w:r>
      <w:r w:rsidR="0069369F" w:rsidRPr="00CA6959">
        <w:rPr>
          <w:rFonts w:ascii="Times New Roman" w:hAnsi="Times New Roman" w:cs="Times New Roman"/>
          <w:bCs/>
        </w:rPr>
        <w:t>0.4</w:t>
      </w:r>
      <w:r w:rsidRPr="00CA6959">
        <w:rPr>
          <w:rFonts w:ascii="Times New Roman" w:hAnsi="Times New Roman" w:cs="Times New Roman"/>
          <w:bCs/>
        </w:rPr>
        <w:t>) or “</w:t>
      </w:r>
      <w:r w:rsidRPr="00CA6959">
        <w:rPr>
          <w:rFonts w:ascii="Times New Roman" w:hAnsi="Times New Roman" w:cs="Times New Roman"/>
          <w:bCs/>
          <w:i/>
          <w:iCs/>
        </w:rPr>
        <w:t xml:space="preserve">Episodic, Single-Type (Neglect)” </w:t>
      </w:r>
      <w:r w:rsidRPr="00CA6959">
        <w:rPr>
          <w:rFonts w:ascii="Times New Roman" w:hAnsi="Times New Roman" w:cs="Times New Roman"/>
          <w:bCs/>
        </w:rPr>
        <w:t>(adjusted residual = 0.</w:t>
      </w:r>
      <w:r w:rsidR="0069369F" w:rsidRPr="00CA6959">
        <w:rPr>
          <w:rFonts w:ascii="Times New Roman" w:hAnsi="Times New Roman" w:cs="Times New Roman"/>
          <w:bCs/>
        </w:rPr>
        <w:t>0</w:t>
      </w:r>
      <w:r w:rsidRPr="00CA6959">
        <w:rPr>
          <w:rFonts w:ascii="Times New Roman" w:hAnsi="Times New Roman" w:cs="Times New Roman"/>
          <w:bCs/>
        </w:rPr>
        <w:t xml:space="preserve">) exposure. </w:t>
      </w:r>
    </w:p>
    <w:p w14:paraId="20881AAF" w14:textId="2E821200" w:rsidR="00B871EB" w:rsidRPr="00CA6959" w:rsidRDefault="00B871EB" w:rsidP="00376CD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CA6959">
        <w:rPr>
          <w:rFonts w:ascii="Times New Roman" w:hAnsi="Times New Roman" w:cs="Times New Roman"/>
          <w:bCs/>
        </w:rPr>
        <w:t>G1s  with “</w:t>
      </w:r>
      <w:r w:rsidRPr="00CA6959">
        <w:rPr>
          <w:rFonts w:ascii="Times New Roman" w:hAnsi="Times New Roman" w:cs="Times New Roman"/>
          <w:bCs/>
          <w:i/>
          <w:iCs/>
        </w:rPr>
        <w:t>Single-Type (</w:t>
      </w:r>
      <w:r w:rsidR="0069369F" w:rsidRPr="00CA6959">
        <w:rPr>
          <w:rFonts w:ascii="Times New Roman" w:hAnsi="Times New Roman" w:cs="Times New Roman"/>
          <w:bCs/>
          <w:i/>
          <w:iCs/>
        </w:rPr>
        <w:t>Neglect</w:t>
      </w:r>
      <w:r w:rsidRPr="00CA6959">
        <w:rPr>
          <w:rFonts w:ascii="Times New Roman" w:hAnsi="Times New Roman" w:cs="Times New Roman"/>
          <w:bCs/>
          <w:i/>
          <w:iCs/>
        </w:rPr>
        <w:t xml:space="preserve">)” </w:t>
      </w:r>
      <w:r w:rsidRPr="00CA6959">
        <w:rPr>
          <w:rFonts w:ascii="Times New Roman" w:hAnsi="Times New Roman" w:cs="Times New Roman"/>
          <w:bCs/>
        </w:rPr>
        <w:t>exposure had significantly more G2s who were exposed to “</w:t>
      </w:r>
      <w:r w:rsidRPr="00CA6959">
        <w:rPr>
          <w:rFonts w:ascii="Times New Roman" w:hAnsi="Times New Roman" w:cs="Times New Roman"/>
          <w:bCs/>
          <w:i/>
          <w:iCs/>
        </w:rPr>
        <w:t>Episodic, Single-Type (Abuse)”</w:t>
      </w:r>
      <w:r w:rsidRPr="00CA6959">
        <w:rPr>
          <w:rFonts w:ascii="Times New Roman" w:hAnsi="Times New Roman" w:cs="Times New Roman"/>
          <w:bCs/>
        </w:rPr>
        <w:t xml:space="preserve"> exposure (adjusted residual = </w:t>
      </w:r>
      <w:r w:rsidR="0069369F" w:rsidRPr="00CA6959">
        <w:rPr>
          <w:rFonts w:ascii="Times New Roman" w:hAnsi="Times New Roman" w:cs="Times New Roman"/>
          <w:bCs/>
        </w:rPr>
        <w:t>2</w:t>
      </w:r>
      <w:r w:rsidRPr="00CA6959">
        <w:rPr>
          <w:rFonts w:ascii="Times New Roman" w:hAnsi="Times New Roman" w:cs="Times New Roman"/>
          <w:bCs/>
        </w:rPr>
        <w:t>.</w:t>
      </w:r>
      <w:r w:rsidR="0069369F" w:rsidRPr="00CA6959">
        <w:rPr>
          <w:rFonts w:ascii="Times New Roman" w:hAnsi="Times New Roman" w:cs="Times New Roman"/>
          <w:bCs/>
        </w:rPr>
        <w:t>1</w:t>
      </w:r>
      <w:r w:rsidRPr="00CA6959">
        <w:rPr>
          <w:rFonts w:ascii="Times New Roman" w:hAnsi="Times New Roman" w:cs="Times New Roman"/>
          <w:bCs/>
        </w:rPr>
        <w:t>). However, G1 “</w:t>
      </w:r>
      <w:r w:rsidRPr="00CA6959">
        <w:rPr>
          <w:rFonts w:ascii="Times New Roman" w:hAnsi="Times New Roman" w:cs="Times New Roman"/>
          <w:bCs/>
          <w:i/>
          <w:iCs/>
        </w:rPr>
        <w:t>Single-Type (N</w:t>
      </w:r>
      <w:r w:rsidR="0069369F" w:rsidRPr="00CA6959">
        <w:rPr>
          <w:rFonts w:ascii="Times New Roman" w:hAnsi="Times New Roman" w:cs="Times New Roman"/>
          <w:bCs/>
          <w:i/>
          <w:iCs/>
        </w:rPr>
        <w:t>eglect</w:t>
      </w:r>
      <w:r w:rsidRPr="00CA6959">
        <w:rPr>
          <w:rFonts w:ascii="Times New Roman" w:hAnsi="Times New Roman" w:cs="Times New Roman"/>
          <w:bCs/>
          <w:i/>
          <w:iCs/>
        </w:rPr>
        <w:t>)”</w:t>
      </w:r>
      <w:r w:rsidRPr="00CA6959">
        <w:rPr>
          <w:rFonts w:ascii="Times New Roman" w:hAnsi="Times New Roman" w:cs="Times New Roman"/>
          <w:bCs/>
        </w:rPr>
        <w:t xml:space="preserve"> was not associated with G2 “</w:t>
      </w:r>
      <w:r w:rsidRPr="00CA6959">
        <w:rPr>
          <w:rFonts w:ascii="Times New Roman" w:hAnsi="Times New Roman" w:cs="Times New Roman"/>
          <w:bCs/>
          <w:i/>
          <w:iCs/>
        </w:rPr>
        <w:t>Chronic, Multi-Type</w:t>
      </w:r>
      <w:r w:rsidRPr="00CA6959">
        <w:rPr>
          <w:rFonts w:ascii="Times New Roman" w:hAnsi="Times New Roman" w:cs="Times New Roman"/>
          <w:bCs/>
        </w:rPr>
        <w:t>” exposure (adjusted residual = -</w:t>
      </w:r>
      <w:r w:rsidR="0069369F" w:rsidRPr="00CA6959">
        <w:rPr>
          <w:rFonts w:ascii="Times New Roman" w:hAnsi="Times New Roman" w:cs="Times New Roman"/>
          <w:bCs/>
        </w:rPr>
        <w:t>1.2</w:t>
      </w:r>
      <w:r w:rsidRPr="00CA6959">
        <w:rPr>
          <w:rFonts w:ascii="Times New Roman" w:hAnsi="Times New Roman" w:cs="Times New Roman"/>
          <w:bCs/>
        </w:rPr>
        <w:t>) or “</w:t>
      </w:r>
      <w:r w:rsidRPr="00CA6959">
        <w:rPr>
          <w:rFonts w:ascii="Times New Roman" w:hAnsi="Times New Roman" w:cs="Times New Roman"/>
          <w:bCs/>
          <w:i/>
          <w:iCs/>
        </w:rPr>
        <w:t xml:space="preserve">Episodic, Single-Type (Neglect)” </w:t>
      </w:r>
      <w:r w:rsidRPr="00CA6959">
        <w:rPr>
          <w:rFonts w:ascii="Times New Roman" w:hAnsi="Times New Roman" w:cs="Times New Roman"/>
          <w:bCs/>
        </w:rPr>
        <w:t xml:space="preserve">(adjusted residual = -0.3) exposure. </w:t>
      </w:r>
    </w:p>
    <w:p w14:paraId="4D03D7BE" w14:textId="40AC0027" w:rsidR="00B21A57" w:rsidRPr="00CA6959" w:rsidRDefault="00B21A57" w:rsidP="00376CD4">
      <w:pPr>
        <w:spacing w:line="360" w:lineRule="auto"/>
        <w:ind w:firstLine="720"/>
        <w:rPr>
          <w:rFonts w:ascii="Times New Roman" w:hAnsi="Times New Roman" w:cs="Times New Roman"/>
          <w:bCs/>
          <w:color w:val="0070C0"/>
        </w:rPr>
      </w:pPr>
      <w:r w:rsidRPr="00B21A57">
        <w:rPr>
          <w:rFonts w:ascii="Times New Roman" w:hAnsi="Times New Roman" w:cs="Times New Roman"/>
          <w:bCs/>
        </w:rPr>
        <w:t xml:space="preserve">G1s without CM exposure (i.e., </w:t>
      </w:r>
      <w:proofErr w:type="spellStart"/>
      <w:r w:rsidRPr="00B21A57">
        <w:rPr>
          <w:rFonts w:ascii="Times New Roman" w:hAnsi="Times New Roman" w:cs="Times New Roman"/>
          <w:bCs/>
          <w:i/>
          <w:iCs/>
        </w:rPr>
        <w:t>nonmaltreated</w:t>
      </w:r>
      <w:proofErr w:type="spellEnd"/>
      <w:r w:rsidRPr="00B21A57">
        <w:rPr>
          <w:rFonts w:ascii="Times New Roman" w:hAnsi="Times New Roman" w:cs="Times New Roman"/>
          <w:bCs/>
        </w:rPr>
        <w:t>) had significantly fewer G2s exposed to “</w:t>
      </w:r>
      <w:r w:rsidRPr="00B21A57">
        <w:rPr>
          <w:rFonts w:ascii="Times New Roman" w:hAnsi="Times New Roman" w:cs="Times New Roman"/>
          <w:bCs/>
          <w:i/>
          <w:iCs/>
        </w:rPr>
        <w:t>Chronic, Multi-Type</w:t>
      </w:r>
      <w:r w:rsidRPr="00B21A57">
        <w:rPr>
          <w:rFonts w:ascii="Times New Roman" w:hAnsi="Times New Roman" w:cs="Times New Roman"/>
          <w:bCs/>
        </w:rPr>
        <w:t>” CM (adjusted residual = -4.</w:t>
      </w:r>
      <w:r w:rsidR="0069369F">
        <w:rPr>
          <w:rFonts w:ascii="Times New Roman" w:hAnsi="Times New Roman" w:cs="Times New Roman"/>
          <w:bCs/>
        </w:rPr>
        <w:t>7</w:t>
      </w:r>
      <w:r w:rsidRPr="00B21A57">
        <w:rPr>
          <w:rFonts w:ascii="Times New Roman" w:hAnsi="Times New Roman" w:cs="Times New Roman"/>
          <w:bCs/>
        </w:rPr>
        <w:t>) and “Episodic, Single-Type (Abuse)” CM (adjusted residual = -2.6).</w:t>
      </w:r>
      <w:r w:rsidR="00F576AA">
        <w:rPr>
          <w:rFonts w:ascii="Times New Roman" w:hAnsi="Times New Roman" w:cs="Times New Roman"/>
          <w:bCs/>
          <w:color w:val="0070C0"/>
        </w:rPr>
        <w:t xml:space="preserve"> </w:t>
      </w:r>
      <w:r w:rsidRPr="00B21A57">
        <w:rPr>
          <w:rFonts w:ascii="Times New Roman" w:hAnsi="Times New Roman" w:cs="Times New Roman"/>
          <w:bCs/>
        </w:rPr>
        <w:t>However, a lack of CM exposure in G1s was not significantly associated with G2 exposure to “</w:t>
      </w:r>
      <w:r w:rsidRPr="00B21A57">
        <w:rPr>
          <w:rFonts w:ascii="Times New Roman" w:hAnsi="Times New Roman" w:cs="Times New Roman"/>
          <w:bCs/>
          <w:i/>
          <w:iCs/>
        </w:rPr>
        <w:t>Episodic, Single-Type (Neglect)”</w:t>
      </w:r>
      <w:r w:rsidRPr="00B21A57">
        <w:rPr>
          <w:rFonts w:ascii="Times New Roman" w:hAnsi="Times New Roman" w:cs="Times New Roman"/>
          <w:bCs/>
        </w:rPr>
        <w:t xml:space="preserve"> CM (adjusted residual = -0.8).</w:t>
      </w:r>
    </w:p>
    <w:p w14:paraId="59C5D128" w14:textId="519E8511" w:rsidR="008477BF" w:rsidRPr="008477BF" w:rsidRDefault="005C3B48" w:rsidP="00376CD4">
      <w:pPr>
        <w:spacing w:line="360" w:lineRule="auto"/>
        <w:ind w:firstLine="720"/>
        <w:rPr>
          <w:rFonts w:ascii="Times New Roman" w:hAnsi="Times New Roman" w:cs="Times New Roman"/>
        </w:rPr>
      </w:pPr>
      <w:r w:rsidRPr="005C3B48">
        <w:rPr>
          <w:rFonts w:ascii="Times New Roman" w:hAnsi="Times New Roman" w:cs="Times New Roman"/>
          <w:b/>
          <w:bCs/>
        </w:rPr>
        <w:t>Comparison to 4-class results.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Given that three of the G1CM classes remained the same between the 4- and 5-class solutions, the only novel results pertain to the two distinct classes that emerge from the 5-class solution: </w:t>
      </w:r>
      <w:r w:rsidRPr="00052BCE">
        <w:rPr>
          <w:rFonts w:ascii="Times New Roman" w:hAnsi="Times New Roman" w:cs="Times New Roman"/>
          <w:i/>
          <w:iCs/>
        </w:rPr>
        <w:t>Single Subtype</w:t>
      </w:r>
      <w:r>
        <w:rPr>
          <w:rFonts w:ascii="Times New Roman" w:hAnsi="Times New Roman" w:cs="Times New Roman"/>
          <w:i/>
          <w:iCs/>
        </w:rPr>
        <w:t>-Emotional/Physical Abuse</w:t>
      </w:r>
      <w:r w:rsidRPr="00052BCE">
        <w:rPr>
          <w:rFonts w:ascii="Times New Roman" w:hAnsi="Times New Roman" w:cs="Times New Roman"/>
          <w:i/>
          <w:iCs/>
        </w:rPr>
        <w:t xml:space="preserve"> Class</w:t>
      </w:r>
      <w:r w:rsidRPr="00052B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052BCE">
        <w:rPr>
          <w:rFonts w:ascii="Times New Roman" w:hAnsi="Times New Roman" w:cs="Times New Roman"/>
          <w:i/>
          <w:iCs/>
        </w:rPr>
        <w:t>Single Subtype</w:t>
      </w:r>
      <w:r>
        <w:rPr>
          <w:rFonts w:ascii="Times New Roman" w:hAnsi="Times New Roman" w:cs="Times New Roman"/>
          <w:i/>
          <w:iCs/>
        </w:rPr>
        <w:t>-Neglect</w:t>
      </w:r>
      <w:r w:rsidRPr="00052BCE">
        <w:rPr>
          <w:rFonts w:ascii="Times New Roman" w:hAnsi="Times New Roman" w:cs="Times New Roman"/>
          <w:i/>
          <w:iCs/>
        </w:rPr>
        <w:t xml:space="preserve"> Class</w:t>
      </w:r>
      <w:r>
        <w:rPr>
          <w:rFonts w:ascii="Times New Roman" w:hAnsi="Times New Roman" w:cs="Times New Roman"/>
        </w:rPr>
        <w:t>.</w:t>
      </w:r>
      <w:r w:rsidR="00514D3B">
        <w:rPr>
          <w:rFonts w:ascii="Times New Roman" w:hAnsi="Times New Roman" w:cs="Times New Roman"/>
        </w:rPr>
        <w:t xml:space="preserve"> Both classes resulted in the same intergenerational associations as the </w:t>
      </w:r>
      <w:r w:rsidR="00514D3B">
        <w:rPr>
          <w:rFonts w:ascii="Times New Roman" w:hAnsi="Times New Roman" w:cs="Times New Roman"/>
        </w:rPr>
        <w:lastRenderedPageBreak/>
        <w:t>larger, 4-class solution class from which they were derived (</w:t>
      </w:r>
      <w:r w:rsidR="00514D3B" w:rsidRPr="00514D3B">
        <w:rPr>
          <w:rFonts w:ascii="Times New Roman" w:hAnsi="Times New Roman" w:cs="Times New Roman"/>
          <w:i/>
          <w:iCs/>
        </w:rPr>
        <w:t>Single Type-No Sexual Abuse)</w:t>
      </w:r>
      <w:r w:rsidR="00514D3B">
        <w:rPr>
          <w:rFonts w:ascii="Times New Roman" w:hAnsi="Times New Roman" w:cs="Times New Roman"/>
        </w:rPr>
        <w:t xml:space="preserve">. Specifically, </w:t>
      </w:r>
      <w:r w:rsidR="008477BF">
        <w:rPr>
          <w:rFonts w:ascii="Times New Roman" w:hAnsi="Times New Roman" w:cs="Times New Roman"/>
        </w:rPr>
        <w:t xml:space="preserve">G1 </w:t>
      </w:r>
      <w:r w:rsidR="008477BF" w:rsidRPr="00052BCE">
        <w:rPr>
          <w:rFonts w:ascii="Times New Roman" w:hAnsi="Times New Roman" w:cs="Times New Roman"/>
          <w:i/>
          <w:iCs/>
        </w:rPr>
        <w:t>Single Subtype</w:t>
      </w:r>
      <w:r w:rsidR="008477BF">
        <w:rPr>
          <w:rFonts w:ascii="Times New Roman" w:hAnsi="Times New Roman" w:cs="Times New Roman"/>
          <w:i/>
          <w:iCs/>
        </w:rPr>
        <w:t xml:space="preserve"> (Emotional/Physical Abuse) </w:t>
      </w:r>
      <w:r w:rsidR="008477BF" w:rsidRPr="008477BF">
        <w:rPr>
          <w:rFonts w:ascii="Times New Roman" w:hAnsi="Times New Roman" w:cs="Times New Roman"/>
        </w:rPr>
        <w:t>exposure</w:t>
      </w:r>
      <w:r w:rsidR="008477BF" w:rsidRPr="00052BCE">
        <w:rPr>
          <w:rFonts w:ascii="Times New Roman" w:hAnsi="Times New Roman" w:cs="Times New Roman"/>
        </w:rPr>
        <w:t xml:space="preserve"> </w:t>
      </w:r>
      <w:r w:rsidR="008477BF">
        <w:rPr>
          <w:rFonts w:ascii="Times New Roman" w:hAnsi="Times New Roman" w:cs="Times New Roman"/>
        </w:rPr>
        <w:t xml:space="preserve">and </w:t>
      </w:r>
      <w:r w:rsidR="008477BF" w:rsidRPr="00052BCE">
        <w:rPr>
          <w:rFonts w:ascii="Times New Roman" w:hAnsi="Times New Roman" w:cs="Times New Roman"/>
          <w:i/>
          <w:iCs/>
        </w:rPr>
        <w:t>Single Subtype</w:t>
      </w:r>
      <w:r w:rsidR="008477BF">
        <w:rPr>
          <w:rFonts w:ascii="Times New Roman" w:hAnsi="Times New Roman" w:cs="Times New Roman"/>
          <w:i/>
          <w:iCs/>
        </w:rPr>
        <w:t xml:space="preserve"> (Neglect) </w:t>
      </w:r>
      <w:r w:rsidR="008477BF" w:rsidRPr="008477BF">
        <w:rPr>
          <w:rFonts w:ascii="Times New Roman" w:hAnsi="Times New Roman" w:cs="Times New Roman"/>
        </w:rPr>
        <w:t>exposure</w:t>
      </w:r>
      <w:r w:rsidR="008477BF">
        <w:rPr>
          <w:rFonts w:ascii="Times New Roman" w:hAnsi="Times New Roman" w:cs="Times New Roman"/>
        </w:rPr>
        <w:t xml:space="preserve"> was significantly associated with G2 </w:t>
      </w:r>
      <w:r w:rsidR="008477BF" w:rsidRPr="008477BF">
        <w:rPr>
          <w:rFonts w:ascii="Times New Roman" w:hAnsi="Times New Roman" w:cs="Times New Roman"/>
          <w:i/>
          <w:iCs/>
        </w:rPr>
        <w:t>Episodic, Single-Type (Abuse)</w:t>
      </w:r>
      <w:r w:rsidR="008477BF">
        <w:rPr>
          <w:rFonts w:ascii="Times New Roman" w:hAnsi="Times New Roman" w:cs="Times New Roman"/>
          <w:i/>
          <w:iCs/>
        </w:rPr>
        <w:t xml:space="preserve"> </w:t>
      </w:r>
      <w:r w:rsidR="008477BF">
        <w:rPr>
          <w:rFonts w:ascii="Times New Roman" w:hAnsi="Times New Roman" w:cs="Times New Roman"/>
        </w:rPr>
        <w:t xml:space="preserve">exposure, but were not significantly associated with any other pattern of G2 exposure. </w:t>
      </w:r>
    </w:p>
    <w:p w14:paraId="24D7BF34" w14:textId="77777777" w:rsidR="00C121A4" w:rsidRPr="009272D8" w:rsidRDefault="00C121A4">
      <w:pPr>
        <w:rPr>
          <w:rFonts w:ascii="Times New Roman" w:hAnsi="Times New Roman" w:cs="Times New Roman"/>
          <w:bCs/>
        </w:rPr>
      </w:pPr>
    </w:p>
    <w:sectPr w:rsidR="00C121A4" w:rsidRPr="0092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5B8F"/>
    <w:multiLevelType w:val="hybridMultilevel"/>
    <w:tmpl w:val="C432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51A"/>
    <w:multiLevelType w:val="hybridMultilevel"/>
    <w:tmpl w:val="7A9ACEF0"/>
    <w:lvl w:ilvl="0" w:tplc="8378F6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76E59"/>
    <w:multiLevelType w:val="hybridMultilevel"/>
    <w:tmpl w:val="7A9ACEF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502C81"/>
    <w:multiLevelType w:val="hybridMultilevel"/>
    <w:tmpl w:val="6856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7A32"/>
    <w:multiLevelType w:val="hybridMultilevel"/>
    <w:tmpl w:val="39A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0CA2"/>
    <w:multiLevelType w:val="hybridMultilevel"/>
    <w:tmpl w:val="F9FC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49388">
    <w:abstractNumId w:val="3"/>
  </w:num>
  <w:num w:numId="2" w16cid:durableId="1354573886">
    <w:abstractNumId w:val="5"/>
  </w:num>
  <w:num w:numId="3" w16cid:durableId="1619944854">
    <w:abstractNumId w:val="4"/>
  </w:num>
  <w:num w:numId="4" w16cid:durableId="1884903759">
    <w:abstractNumId w:val="1"/>
  </w:num>
  <w:num w:numId="5" w16cid:durableId="81461721">
    <w:abstractNumId w:val="0"/>
  </w:num>
  <w:num w:numId="6" w16cid:durableId="27992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57"/>
    <w:rsid w:val="00052BCE"/>
    <w:rsid w:val="000A1599"/>
    <w:rsid w:val="000D1CE3"/>
    <w:rsid w:val="001D4715"/>
    <w:rsid w:val="001E0D9D"/>
    <w:rsid w:val="002F01DD"/>
    <w:rsid w:val="00375F88"/>
    <w:rsid w:val="00376CD4"/>
    <w:rsid w:val="004260BD"/>
    <w:rsid w:val="00514D3B"/>
    <w:rsid w:val="005B2D73"/>
    <w:rsid w:val="005C3B48"/>
    <w:rsid w:val="0069369F"/>
    <w:rsid w:val="006B11AB"/>
    <w:rsid w:val="008477BF"/>
    <w:rsid w:val="009272D8"/>
    <w:rsid w:val="009C15B6"/>
    <w:rsid w:val="00A16BCB"/>
    <w:rsid w:val="00AA4D57"/>
    <w:rsid w:val="00B21A57"/>
    <w:rsid w:val="00B325A0"/>
    <w:rsid w:val="00B871EB"/>
    <w:rsid w:val="00B96611"/>
    <w:rsid w:val="00C121A4"/>
    <w:rsid w:val="00C84D56"/>
    <w:rsid w:val="00CA6959"/>
    <w:rsid w:val="00CD6E57"/>
    <w:rsid w:val="00D75289"/>
    <w:rsid w:val="00DB2906"/>
    <w:rsid w:val="00DB40F5"/>
    <w:rsid w:val="00E20C07"/>
    <w:rsid w:val="00E2740E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7B8B4"/>
  <w15:chartTrackingRefBased/>
  <w15:docId w15:val="{BEB513F1-37C8-5747-A66D-4E1026F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A5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052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B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BC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052BCE"/>
  </w:style>
  <w:style w:type="character" w:styleId="Emphasis">
    <w:name w:val="Emphasis"/>
    <w:basedOn w:val="DefaultParagraphFont"/>
    <w:uiPriority w:val="20"/>
    <w:qFormat/>
    <w:rsid w:val="00052BCE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C121A4"/>
    <w:rPr>
      <w:vertAlign w:val="superscript"/>
    </w:rPr>
  </w:style>
  <w:style w:type="table" w:styleId="TableGrid">
    <w:name w:val="Table Grid"/>
    <w:basedOn w:val="TableNormal"/>
    <w:uiPriority w:val="39"/>
    <w:rsid w:val="00B325A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Russotti, Justin</dc:creator>
  <cp:keywords/>
  <dc:description/>
  <cp:lastModifiedBy>Russotti, Justin</cp:lastModifiedBy>
  <cp:revision>25</cp:revision>
  <dcterms:created xsi:type="dcterms:W3CDTF">2025-02-17T16:26:00Z</dcterms:created>
  <dcterms:modified xsi:type="dcterms:W3CDTF">2025-02-28T15:14:00Z</dcterms:modified>
</cp:coreProperties>
</file>