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7E7F" w14:textId="64E864D8" w:rsidR="00D3006F" w:rsidRPr="003A38B2" w:rsidRDefault="006323AF" w:rsidP="006323AF">
      <w:pPr>
        <w:spacing w:line="480" w:lineRule="auto"/>
        <w:rPr>
          <w:rFonts w:ascii="Times New Roman" w:hAnsi="Times New Roman" w:cs="Times New Roman"/>
          <w:i/>
          <w:iCs/>
        </w:rPr>
      </w:pPr>
      <w:r w:rsidRPr="003A38B2">
        <w:rPr>
          <w:rFonts w:ascii="Times New Roman" w:hAnsi="Times New Roman" w:cs="Times New Roman"/>
          <w:i/>
          <w:iCs/>
        </w:rPr>
        <w:t xml:space="preserve">Bifactor </w:t>
      </w:r>
      <w:r w:rsidR="003A38B2">
        <w:rPr>
          <w:rFonts w:ascii="Times New Roman" w:hAnsi="Times New Roman" w:cs="Times New Roman"/>
          <w:i/>
          <w:iCs/>
        </w:rPr>
        <w:t>m</w:t>
      </w:r>
      <w:r w:rsidRPr="003A38B2">
        <w:rPr>
          <w:rFonts w:ascii="Times New Roman" w:hAnsi="Times New Roman" w:cs="Times New Roman"/>
          <w:i/>
          <w:iCs/>
        </w:rPr>
        <w:t xml:space="preserve">easurement </w:t>
      </w:r>
      <w:r w:rsidR="003A38B2">
        <w:rPr>
          <w:rFonts w:ascii="Times New Roman" w:hAnsi="Times New Roman" w:cs="Times New Roman"/>
          <w:i/>
          <w:iCs/>
        </w:rPr>
        <w:t>i</w:t>
      </w:r>
      <w:r w:rsidRPr="003A38B2">
        <w:rPr>
          <w:rFonts w:ascii="Times New Roman" w:hAnsi="Times New Roman" w:cs="Times New Roman"/>
          <w:i/>
          <w:iCs/>
        </w:rPr>
        <w:t>nvariance</w:t>
      </w:r>
    </w:p>
    <w:p w14:paraId="16E28942" w14:textId="122F98B8" w:rsidR="00B360D5" w:rsidRDefault="00B360D5" w:rsidP="00B360D5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L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ongitudinal measurement invariance of bifactor models was tested at </w:t>
      </w:r>
      <w:r>
        <w:rPr>
          <w:rFonts w:ascii="Times New Roman" w:eastAsia="Times New Roman" w:hAnsi="Times New Roman" w:cs="Times New Roman"/>
          <w:color w:val="000000" w:themeColor="text1"/>
        </w:rPr>
        <w:t>W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1-2 (for the YSR subscales) and at </w:t>
      </w:r>
      <w:r>
        <w:rPr>
          <w:rFonts w:ascii="Times New Roman" w:eastAsia="Times New Roman" w:hAnsi="Times New Roman" w:cs="Times New Roman"/>
          <w:color w:val="000000" w:themeColor="text1"/>
        </w:rPr>
        <w:t>W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3-4 (for the ASR subscales).</w:t>
      </w:r>
      <w:r w:rsidRPr="00FC0BE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The configural invariance combined </w:t>
      </w:r>
      <w:r>
        <w:rPr>
          <w:rFonts w:ascii="Times New Roman" w:eastAsia="Times New Roman" w:hAnsi="Times New Roman" w:cs="Times New Roman"/>
          <w:color w:val="000000" w:themeColor="text1"/>
        </w:rPr>
        <w:t>W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1 and </w:t>
      </w:r>
      <w:r>
        <w:rPr>
          <w:rFonts w:ascii="Times New Roman" w:eastAsia="Times New Roman" w:hAnsi="Times New Roman" w:cs="Times New Roman"/>
          <w:color w:val="000000" w:themeColor="text1"/>
        </w:rPr>
        <w:t>W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2 bifactor model provided an adequate fit to the data (χ</w:t>
      </w:r>
      <w:r w:rsidRPr="00FC0BE7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=941.58(480), p&lt;.001, CFI=.95, TLI=.94, RMSEA=.03, SRMR=.06). It should be noted that only partial invariance could be tested across </w:t>
      </w:r>
      <w:r>
        <w:rPr>
          <w:rFonts w:ascii="Times New Roman" w:eastAsia="Times New Roman" w:hAnsi="Times New Roman" w:cs="Times New Roman"/>
          <w:color w:val="000000" w:themeColor="text1"/>
        </w:rPr>
        <w:t>W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1 and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W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2 due to differences in the ways in which the </w:t>
      </w:r>
      <w:r w:rsidRPr="00620B1B">
        <w:rPr>
          <w:rFonts w:ascii="Times New Roman" w:eastAsia="Times New Roman" w:hAnsi="Times New Roman" w:cs="Times New Roman"/>
          <w:color w:val="000000" w:themeColor="text1"/>
        </w:rPr>
        <w:t>alcohol use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specific factors were constructed in order to accurately capture changes in substance use across this developmental period. A nested model test did not support metric invariance (χ</w:t>
      </w:r>
      <w:r w:rsidRPr="00FC0BE7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=183.68(15), </w:t>
      </w:r>
      <w:r w:rsidRPr="00FC0BE7">
        <w:rPr>
          <w:rFonts w:ascii="Times New Roman" w:eastAsia="Times New Roman" w:hAnsi="Times New Roman" w:cs="Times New Roman"/>
          <w:i/>
          <w:color w:val="000000" w:themeColor="text1"/>
        </w:rPr>
        <w:t>p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&lt;.001). Similarly, </w:t>
      </w:r>
      <w:r w:rsidRPr="00FC0BE7">
        <w:rPr>
          <w:rFonts w:ascii="Times New Roman" w:eastAsia="Times New Roman" w:hAnsi="Times New Roman" w:cs="Times New Roman"/>
        </w:rPr>
        <w:t xml:space="preserve">the configural invariance combined </w:t>
      </w:r>
      <w:r>
        <w:rPr>
          <w:rFonts w:ascii="Times New Roman" w:eastAsia="Times New Roman" w:hAnsi="Times New Roman" w:cs="Times New Roman"/>
        </w:rPr>
        <w:t>W</w:t>
      </w:r>
      <w:r w:rsidRPr="00FC0BE7">
        <w:rPr>
          <w:rFonts w:ascii="Times New Roman" w:eastAsia="Times New Roman" w:hAnsi="Times New Roman" w:cs="Times New Roman"/>
        </w:rPr>
        <w:t xml:space="preserve">3 and </w:t>
      </w:r>
      <w:r>
        <w:rPr>
          <w:rFonts w:ascii="Times New Roman" w:eastAsia="Times New Roman" w:hAnsi="Times New Roman" w:cs="Times New Roman"/>
        </w:rPr>
        <w:t>W</w:t>
      </w:r>
      <w:r w:rsidRPr="00FC0BE7">
        <w:rPr>
          <w:rFonts w:ascii="Times New Roman" w:eastAsia="Times New Roman" w:hAnsi="Times New Roman" w:cs="Times New Roman"/>
        </w:rPr>
        <w:t>4 bifactor model provided an adequate fit to the data (χ</w:t>
      </w:r>
      <w:r w:rsidRPr="00FC0BE7">
        <w:rPr>
          <w:rFonts w:ascii="Times New Roman" w:eastAsia="Times New Roman" w:hAnsi="Times New Roman" w:cs="Times New Roman"/>
          <w:vertAlign w:val="superscript"/>
        </w:rPr>
        <w:t>2</w:t>
      </w:r>
      <w:r w:rsidRPr="00FC0BE7">
        <w:rPr>
          <w:rFonts w:ascii="Times New Roman" w:eastAsia="Times New Roman" w:hAnsi="Times New Roman" w:cs="Times New Roman"/>
        </w:rPr>
        <w:t>=1276.87(674), p&lt;.001, CFI=.96, TLI=.95, RMSEA=.03, SRMR=.08), and a nested model test did not support full metric invariance (χ</w:t>
      </w:r>
      <w:r w:rsidRPr="00FC0BE7">
        <w:rPr>
          <w:rFonts w:ascii="Times New Roman" w:eastAsia="Times New Roman" w:hAnsi="Times New Roman" w:cs="Times New Roman"/>
          <w:vertAlign w:val="superscript"/>
        </w:rPr>
        <w:t>2</w:t>
      </w:r>
      <w:r w:rsidRPr="00FC0BE7">
        <w:rPr>
          <w:rFonts w:ascii="Times New Roman" w:eastAsia="Times New Roman" w:hAnsi="Times New Roman" w:cs="Times New Roman"/>
        </w:rPr>
        <w:t xml:space="preserve">=64.64(27), </w:t>
      </w:r>
      <w:r w:rsidRPr="00FC0BE7">
        <w:rPr>
          <w:rFonts w:ascii="Times New Roman" w:eastAsia="Times New Roman" w:hAnsi="Times New Roman" w:cs="Times New Roman"/>
          <w:i/>
        </w:rPr>
        <w:t>p</w:t>
      </w:r>
      <w:r w:rsidRPr="00FC0BE7">
        <w:rPr>
          <w:rFonts w:ascii="Times New Roman" w:eastAsia="Times New Roman" w:hAnsi="Times New Roman" w:cs="Times New Roman"/>
        </w:rPr>
        <w:t xml:space="preserve">&lt;.001). </w:t>
      </w:r>
      <w:r>
        <w:rPr>
          <w:rFonts w:ascii="Times New Roman" w:eastAsia="Times New Roman" w:hAnsi="Times New Roman" w:cs="Times New Roman"/>
        </w:rPr>
        <w:t xml:space="preserve">However, when testing metric invariance, the model CFI only decreased by 0.005 at W1-2 and 0.003 at W3-4, which suggests a nonsignificant decrement in model fit </w:t>
      </w:r>
      <w:r w:rsidRPr="00724D60">
        <w:rPr>
          <w:rFonts w:ascii="Times New Roman" w:eastAsia="Times New Roman" w:hAnsi="Times New Roman" w:cs="Times New Roman"/>
        </w:rPr>
        <w:t xml:space="preserve">(Cheung &amp; </w:t>
      </w:r>
      <w:proofErr w:type="spellStart"/>
      <w:r w:rsidRPr="00724D60">
        <w:rPr>
          <w:rFonts w:ascii="Times New Roman" w:eastAsia="Times New Roman" w:hAnsi="Times New Roman" w:cs="Times New Roman"/>
        </w:rPr>
        <w:t>Rensvold</w:t>
      </w:r>
      <w:proofErr w:type="spellEnd"/>
      <w:r w:rsidRPr="00724D60">
        <w:rPr>
          <w:rFonts w:ascii="Times New Roman" w:eastAsia="Times New Roman" w:hAnsi="Times New Roman" w:cs="Times New Roman"/>
        </w:rPr>
        <w:t>, 2002)</w:t>
      </w:r>
      <w:r>
        <w:rPr>
          <w:rFonts w:ascii="Times New Roman" w:eastAsia="Times New Roman" w:hAnsi="Times New Roman" w:cs="Times New Roman"/>
        </w:rPr>
        <w:t>. Taken together, it is likely that large sample sizes in the current study allowed nested tests to be well-powered to detect small trivial differences in factor loadings across models.</w:t>
      </w:r>
    </w:p>
    <w:p w14:paraId="2144A371" w14:textId="6824403E" w:rsidR="003A38B2" w:rsidRPr="003A38B2" w:rsidRDefault="003A38B2" w:rsidP="003A38B2">
      <w:pPr>
        <w:spacing w:line="48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Bifactor model fit</w:t>
      </w:r>
    </w:p>
    <w:p w14:paraId="0BB86885" w14:textId="77777777" w:rsidR="003A38B2" w:rsidRDefault="003A38B2" w:rsidP="003A38B2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Additional fit indices for the bifactor models indicated that the factor loadings of a unidimensional externalizing factor at each timepoint would have resulted in biased factor loadings. The values of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PUC and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ECV for the bifactor models supported the specification of bifactor rather than a unidimensional models of externalizing symptoms (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PUC range = .82-.81;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ECVs range = .4</w:t>
      </w:r>
      <w:r>
        <w:rPr>
          <w:rFonts w:ascii="Times New Roman" w:eastAsia="Times New Roman" w:hAnsi="Times New Roman" w:cs="Times New Roman"/>
          <w:color w:val="000000" w:themeColor="text1"/>
        </w:rPr>
        <w:t>8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-.5</w:t>
      </w:r>
      <w:r>
        <w:rPr>
          <w:rFonts w:ascii="Times New Roman" w:eastAsia="Times New Roman" w:hAnsi="Times New Roman" w:cs="Times New Roman"/>
          <w:color w:val="000000" w:themeColor="text1"/>
        </w:rPr>
        <w:t>4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values were greater than .70 for the externalizing general factor (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H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range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=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.8</w:t>
      </w:r>
      <w:r>
        <w:rPr>
          <w:rFonts w:ascii="Times New Roman" w:eastAsia="Times New Roman" w:hAnsi="Times New Roman" w:cs="Times New Roman"/>
          <w:color w:val="000000" w:themeColor="text1"/>
        </w:rPr>
        <w:t>6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-.</w:t>
      </w:r>
      <w:r>
        <w:rPr>
          <w:rFonts w:ascii="Times New Roman" w:eastAsia="Times New Roman" w:hAnsi="Times New Roman" w:cs="Times New Roman"/>
          <w:color w:val="000000" w:themeColor="text1"/>
        </w:rPr>
        <w:t>90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) and </w:t>
      </w:r>
      <w:r w:rsidRPr="001C17C8">
        <w:rPr>
          <w:rFonts w:ascii="Times New Roman" w:eastAsia="Times New Roman" w:hAnsi="Times New Roman" w:cs="Times New Roman"/>
          <w:color w:val="000000" w:themeColor="text1"/>
        </w:rPr>
        <w:t>alcohol use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specific factor (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range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=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.86-.</w:t>
      </w:r>
      <w:r>
        <w:rPr>
          <w:rFonts w:ascii="Times New Roman" w:eastAsia="Times New Roman" w:hAnsi="Times New Roman" w:cs="Times New Roman"/>
          <w:color w:val="000000" w:themeColor="text1"/>
        </w:rPr>
        <w:t>9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4</w:t>
      </w:r>
      <w:r>
        <w:rPr>
          <w:rFonts w:ascii="Times New Roman" w:eastAsia="Times New Roman" w:hAnsi="Times New Roman" w:cs="Times New Roman"/>
          <w:color w:val="000000" w:themeColor="text1"/>
        </w:rPr>
        <w:t>; see Table 4)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These high 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values indicate that the general externalizing and alcohol use specific factors were well-defined </w:t>
      </w:r>
      <w:r>
        <w:rPr>
          <w:rFonts w:ascii="Times New Roman" w:eastAsia="Times New Roman" w:hAnsi="Times New Roman" w:cs="Times New Roman"/>
          <w:color w:val="000000" w:themeColor="text1"/>
        </w:rPr>
        <w:lastRenderedPageBreak/>
        <w:t>by their indicators, and thus, will likely have more stability across studies.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values during early adolescence for the aggressive behavior factor suggested that this latent factor was less-adequately represented in early (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=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.5</w:t>
      </w: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)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to middle adolescence (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=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.50). The </w:t>
      </w:r>
      <w:r>
        <w:rPr>
          <w:rFonts w:ascii="Times New Roman" w:eastAsia="Times New Roman" w:hAnsi="Times New Roman" w:cs="Times New Roman"/>
          <w:color w:val="000000" w:themeColor="text1"/>
        </w:rPr>
        <w:t>aggression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specific factors were better represented by their items in late adolescence (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=.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69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)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to early adulthood (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=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 w:themeColor="text1"/>
        </w:rPr>
        <w:t>7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0). 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values for the drug use specific factors indicated that this factor was better represented in middle adolescence (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= 0.67) than in late adolescence (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= 0.57) and early adulthood (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= 0.56).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Low 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H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values of specific aggression in early and middle adolescence, and low </w:t>
      </w:r>
      <w:r w:rsidRPr="00EA6EE0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values of specific drug use in late adolescence and early adulthood indicate that these latent variables were not well-defined by their indicators and, thus, are expected to change across studies. </w:t>
      </w:r>
    </w:p>
    <w:p w14:paraId="4F9C1A83" w14:textId="46C5A879" w:rsidR="00B360D5" w:rsidRPr="00C34356" w:rsidRDefault="003A38B2" w:rsidP="00C34356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proofErr w:type="spellStart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  <w:vertAlign w:val="subscript"/>
        </w:rPr>
        <w:t>S</w:t>
      </w:r>
      <w:proofErr w:type="spellEnd"/>
      <w:r w:rsidRPr="00FC0BE7">
        <w:rPr>
          <w:rFonts w:ascii="Times New Roman" w:eastAsia="Times New Roman" w:hAnsi="Times New Roman" w:cs="Times New Roman"/>
          <w:color w:val="000000" w:themeColor="text1"/>
          <w:vertAlign w:val="subscript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values indicated that the general externalizing factor and specific factors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for alcohol and aggression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all had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good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reliability (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ω/</w:t>
      </w:r>
      <w:proofErr w:type="spellStart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  <w:vertAlign w:val="subscript"/>
        </w:rPr>
        <w:t>S</w:t>
      </w:r>
      <w:proofErr w:type="spellEnd"/>
      <w:r w:rsidRPr="00FC0BE7">
        <w:rPr>
          <w:rFonts w:ascii="Times New Roman" w:eastAsia="Times New Roman" w:hAnsi="Times New Roman" w:cs="Times New Roman"/>
          <w:color w:val="000000" w:themeColor="text1"/>
        </w:rPr>
        <w:t>&gt;.8</w:t>
      </w: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>).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proofErr w:type="spellStart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  <w:vertAlign w:val="subscript"/>
        </w:rPr>
        <w:t>S</w:t>
      </w:r>
      <w:proofErr w:type="spellEnd"/>
      <w:r w:rsidRPr="00FC0BE7">
        <w:rPr>
          <w:rFonts w:ascii="Times New Roman" w:eastAsia="Times New Roman" w:hAnsi="Times New Roman" w:cs="Times New Roman"/>
          <w:color w:val="000000" w:themeColor="text1"/>
          <w:vertAlign w:val="subscript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</w:rPr>
        <w:t xml:space="preserve">values </w:t>
      </w:r>
      <w:r>
        <w:rPr>
          <w:rFonts w:ascii="Times New Roman" w:eastAsia="Times New Roman" w:hAnsi="Times New Roman" w:cs="Times New Roman"/>
          <w:color w:val="000000" w:themeColor="text1"/>
        </w:rPr>
        <w:t>for the drug use specific factors were lower, constituting acceptable reliability (</w:t>
      </w:r>
      <w:proofErr w:type="spellStart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  <w:vertAlign w:val="subscript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range =.68-.79). </w:t>
      </w:r>
      <w:proofErr w:type="spellStart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bscript"/>
        </w:rPr>
        <w:t>H</w:t>
      </w:r>
      <w:proofErr w:type="spellEnd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bscript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was acceptable across all waves for the general externalizing factor (</w:t>
      </w:r>
      <w:proofErr w:type="spellStart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bscript"/>
        </w:rPr>
        <w:t>H</w:t>
      </w:r>
      <w:proofErr w:type="spellEnd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bscript"/>
        </w:rPr>
        <w:t xml:space="preserve"> 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range=.</w:t>
      </w:r>
      <w:r w:rsidRPr="00CA43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69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-.77)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A43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</w:t>
      </w:r>
      <w:proofErr w:type="spellStart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bscript"/>
        </w:rPr>
        <w:t>HS</w:t>
      </w:r>
      <w:proofErr w:type="spellEnd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ranged from .</w:t>
      </w:r>
      <w:r w:rsidRPr="00CA43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65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to .</w:t>
      </w:r>
      <w:r w:rsidRPr="00CA43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85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for the </w:t>
      </w:r>
      <w:r w:rsidRPr="00CA43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alcohol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use specific factor</w:t>
      </w:r>
      <w:r w:rsidRPr="00CA43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s, 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suggesting that these factors were the predominant sources of variance relative to the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other 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specific factors at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each wave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bscript"/>
        </w:rPr>
        <w:t>HS</w:t>
      </w:r>
      <w:proofErr w:type="spellEnd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ranged</w:t>
      </w:r>
      <w:r w:rsidRPr="00AB3F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from .40 to .45 for the drug use specific factors,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</w:t>
      </w:r>
      <w:r w:rsidRPr="00AB3F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from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</w:t>
      </w:r>
      <w:r w:rsidRPr="00AB3F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24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to .4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5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for the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aggression 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specific factor</w:t>
      </w:r>
      <w:r w:rsidRPr="00AB3F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It is not surprising that </w:t>
      </w:r>
      <w:proofErr w:type="spellStart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bscript"/>
        </w:rPr>
        <w:t>HS</w:t>
      </w:r>
      <w:proofErr w:type="spellEnd"/>
      <w:r w:rsidRPr="008D0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were lower than 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values for these specific factors because </w:t>
      </w:r>
      <w:proofErr w:type="spellStart"/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ω</w:t>
      </w:r>
      <w:r w:rsidRPr="00FC0BE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bscript"/>
        </w:rPr>
        <w:t>HS</w:t>
      </w:r>
      <w:proofErr w:type="spellEnd"/>
      <w:r w:rsidRPr="008D0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values </w:t>
      </w:r>
      <w:r w:rsidRPr="009B2DA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reflect only variance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9B2DA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attributable to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each specific factor </w:t>
      </w:r>
      <w:r w:rsidRPr="0013424F">
        <w:rPr>
          <w:rFonts w:ascii="Times New Roman" w:eastAsia="Times New Roman" w:hAnsi="Times New Roman" w:cs="Times New Roman"/>
          <w:color w:val="222222"/>
          <w:shd w:val="clear" w:color="auto" w:fill="FFFFFF"/>
        </w:rPr>
        <w:t>whereas ω</w:t>
      </w:r>
      <w:r w:rsidRPr="0013424F">
        <w:rPr>
          <w:rFonts w:ascii="Times New Roman" w:eastAsia="Times New Roman" w:hAnsi="Times New Roman" w:cs="Times New Roman"/>
          <w:color w:val="222222"/>
          <w:shd w:val="clear" w:color="auto" w:fill="FFFFFF"/>
          <w:vertAlign w:val="subscript"/>
        </w:rPr>
        <w:t xml:space="preserve"> </w:t>
      </w:r>
      <w:r w:rsidRPr="0013424F">
        <w:rPr>
          <w:rFonts w:ascii="Times New Roman" w:eastAsia="Times New Roman" w:hAnsi="Times New Roman" w:cs="Times New Roman"/>
        </w:rPr>
        <w:t>is a function of all common variance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Once partitioning out the variance for the general externalizing factor, very little common variance remained for the aggression and drug use specific factors, and thus, subscale reliability decreased. </w:t>
      </w:r>
      <w:r w:rsidRPr="008D0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Factor score determinacies, which reflect the correlation between the factor scores and true latent factor scores,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8D0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were acceptable and ranged from .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72</w:t>
      </w:r>
      <w:r w:rsidRPr="008D0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to .9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7</w:t>
      </w:r>
      <w:r w:rsidRPr="008D0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sectPr w:rsidR="00B360D5" w:rsidRPr="00C34356" w:rsidSect="00C7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7"/>
    <w:rsid w:val="0003187F"/>
    <w:rsid w:val="00041525"/>
    <w:rsid w:val="0004168E"/>
    <w:rsid w:val="00041CED"/>
    <w:rsid w:val="0004418B"/>
    <w:rsid w:val="00046261"/>
    <w:rsid w:val="0005267A"/>
    <w:rsid w:val="000701B9"/>
    <w:rsid w:val="000748CA"/>
    <w:rsid w:val="00082923"/>
    <w:rsid w:val="00083EBD"/>
    <w:rsid w:val="000B344A"/>
    <w:rsid w:val="000C58B9"/>
    <w:rsid w:val="00102FC1"/>
    <w:rsid w:val="001164F4"/>
    <w:rsid w:val="0014656E"/>
    <w:rsid w:val="001832FF"/>
    <w:rsid w:val="001A503B"/>
    <w:rsid w:val="001A7120"/>
    <w:rsid w:val="001B7424"/>
    <w:rsid w:val="001C4ABE"/>
    <w:rsid w:val="00225409"/>
    <w:rsid w:val="002A6554"/>
    <w:rsid w:val="002B2A62"/>
    <w:rsid w:val="002B4620"/>
    <w:rsid w:val="002C4919"/>
    <w:rsid w:val="002C61C3"/>
    <w:rsid w:val="002D0C66"/>
    <w:rsid w:val="002D3EA0"/>
    <w:rsid w:val="002E3F82"/>
    <w:rsid w:val="00323557"/>
    <w:rsid w:val="0034448B"/>
    <w:rsid w:val="0035520B"/>
    <w:rsid w:val="00380D7F"/>
    <w:rsid w:val="00385DE7"/>
    <w:rsid w:val="00392F4C"/>
    <w:rsid w:val="003A38B2"/>
    <w:rsid w:val="003B6BCC"/>
    <w:rsid w:val="003D192B"/>
    <w:rsid w:val="003E0561"/>
    <w:rsid w:val="00415E55"/>
    <w:rsid w:val="00435086"/>
    <w:rsid w:val="00451552"/>
    <w:rsid w:val="00473CA8"/>
    <w:rsid w:val="00490C1C"/>
    <w:rsid w:val="00492377"/>
    <w:rsid w:val="00493C93"/>
    <w:rsid w:val="004A029E"/>
    <w:rsid w:val="004C1EA8"/>
    <w:rsid w:val="004C7383"/>
    <w:rsid w:val="004D1857"/>
    <w:rsid w:val="004F5C04"/>
    <w:rsid w:val="00507D0F"/>
    <w:rsid w:val="005141A7"/>
    <w:rsid w:val="00530BBB"/>
    <w:rsid w:val="00596663"/>
    <w:rsid w:val="00597176"/>
    <w:rsid w:val="00597440"/>
    <w:rsid w:val="005A0EA9"/>
    <w:rsid w:val="005B6E35"/>
    <w:rsid w:val="005C715D"/>
    <w:rsid w:val="005D6D1A"/>
    <w:rsid w:val="005E273D"/>
    <w:rsid w:val="00621212"/>
    <w:rsid w:val="00621EFA"/>
    <w:rsid w:val="00625110"/>
    <w:rsid w:val="00626927"/>
    <w:rsid w:val="006323AF"/>
    <w:rsid w:val="00635684"/>
    <w:rsid w:val="00645CAE"/>
    <w:rsid w:val="00655824"/>
    <w:rsid w:val="00656044"/>
    <w:rsid w:val="00661360"/>
    <w:rsid w:val="00661528"/>
    <w:rsid w:val="00666EE3"/>
    <w:rsid w:val="00672A72"/>
    <w:rsid w:val="00683DDE"/>
    <w:rsid w:val="00691787"/>
    <w:rsid w:val="006A2664"/>
    <w:rsid w:val="006B6CBA"/>
    <w:rsid w:val="006D2F88"/>
    <w:rsid w:val="006D3A72"/>
    <w:rsid w:val="006D6336"/>
    <w:rsid w:val="006E23D0"/>
    <w:rsid w:val="00724C64"/>
    <w:rsid w:val="007318C4"/>
    <w:rsid w:val="00744FD7"/>
    <w:rsid w:val="00745F85"/>
    <w:rsid w:val="0075389B"/>
    <w:rsid w:val="00757CC6"/>
    <w:rsid w:val="007929EA"/>
    <w:rsid w:val="00795B55"/>
    <w:rsid w:val="007A15EB"/>
    <w:rsid w:val="00816F5B"/>
    <w:rsid w:val="0083633A"/>
    <w:rsid w:val="00842D0A"/>
    <w:rsid w:val="00877E6B"/>
    <w:rsid w:val="008919D6"/>
    <w:rsid w:val="008A506F"/>
    <w:rsid w:val="008C02C4"/>
    <w:rsid w:val="008E1253"/>
    <w:rsid w:val="008E6D30"/>
    <w:rsid w:val="00900258"/>
    <w:rsid w:val="009119D2"/>
    <w:rsid w:val="00913255"/>
    <w:rsid w:val="00920791"/>
    <w:rsid w:val="009250B1"/>
    <w:rsid w:val="009306C4"/>
    <w:rsid w:val="0093336E"/>
    <w:rsid w:val="00955ADF"/>
    <w:rsid w:val="0098032F"/>
    <w:rsid w:val="009927FD"/>
    <w:rsid w:val="009B2164"/>
    <w:rsid w:val="009B6CC5"/>
    <w:rsid w:val="009C269F"/>
    <w:rsid w:val="009D7462"/>
    <w:rsid w:val="009E369B"/>
    <w:rsid w:val="00A01279"/>
    <w:rsid w:val="00A127C3"/>
    <w:rsid w:val="00A17276"/>
    <w:rsid w:val="00A35443"/>
    <w:rsid w:val="00A50A2B"/>
    <w:rsid w:val="00A57128"/>
    <w:rsid w:val="00A7336D"/>
    <w:rsid w:val="00A73A9B"/>
    <w:rsid w:val="00AD4501"/>
    <w:rsid w:val="00B02F83"/>
    <w:rsid w:val="00B063FE"/>
    <w:rsid w:val="00B178E1"/>
    <w:rsid w:val="00B24B5B"/>
    <w:rsid w:val="00B360D5"/>
    <w:rsid w:val="00B47D3F"/>
    <w:rsid w:val="00B519DF"/>
    <w:rsid w:val="00B54B48"/>
    <w:rsid w:val="00B578B3"/>
    <w:rsid w:val="00B73E95"/>
    <w:rsid w:val="00B75153"/>
    <w:rsid w:val="00B87FCB"/>
    <w:rsid w:val="00B93F12"/>
    <w:rsid w:val="00B95057"/>
    <w:rsid w:val="00B959BF"/>
    <w:rsid w:val="00BC05CD"/>
    <w:rsid w:val="00BE4762"/>
    <w:rsid w:val="00BE49BF"/>
    <w:rsid w:val="00BF70CC"/>
    <w:rsid w:val="00C05719"/>
    <w:rsid w:val="00C34356"/>
    <w:rsid w:val="00C345B3"/>
    <w:rsid w:val="00C50DBB"/>
    <w:rsid w:val="00C70A2B"/>
    <w:rsid w:val="00C70BDC"/>
    <w:rsid w:val="00C8482E"/>
    <w:rsid w:val="00C90B24"/>
    <w:rsid w:val="00CC13CA"/>
    <w:rsid w:val="00D136E8"/>
    <w:rsid w:val="00D138D6"/>
    <w:rsid w:val="00D24303"/>
    <w:rsid w:val="00D3006F"/>
    <w:rsid w:val="00D31E2C"/>
    <w:rsid w:val="00D36198"/>
    <w:rsid w:val="00D40A60"/>
    <w:rsid w:val="00D54505"/>
    <w:rsid w:val="00D62C2F"/>
    <w:rsid w:val="00D75789"/>
    <w:rsid w:val="00D82899"/>
    <w:rsid w:val="00D94822"/>
    <w:rsid w:val="00DA3062"/>
    <w:rsid w:val="00DD2288"/>
    <w:rsid w:val="00DD592F"/>
    <w:rsid w:val="00DE1D53"/>
    <w:rsid w:val="00E369AE"/>
    <w:rsid w:val="00E372BC"/>
    <w:rsid w:val="00E62BE1"/>
    <w:rsid w:val="00E65849"/>
    <w:rsid w:val="00E93477"/>
    <w:rsid w:val="00EB2DA4"/>
    <w:rsid w:val="00EC357E"/>
    <w:rsid w:val="00EC5984"/>
    <w:rsid w:val="00ED14BB"/>
    <w:rsid w:val="00F3456E"/>
    <w:rsid w:val="00F626A0"/>
    <w:rsid w:val="00F63799"/>
    <w:rsid w:val="00F76EAA"/>
    <w:rsid w:val="00FA3E19"/>
    <w:rsid w:val="00FA7FEF"/>
    <w:rsid w:val="00FB1442"/>
    <w:rsid w:val="00FB5BD5"/>
    <w:rsid w:val="00FC26BA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081C7"/>
  <w15:chartTrackingRefBased/>
  <w15:docId w15:val="{6D6CC3C0-B322-5148-8F3E-A3970D9C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3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8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Paige, Kathleen</dc:creator>
  <cp:keywords/>
  <dc:description/>
  <cp:lastModifiedBy>Katie Paige</cp:lastModifiedBy>
  <cp:revision>5</cp:revision>
  <dcterms:created xsi:type="dcterms:W3CDTF">2023-10-30T15:14:00Z</dcterms:created>
  <dcterms:modified xsi:type="dcterms:W3CDTF">2024-01-04T19:14:00Z</dcterms:modified>
</cp:coreProperties>
</file>