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CD352" w14:textId="77777777" w:rsidR="00657F81" w:rsidRDefault="00657F81" w:rsidP="000239A7">
      <w:pPr>
        <w:pStyle w:val="Heading1"/>
      </w:pPr>
      <w:bookmarkStart w:id="0" w:name="_Toc138755586"/>
      <w:r>
        <w:t>APPENDIX</w:t>
      </w:r>
      <w:bookmarkEnd w:id="0"/>
    </w:p>
    <w:p w14:paraId="23E3B93F" w14:textId="77777777" w:rsidR="00657F81" w:rsidRDefault="00657F81" w:rsidP="00657F81">
      <w:pPr>
        <w:spacing w:line="480" w:lineRule="auto"/>
        <w:rPr>
          <w:rFonts w:ascii="Times New Roman" w:hAnsi="Times New Roman" w:cs="Times New Roman"/>
          <w:b/>
          <w:bCs/>
        </w:rPr>
      </w:pPr>
      <w:r w:rsidRPr="000D6B70">
        <w:rPr>
          <w:rFonts w:ascii="Times New Roman" w:hAnsi="Times New Roman" w:cs="Times New Roman"/>
          <w:b/>
          <w:bCs/>
        </w:rPr>
        <w:t>Table 1</w:t>
      </w:r>
    </w:p>
    <w:p w14:paraId="723E2613" w14:textId="1CB371A6" w:rsidR="000D6B70" w:rsidRPr="000D6B70" w:rsidRDefault="000D6B70" w:rsidP="00657F81">
      <w:pPr>
        <w:spacing w:line="480" w:lineRule="auto"/>
        <w:rPr>
          <w:rFonts w:ascii="Times New Roman" w:hAnsi="Times New Roman" w:cs="Times New Roman"/>
          <w:i/>
          <w:iCs/>
        </w:rPr>
      </w:pPr>
      <w:r>
        <w:rPr>
          <w:rFonts w:ascii="Times New Roman" w:hAnsi="Times New Roman" w:cs="Times New Roman"/>
          <w:i/>
          <w:iCs/>
        </w:rPr>
        <w:t>Scoring Criteria for Adverse Childhood Experiences</w:t>
      </w:r>
    </w:p>
    <w:tbl>
      <w:tblPr>
        <w:tblStyle w:val="PlainTable2"/>
        <w:tblW w:w="0" w:type="auto"/>
        <w:tblLook w:val="04A0" w:firstRow="1" w:lastRow="0" w:firstColumn="1" w:lastColumn="0" w:noHBand="0" w:noVBand="1"/>
      </w:tblPr>
      <w:tblGrid>
        <w:gridCol w:w="2515"/>
        <w:gridCol w:w="6835"/>
      </w:tblGrid>
      <w:tr w:rsidR="000D6B70" w:rsidRPr="000D6B70" w14:paraId="70610ABA" w14:textId="77777777" w:rsidTr="000D6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C2B82BA" w14:textId="5FC59560" w:rsidR="000D6B70" w:rsidRPr="000D6B70" w:rsidRDefault="000D6B70" w:rsidP="000D6B70">
            <w:pPr>
              <w:jc w:val="center"/>
              <w:rPr>
                <w:rFonts w:ascii="Times New Roman" w:hAnsi="Times New Roman" w:cs="Times New Roman"/>
                <w:color w:val="000000"/>
                <w:lang w:val="en-GB"/>
              </w:rPr>
            </w:pPr>
            <w:r w:rsidRPr="000D6B70">
              <w:rPr>
                <w:rFonts w:ascii="Times New Roman" w:hAnsi="Times New Roman" w:cs="Times New Roman"/>
                <w:color w:val="000000"/>
                <w:lang w:val="en-GB"/>
              </w:rPr>
              <w:t>Adverse Childhood Experience</w:t>
            </w:r>
          </w:p>
        </w:tc>
        <w:tc>
          <w:tcPr>
            <w:tcW w:w="6835" w:type="dxa"/>
          </w:tcPr>
          <w:p w14:paraId="3C42F941" w14:textId="78427685" w:rsidR="000D6B70" w:rsidRPr="000D6B70" w:rsidRDefault="000D6B70" w:rsidP="000D6B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GB"/>
              </w:rPr>
            </w:pPr>
            <w:r w:rsidRPr="000D6B70">
              <w:rPr>
                <w:rFonts w:ascii="Times New Roman" w:hAnsi="Times New Roman" w:cs="Times New Roman"/>
                <w:color w:val="000000"/>
                <w:lang w:val="en-GB"/>
              </w:rPr>
              <w:t>Scoring Procedure</w:t>
            </w:r>
          </w:p>
        </w:tc>
      </w:tr>
      <w:tr w:rsidR="000D6B70" w:rsidRPr="000D6B70" w14:paraId="47FEC463" w14:textId="77777777" w:rsidTr="000D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F7C62A0" w14:textId="59793786" w:rsidR="000D6B70" w:rsidRPr="000D6B70" w:rsidRDefault="000D6B70" w:rsidP="000D6B70">
            <w:pPr>
              <w:rPr>
                <w:rFonts w:ascii="Times New Roman" w:hAnsi="Times New Roman" w:cs="Times New Roman"/>
                <w:b w:val="0"/>
                <w:bCs w:val="0"/>
              </w:rPr>
            </w:pPr>
            <w:r w:rsidRPr="000D6B70">
              <w:rPr>
                <w:rFonts w:ascii="Times New Roman" w:hAnsi="Times New Roman" w:cs="Times New Roman"/>
                <w:b w:val="0"/>
                <w:bCs w:val="0"/>
                <w:color w:val="000000"/>
                <w:lang w:val="en-GB"/>
              </w:rPr>
              <w:t>Parental separation</w:t>
            </w:r>
          </w:p>
        </w:tc>
        <w:tc>
          <w:tcPr>
            <w:tcW w:w="6835" w:type="dxa"/>
          </w:tcPr>
          <w:p w14:paraId="71E06139" w14:textId="2E7D52CA" w:rsidR="000D6B70" w:rsidRPr="000D6B70" w:rsidRDefault="000D6B70" w:rsidP="000D6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D6B70">
              <w:rPr>
                <w:rFonts w:ascii="Times New Roman" w:hAnsi="Times New Roman" w:cs="Times New Roman"/>
                <w:color w:val="000000"/>
                <w:lang w:val="en-GB"/>
              </w:rPr>
              <w:t>In a question asking for parental marital status, answers “divorced” and “legally separated” were coded as 1, and “1st marriage,” “remarried,” “2nd or later married,” “single,” “widowed,” and “never married” were coded as 0. </w:t>
            </w:r>
          </w:p>
        </w:tc>
      </w:tr>
      <w:tr w:rsidR="000D6B70" w:rsidRPr="000D6B70" w14:paraId="605D719F" w14:textId="77777777" w:rsidTr="000D6B70">
        <w:tc>
          <w:tcPr>
            <w:cnfStyle w:val="001000000000" w:firstRow="0" w:lastRow="0" w:firstColumn="1" w:lastColumn="0" w:oddVBand="0" w:evenVBand="0" w:oddHBand="0" w:evenHBand="0" w:firstRowFirstColumn="0" w:firstRowLastColumn="0" w:lastRowFirstColumn="0" w:lastRowLastColumn="0"/>
            <w:tcW w:w="2515" w:type="dxa"/>
          </w:tcPr>
          <w:p w14:paraId="13C0ED66" w14:textId="60ACDEA7" w:rsidR="000D6B70" w:rsidRPr="000D6B70" w:rsidRDefault="000D6B70" w:rsidP="000D6B70">
            <w:pPr>
              <w:rPr>
                <w:rFonts w:ascii="Times New Roman" w:hAnsi="Times New Roman" w:cs="Times New Roman"/>
                <w:b w:val="0"/>
                <w:bCs w:val="0"/>
              </w:rPr>
            </w:pPr>
            <w:r w:rsidRPr="000D6B70">
              <w:rPr>
                <w:rFonts w:ascii="Times New Roman" w:hAnsi="Times New Roman" w:cs="Times New Roman"/>
                <w:b w:val="0"/>
                <w:bCs w:val="0"/>
                <w:color w:val="000000"/>
                <w:lang w:val="en-GB"/>
              </w:rPr>
              <w:t>Parental mental illness</w:t>
            </w:r>
          </w:p>
        </w:tc>
        <w:tc>
          <w:tcPr>
            <w:tcW w:w="6835" w:type="dxa"/>
          </w:tcPr>
          <w:p w14:paraId="6B6016F4" w14:textId="7BC9FA7F" w:rsidR="000D6B70" w:rsidRPr="000D6B70" w:rsidRDefault="000D6B70" w:rsidP="000D6B70">
            <w:pPr>
              <w:pStyle w:val="NormalWeb"/>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lang w:val="en-GB"/>
              </w:rPr>
            </w:pPr>
            <w:r w:rsidRPr="000D6B70">
              <w:rPr>
                <w:color w:val="000000"/>
                <w:lang w:val="en-GB"/>
              </w:rPr>
              <w:t>The Kessler-6 scale was used to assess the mental health of the cohort member’s parents. The Kessler-6 scale was chosen as a measurement tool over anxiety and depression diagnoses due to diagnosis often requiring mental health literacy and overcoming stigma to seek treatment (Henderson et al., 2013). The Kessler-6 scale measures psychological distress and is a validated screening tool for mental illness (Kessler et al., 2002). Respondents were asked six questions: how often they felt nervous, depressed, hopeless, restless or fidgety, that everything is an effort, and worthless in the last 30 days. The response scale ranged from 1 (“all the time”) to 5 (“none of the time”). Items were reversed and rescaled to a scale ranging from 0 to 4 for analysis, so that higher scores indicated greater levels of psychological distress. Respondents with summed scores of 13 or greater were coded as 1, a positive case of psychological distress according to validated cutoffs (Kessler et al., 2002). Those with scores less than 13 were coded as 0. </w:t>
            </w:r>
          </w:p>
        </w:tc>
      </w:tr>
      <w:tr w:rsidR="000D6B70" w:rsidRPr="000D6B70" w14:paraId="13A600A2" w14:textId="77777777" w:rsidTr="000D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7BDCB8A6" w14:textId="3F157183" w:rsidR="000D6B70" w:rsidRPr="000D6B70" w:rsidRDefault="000D6B70" w:rsidP="000D6B70">
            <w:pPr>
              <w:rPr>
                <w:rFonts w:ascii="Times New Roman" w:hAnsi="Times New Roman" w:cs="Times New Roman"/>
                <w:b w:val="0"/>
                <w:bCs w:val="0"/>
              </w:rPr>
            </w:pPr>
            <w:r w:rsidRPr="000D6B70">
              <w:rPr>
                <w:rFonts w:ascii="Times New Roman" w:hAnsi="Times New Roman" w:cs="Times New Roman"/>
                <w:b w:val="0"/>
                <w:bCs w:val="0"/>
                <w:color w:val="000000"/>
                <w:lang w:val="en-GB"/>
              </w:rPr>
              <w:t>Parental alcohol misuse</w:t>
            </w:r>
          </w:p>
        </w:tc>
        <w:tc>
          <w:tcPr>
            <w:tcW w:w="6835" w:type="dxa"/>
          </w:tcPr>
          <w:p w14:paraId="5DA4BAFA" w14:textId="5196D43D" w:rsidR="000D6B70" w:rsidRPr="000D6B70" w:rsidRDefault="000D6B70" w:rsidP="000D6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D6B70">
              <w:rPr>
                <w:rFonts w:ascii="Times New Roman" w:hAnsi="Times New Roman" w:cs="Times New Roman"/>
                <w:color w:val="000000"/>
                <w:lang w:val="en-GB"/>
              </w:rPr>
              <w:t>Respondents were asked how frequently they consume alcohol. Answers “every day” and “5-6 times per week” were coded as 1, and “3-4 per week,” “1-2 per week,” “1-2 per month,” and “never” were coded as 0. </w:t>
            </w:r>
          </w:p>
        </w:tc>
      </w:tr>
      <w:tr w:rsidR="000D6B70" w:rsidRPr="000D6B70" w14:paraId="36070202" w14:textId="77777777" w:rsidTr="000D6B70">
        <w:tc>
          <w:tcPr>
            <w:cnfStyle w:val="001000000000" w:firstRow="0" w:lastRow="0" w:firstColumn="1" w:lastColumn="0" w:oddVBand="0" w:evenVBand="0" w:oddHBand="0" w:evenHBand="0" w:firstRowFirstColumn="0" w:firstRowLastColumn="0" w:lastRowFirstColumn="0" w:lastRowLastColumn="0"/>
            <w:tcW w:w="2515" w:type="dxa"/>
          </w:tcPr>
          <w:p w14:paraId="62730B56" w14:textId="1B868D7C" w:rsidR="000D6B70" w:rsidRPr="000D6B70" w:rsidRDefault="000D6B70" w:rsidP="000D6B70">
            <w:pPr>
              <w:rPr>
                <w:rFonts w:ascii="Times New Roman" w:hAnsi="Times New Roman" w:cs="Times New Roman"/>
                <w:b w:val="0"/>
                <w:bCs w:val="0"/>
              </w:rPr>
            </w:pPr>
            <w:r w:rsidRPr="000D6B70">
              <w:rPr>
                <w:rFonts w:ascii="Times New Roman" w:hAnsi="Times New Roman" w:cs="Times New Roman"/>
                <w:b w:val="0"/>
                <w:bCs w:val="0"/>
                <w:color w:val="000000"/>
                <w:lang w:val="en-GB"/>
              </w:rPr>
              <w:t>Domestic violence</w:t>
            </w:r>
          </w:p>
        </w:tc>
        <w:tc>
          <w:tcPr>
            <w:tcW w:w="6835" w:type="dxa"/>
          </w:tcPr>
          <w:p w14:paraId="1A830093" w14:textId="13F70658" w:rsidR="000D6B70" w:rsidRPr="000D6B70" w:rsidRDefault="000D6B70" w:rsidP="000D6B70">
            <w:pPr>
              <w:pStyle w:val="NormalWeb"/>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lang w:val="en-GB"/>
              </w:rPr>
            </w:pPr>
            <w:r w:rsidRPr="000D6B70">
              <w:rPr>
                <w:color w:val="000000"/>
                <w:lang w:val="en-GB"/>
              </w:rPr>
              <w:t>Respondents were asked if their partner ever used force in a relationship. Responses of “yes” and “don’t want to answer” were coded as 1, and “no” was coded as 0. </w:t>
            </w:r>
          </w:p>
          <w:p w14:paraId="7286BCD4" w14:textId="77777777" w:rsidR="000D6B70" w:rsidRPr="000D6B70" w:rsidRDefault="000D6B70" w:rsidP="000D6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0D6B70" w:rsidRPr="000D6B70" w14:paraId="1D68B889" w14:textId="77777777" w:rsidTr="000D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5E4DD45" w14:textId="1165F11E" w:rsidR="000D6B70" w:rsidRPr="000D6B70" w:rsidRDefault="000D6B70" w:rsidP="000D6B70">
            <w:pPr>
              <w:rPr>
                <w:rFonts w:ascii="Times New Roman" w:hAnsi="Times New Roman" w:cs="Times New Roman"/>
                <w:b w:val="0"/>
                <w:bCs w:val="0"/>
              </w:rPr>
            </w:pPr>
            <w:r w:rsidRPr="000D6B70">
              <w:rPr>
                <w:rFonts w:ascii="Times New Roman" w:hAnsi="Times New Roman" w:cs="Times New Roman"/>
                <w:b w:val="0"/>
                <w:bCs w:val="0"/>
              </w:rPr>
              <w:t>Parental drug use</w:t>
            </w:r>
          </w:p>
        </w:tc>
        <w:tc>
          <w:tcPr>
            <w:tcW w:w="6835" w:type="dxa"/>
          </w:tcPr>
          <w:p w14:paraId="7EF382EA" w14:textId="77777777" w:rsidR="000D6B70" w:rsidRPr="000D6B70" w:rsidRDefault="000D6B70" w:rsidP="000D6B70">
            <w:pPr>
              <w:pStyle w:val="NormalWeb"/>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color w:val="000000"/>
                <w:lang w:val="en-GB"/>
              </w:rPr>
            </w:pPr>
            <w:r w:rsidRPr="000D6B70">
              <w:rPr>
                <w:color w:val="000000"/>
                <w:lang w:val="en-GB"/>
              </w:rPr>
              <w:t>Respondents were asked about recreational drug use in the past year. “Regularly” was coded as 1, and “occasionally,” “cannot define,” and “never” were coded as 0. </w:t>
            </w:r>
          </w:p>
          <w:p w14:paraId="78097209" w14:textId="77777777" w:rsidR="000D6B70" w:rsidRPr="000D6B70" w:rsidRDefault="000D6B70" w:rsidP="000D6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r>
      <w:tr w:rsidR="000D6B70" w:rsidRPr="000D6B70" w14:paraId="176B4141" w14:textId="77777777" w:rsidTr="000D6B70">
        <w:tc>
          <w:tcPr>
            <w:cnfStyle w:val="001000000000" w:firstRow="0" w:lastRow="0" w:firstColumn="1" w:lastColumn="0" w:oddVBand="0" w:evenVBand="0" w:oddHBand="0" w:evenHBand="0" w:firstRowFirstColumn="0" w:firstRowLastColumn="0" w:lastRowFirstColumn="0" w:lastRowLastColumn="0"/>
            <w:tcW w:w="2515" w:type="dxa"/>
          </w:tcPr>
          <w:p w14:paraId="557C1D96" w14:textId="22CFDCAE" w:rsidR="000D6B70" w:rsidRPr="000D6B70" w:rsidRDefault="000D6B70" w:rsidP="000D6B70">
            <w:pPr>
              <w:rPr>
                <w:rFonts w:ascii="Times New Roman" w:hAnsi="Times New Roman" w:cs="Times New Roman"/>
                <w:b w:val="0"/>
                <w:bCs w:val="0"/>
              </w:rPr>
            </w:pPr>
            <w:r w:rsidRPr="000D6B70">
              <w:rPr>
                <w:rFonts w:ascii="Times New Roman" w:hAnsi="Times New Roman" w:cs="Times New Roman"/>
                <w:b w:val="0"/>
                <w:bCs w:val="0"/>
              </w:rPr>
              <w:t>Physical punishment</w:t>
            </w:r>
          </w:p>
        </w:tc>
        <w:tc>
          <w:tcPr>
            <w:tcW w:w="6835" w:type="dxa"/>
          </w:tcPr>
          <w:p w14:paraId="28FF8D19" w14:textId="77777777" w:rsidR="000D6B70" w:rsidRPr="000D6B70" w:rsidRDefault="000D6B70" w:rsidP="000D6B70">
            <w:pPr>
              <w:pStyle w:val="NormalWeb"/>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lang w:val="en-GB"/>
              </w:rPr>
            </w:pPr>
            <w:r w:rsidRPr="000D6B70">
              <w:rPr>
                <w:color w:val="000000"/>
                <w:lang w:val="en-GB"/>
              </w:rPr>
              <w:t>Parents were asked how often they smack their child when naughty. “Once or a week or more” and “daily” were coded as 1, and “once a month,” “rarely,” and “never” were coded as 0. </w:t>
            </w:r>
          </w:p>
          <w:p w14:paraId="1587D7B7" w14:textId="77777777" w:rsidR="000D6B70" w:rsidRPr="000D6B70" w:rsidRDefault="000D6B70" w:rsidP="000D6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0D6B70" w:rsidRPr="000D6B70" w14:paraId="3A4E1B6B" w14:textId="77777777" w:rsidTr="000D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08B30FD1" w14:textId="53778B24" w:rsidR="000D6B70" w:rsidRPr="000D6B70" w:rsidRDefault="000D6B70" w:rsidP="000D6B70">
            <w:pPr>
              <w:rPr>
                <w:rFonts w:ascii="Times New Roman" w:hAnsi="Times New Roman" w:cs="Times New Roman"/>
                <w:b w:val="0"/>
                <w:bCs w:val="0"/>
              </w:rPr>
            </w:pPr>
            <w:r w:rsidRPr="000D6B70">
              <w:rPr>
                <w:rFonts w:ascii="Times New Roman" w:hAnsi="Times New Roman" w:cs="Times New Roman"/>
                <w:b w:val="0"/>
                <w:bCs w:val="0"/>
              </w:rPr>
              <w:lastRenderedPageBreak/>
              <w:t xml:space="preserve">Verbal maltreatment </w:t>
            </w:r>
          </w:p>
        </w:tc>
        <w:tc>
          <w:tcPr>
            <w:tcW w:w="6835" w:type="dxa"/>
          </w:tcPr>
          <w:p w14:paraId="5872770D" w14:textId="0EFE56FA" w:rsidR="000D6B70" w:rsidRPr="000D6B70" w:rsidRDefault="000D6B70" w:rsidP="000D6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D6B70">
              <w:rPr>
                <w:rFonts w:ascii="Times New Roman" w:hAnsi="Times New Roman" w:cs="Times New Roman"/>
                <w:color w:val="000000"/>
                <w:lang w:val="en-GB"/>
              </w:rPr>
              <w:t>Respondents were asked how often they shout at their child when they are naughty. “Once or a week or more” and “daily” were coded as 1, and “once a month,” “rarely,” and “never” were coded as 0. </w:t>
            </w:r>
          </w:p>
        </w:tc>
      </w:tr>
    </w:tbl>
    <w:p w14:paraId="4ABC654D" w14:textId="77777777" w:rsidR="000D6B70" w:rsidRDefault="000D6B70" w:rsidP="00657F81">
      <w:pPr>
        <w:spacing w:line="480" w:lineRule="auto"/>
        <w:rPr>
          <w:rFonts w:ascii="Times New Roman" w:eastAsia="Times New Roman" w:hAnsi="Times New Roman" w:cs="Times New Roman"/>
          <w:color w:val="000000"/>
          <w:kern w:val="0"/>
          <w:lang w:val="en-GB"/>
          <w14:ligatures w14:val="none"/>
        </w:rPr>
      </w:pPr>
    </w:p>
    <w:p w14:paraId="1275BD0A" w14:textId="77777777" w:rsidR="000D6B70" w:rsidRDefault="000D6B70" w:rsidP="00657F81">
      <w:pPr>
        <w:spacing w:line="480" w:lineRule="auto"/>
        <w:rPr>
          <w:rFonts w:ascii="Times New Roman" w:eastAsia="Times New Roman" w:hAnsi="Times New Roman" w:cs="Times New Roman"/>
          <w:color w:val="000000"/>
          <w:kern w:val="0"/>
          <w:lang w:val="en-GB"/>
          <w14:ligatures w14:val="none"/>
        </w:rPr>
      </w:pPr>
    </w:p>
    <w:p w14:paraId="7C918421" w14:textId="52A8BE19" w:rsidR="000D6B70" w:rsidRPr="000D6B70" w:rsidRDefault="000D6B70" w:rsidP="00657F81">
      <w:pPr>
        <w:spacing w:line="480" w:lineRule="auto"/>
        <w:rPr>
          <w:b/>
          <w:bCs/>
          <w:i/>
          <w:iCs/>
        </w:rPr>
      </w:pPr>
      <w:r>
        <w:rPr>
          <w:rFonts w:ascii="Times New Roman" w:eastAsia="Times New Roman" w:hAnsi="Times New Roman" w:cs="Times New Roman"/>
          <w:b/>
          <w:bCs/>
          <w:color w:val="000000"/>
          <w:kern w:val="0"/>
          <w:lang w:val="en-GB"/>
          <w14:ligatures w14:val="none"/>
        </w:rPr>
        <w:t>Table 2</w:t>
      </w:r>
    </w:p>
    <w:p w14:paraId="72467229" w14:textId="77777777" w:rsidR="00657F81" w:rsidRPr="00616C5D" w:rsidRDefault="00657F81" w:rsidP="00657F81">
      <w:pPr>
        <w:spacing w:line="480" w:lineRule="auto"/>
        <w:rPr>
          <w:rFonts w:ascii="Times New Roman" w:hAnsi="Times New Roman" w:cs="Times New Roman"/>
          <w:i/>
          <w:iCs/>
        </w:rPr>
      </w:pPr>
      <w:r w:rsidRPr="00616C5D">
        <w:rPr>
          <w:rFonts w:ascii="Times New Roman" w:hAnsi="Times New Roman" w:cs="Times New Roman"/>
          <w:i/>
          <w:iCs/>
        </w:rPr>
        <w:t>Raw Score to Metric Score Conversion Table for SWEMWBS</w:t>
      </w:r>
    </w:p>
    <w:tbl>
      <w:tblPr>
        <w:tblStyle w:val="PlainTable4"/>
        <w:tblW w:w="3772" w:type="dxa"/>
        <w:tblLook w:val="0420" w:firstRow="1" w:lastRow="0" w:firstColumn="0" w:lastColumn="0" w:noHBand="0" w:noVBand="1"/>
      </w:tblPr>
      <w:tblGrid>
        <w:gridCol w:w="1522"/>
        <w:gridCol w:w="2250"/>
      </w:tblGrid>
      <w:tr w:rsidR="00657F81" w:rsidRPr="00B85490" w14:paraId="4EB33567" w14:textId="77777777" w:rsidTr="00EC413F">
        <w:trPr>
          <w:cnfStyle w:val="100000000000" w:firstRow="1" w:lastRow="0" w:firstColumn="0" w:lastColumn="0" w:oddVBand="0" w:evenVBand="0" w:oddHBand="0" w:evenHBand="0" w:firstRowFirstColumn="0" w:firstRowLastColumn="0" w:lastRowFirstColumn="0" w:lastRowLastColumn="0"/>
          <w:trHeight w:val="187"/>
        </w:trPr>
        <w:tc>
          <w:tcPr>
            <w:tcW w:w="1522" w:type="dxa"/>
            <w:tcBorders>
              <w:top w:val="single" w:sz="2" w:space="0" w:color="auto"/>
              <w:bottom w:val="single" w:sz="2" w:space="0" w:color="auto"/>
            </w:tcBorders>
            <w:shd w:val="clear" w:color="auto" w:fill="auto"/>
            <w:hideMark/>
          </w:tcPr>
          <w:p w14:paraId="13968BA7" w14:textId="77777777" w:rsidR="00657F81" w:rsidRPr="00B85490" w:rsidRDefault="00657F81" w:rsidP="00EC413F">
            <w:pPr>
              <w:pStyle w:val="NormalWeb"/>
              <w:spacing w:before="0" w:beforeAutospacing="0" w:after="0" w:afterAutospacing="0"/>
              <w:jc w:val="center"/>
              <w:rPr>
                <w:color w:val="333333"/>
              </w:rPr>
            </w:pPr>
            <w:r w:rsidRPr="00B85490">
              <w:rPr>
                <w:b w:val="0"/>
                <w:bCs w:val="0"/>
                <w:color w:val="333333"/>
              </w:rPr>
              <w:t>Raw Score</w:t>
            </w:r>
          </w:p>
        </w:tc>
        <w:tc>
          <w:tcPr>
            <w:tcW w:w="2250" w:type="dxa"/>
            <w:tcBorders>
              <w:top w:val="single" w:sz="2" w:space="0" w:color="auto"/>
              <w:bottom w:val="single" w:sz="2" w:space="0" w:color="auto"/>
            </w:tcBorders>
            <w:shd w:val="clear" w:color="auto" w:fill="auto"/>
            <w:hideMark/>
          </w:tcPr>
          <w:p w14:paraId="117849C8" w14:textId="77777777" w:rsidR="00657F81" w:rsidRPr="00B85490" w:rsidRDefault="00657F81" w:rsidP="00EC413F">
            <w:pPr>
              <w:pStyle w:val="NormalWeb"/>
              <w:spacing w:before="0" w:beforeAutospacing="0" w:after="0" w:afterAutospacing="0"/>
              <w:jc w:val="center"/>
              <w:rPr>
                <w:b w:val="0"/>
                <w:bCs w:val="0"/>
                <w:color w:val="333333"/>
              </w:rPr>
            </w:pPr>
            <w:r w:rsidRPr="00B85490">
              <w:rPr>
                <w:b w:val="0"/>
                <w:bCs w:val="0"/>
                <w:color w:val="333333"/>
              </w:rPr>
              <w:t>Metric Score</w:t>
            </w:r>
          </w:p>
        </w:tc>
      </w:tr>
      <w:tr w:rsidR="00657F81" w:rsidRPr="00B85490" w14:paraId="31139CD3"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tcBorders>
              <w:top w:val="single" w:sz="2" w:space="0" w:color="auto"/>
            </w:tcBorders>
            <w:shd w:val="clear" w:color="auto" w:fill="auto"/>
            <w:hideMark/>
          </w:tcPr>
          <w:p w14:paraId="4C148FA7" w14:textId="77777777" w:rsidR="00657F81" w:rsidRPr="00B85490" w:rsidRDefault="00657F81" w:rsidP="00EC413F">
            <w:pPr>
              <w:pStyle w:val="NormalWeb"/>
              <w:spacing w:before="0" w:beforeAutospacing="0" w:after="0" w:afterAutospacing="0"/>
              <w:jc w:val="center"/>
              <w:rPr>
                <w:color w:val="333333"/>
              </w:rPr>
            </w:pPr>
            <w:r w:rsidRPr="00B85490">
              <w:rPr>
                <w:color w:val="333333"/>
              </w:rPr>
              <w:t>7</w:t>
            </w:r>
          </w:p>
        </w:tc>
        <w:tc>
          <w:tcPr>
            <w:tcW w:w="2250" w:type="dxa"/>
            <w:tcBorders>
              <w:top w:val="single" w:sz="2" w:space="0" w:color="auto"/>
            </w:tcBorders>
            <w:shd w:val="clear" w:color="auto" w:fill="auto"/>
            <w:hideMark/>
          </w:tcPr>
          <w:p w14:paraId="4BD7CE56" w14:textId="77777777" w:rsidR="00657F81" w:rsidRPr="00B85490" w:rsidRDefault="00657F81" w:rsidP="00EC413F">
            <w:pPr>
              <w:pStyle w:val="NormalWeb"/>
              <w:spacing w:before="0" w:beforeAutospacing="0" w:after="0" w:afterAutospacing="0"/>
              <w:jc w:val="center"/>
              <w:rPr>
                <w:color w:val="333333"/>
              </w:rPr>
            </w:pPr>
            <w:r w:rsidRPr="00B85490">
              <w:rPr>
                <w:color w:val="333333"/>
              </w:rPr>
              <w:t>7.00</w:t>
            </w:r>
          </w:p>
        </w:tc>
      </w:tr>
      <w:tr w:rsidR="00657F81" w:rsidRPr="00B85490" w14:paraId="79873D5E" w14:textId="77777777" w:rsidTr="00EC413F">
        <w:trPr>
          <w:trHeight w:val="187"/>
        </w:trPr>
        <w:tc>
          <w:tcPr>
            <w:tcW w:w="1522" w:type="dxa"/>
            <w:shd w:val="clear" w:color="auto" w:fill="auto"/>
            <w:hideMark/>
          </w:tcPr>
          <w:p w14:paraId="58740D7D" w14:textId="77777777" w:rsidR="00657F81" w:rsidRPr="00B85490" w:rsidRDefault="00657F81" w:rsidP="00EC413F">
            <w:pPr>
              <w:pStyle w:val="NormalWeb"/>
              <w:spacing w:before="0" w:beforeAutospacing="0" w:after="0" w:afterAutospacing="0"/>
              <w:jc w:val="center"/>
              <w:rPr>
                <w:color w:val="333333"/>
              </w:rPr>
            </w:pPr>
            <w:r w:rsidRPr="00B85490">
              <w:rPr>
                <w:color w:val="333333"/>
              </w:rPr>
              <w:t>8</w:t>
            </w:r>
          </w:p>
        </w:tc>
        <w:tc>
          <w:tcPr>
            <w:tcW w:w="2250" w:type="dxa"/>
            <w:shd w:val="clear" w:color="auto" w:fill="auto"/>
            <w:hideMark/>
          </w:tcPr>
          <w:p w14:paraId="77364F25" w14:textId="77777777" w:rsidR="00657F81" w:rsidRPr="00B85490" w:rsidRDefault="00657F81" w:rsidP="00EC413F">
            <w:pPr>
              <w:pStyle w:val="NormalWeb"/>
              <w:spacing w:before="0" w:beforeAutospacing="0" w:after="0" w:afterAutospacing="0"/>
              <w:jc w:val="center"/>
              <w:rPr>
                <w:color w:val="333333"/>
              </w:rPr>
            </w:pPr>
            <w:r w:rsidRPr="00B85490">
              <w:rPr>
                <w:color w:val="333333"/>
              </w:rPr>
              <w:t>9.51</w:t>
            </w:r>
          </w:p>
        </w:tc>
      </w:tr>
      <w:tr w:rsidR="00657F81" w:rsidRPr="00B85490" w14:paraId="04B2E940"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544A33D0" w14:textId="77777777" w:rsidR="00657F81" w:rsidRPr="00B85490" w:rsidRDefault="00657F81" w:rsidP="00EC413F">
            <w:pPr>
              <w:pStyle w:val="NormalWeb"/>
              <w:spacing w:before="0" w:beforeAutospacing="0" w:after="0" w:afterAutospacing="0"/>
              <w:jc w:val="center"/>
              <w:rPr>
                <w:color w:val="333333"/>
              </w:rPr>
            </w:pPr>
            <w:r w:rsidRPr="00B85490">
              <w:rPr>
                <w:color w:val="333333"/>
              </w:rPr>
              <w:t>9</w:t>
            </w:r>
          </w:p>
        </w:tc>
        <w:tc>
          <w:tcPr>
            <w:tcW w:w="2250" w:type="dxa"/>
            <w:shd w:val="clear" w:color="auto" w:fill="auto"/>
            <w:hideMark/>
          </w:tcPr>
          <w:p w14:paraId="3DB2855C" w14:textId="77777777" w:rsidR="00657F81" w:rsidRPr="00B85490" w:rsidRDefault="00657F81" w:rsidP="00EC413F">
            <w:pPr>
              <w:pStyle w:val="NormalWeb"/>
              <w:spacing w:before="0" w:beforeAutospacing="0" w:after="0" w:afterAutospacing="0"/>
              <w:jc w:val="center"/>
              <w:rPr>
                <w:color w:val="333333"/>
              </w:rPr>
            </w:pPr>
            <w:r w:rsidRPr="00B85490">
              <w:rPr>
                <w:color w:val="333333"/>
              </w:rPr>
              <w:t>11.25</w:t>
            </w:r>
          </w:p>
        </w:tc>
      </w:tr>
      <w:tr w:rsidR="00657F81" w:rsidRPr="00B85490" w14:paraId="4EE74B1A" w14:textId="77777777" w:rsidTr="00EC413F">
        <w:trPr>
          <w:trHeight w:val="187"/>
        </w:trPr>
        <w:tc>
          <w:tcPr>
            <w:tcW w:w="1522" w:type="dxa"/>
            <w:shd w:val="clear" w:color="auto" w:fill="auto"/>
            <w:hideMark/>
          </w:tcPr>
          <w:p w14:paraId="5EAAF305" w14:textId="77777777" w:rsidR="00657F81" w:rsidRPr="00B85490" w:rsidRDefault="00657F81" w:rsidP="00EC413F">
            <w:pPr>
              <w:pStyle w:val="NormalWeb"/>
              <w:spacing w:before="0" w:beforeAutospacing="0" w:after="0" w:afterAutospacing="0"/>
              <w:jc w:val="center"/>
              <w:rPr>
                <w:color w:val="333333"/>
              </w:rPr>
            </w:pPr>
            <w:r w:rsidRPr="00B85490">
              <w:rPr>
                <w:color w:val="333333"/>
              </w:rPr>
              <w:t>10</w:t>
            </w:r>
          </w:p>
        </w:tc>
        <w:tc>
          <w:tcPr>
            <w:tcW w:w="2250" w:type="dxa"/>
            <w:shd w:val="clear" w:color="auto" w:fill="auto"/>
            <w:hideMark/>
          </w:tcPr>
          <w:p w14:paraId="5F39FE8D" w14:textId="77777777" w:rsidR="00657F81" w:rsidRPr="00B85490" w:rsidRDefault="00657F81" w:rsidP="00EC413F">
            <w:pPr>
              <w:pStyle w:val="NormalWeb"/>
              <w:spacing w:before="0" w:beforeAutospacing="0" w:after="0" w:afterAutospacing="0"/>
              <w:jc w:val="center"/>
              <w:rPr>
                <w:color w:val="333333"/>
              </w:rPr>
            </w:pPr>
            <w:r w:rsidRPr="00B85490">
              <w:rPr>
                <w:color w:val="333333"/>
              </w:rPr>
              <w:t>12.40</w:t>
            </w:r>
          </w:p>
        </w:tc>
      </w:tr>
      <w:tr w:rsidR="00657F81" w:rsidRPr="00B85490" w14:paraId="25A7FC16"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1A390328" w14:textId="77777777" w:rsidR="00657F81" w:rsidRPr="00B85490" w:rsidRDefault="00657F81" w:rsidP="00EC413F">
            <w:pPr>
              <w:pStyle w:val="NormalWeb"/>
              <w:spacing w:before="0" w:beforeAutospacing="0" w:after="0" w:afterAutospacing="0"/>
              <w:jc w:val="center"/>
              <w:rPr>
                <w:color w:val="333333"/>
              </w:rPr>
            </w:pPr>
            <w:r w:rsidRPr="00B85490">
              <w:rPr>
                <w:color w:val="333333"/>
              </w:rPr>
              <w:t>11</w:t>
            </w:r>
          </w:p>
        </w:tc>
        <w:tc>
          <w:tcPr>
            <w:tcW w:w="2250" w:type="dxa"/>
            <w:shd w:val="clear" w:color="auto" w:fill="auto"/>
            <w:hideMark/>
          </w:tcPr>
          <w:p w14:paraId="183ADFCA" w14:textId="77777777" w:rsidR="00657F81" w:rsidRPr="00B85490" w:rsidRDefault="00657F81" w:rsidP="00EC413F">
            <w:pPr>
              <w:pStyle w:val="NormalWeb"/>
              <w:spacing w:before="0" w:beforeAutospacing="0" w:after="0" w:afterAutospacing="0"/>
              <w:jc w:val="center"/>
              <w:rPr>
                <w:color w:val="333333"/>
              </w:rPr>
            </w:pPr>
            <w:r w:rsidRPr="00B85490">
              <w:rPr>
                <w:color w:val="333333"/>
              </w:rPr>
              <w:t>13.33</w:t>
            </w:r>
          </w:p>
        </w:tc>
      </w:tr>
      <w:tr w:rsidR="00657F81" w:rsidRPr="00B85490" w14:paraId="3F71F781" w14:textId="77777777" w:rsidTr="00EC413F">
        <w:trPr>
          <w:trHeight w:val="187"/>
        </w:trPr>
        <w:tc>
          <w:tcPr>
            <w:tcW w:w="1522" w:type="dxa"/>
            <w:shd w:val="clear" w:color="auto" w:fill="auto"/>
            <w:hideMark/>
          </w:tcPr>
          <w:p w14:paraId="387E9835" w14:textId="77777777" w:rsidR="00657F81" w:rsidRPr="00B85490" w:rsidRDefault="00657F81" w:rsidP="00EC413F">
            <w:pPr>
              <w:pStyle w:val="NormalWeb"/>
              <w:spacing w:before="0" w:beforeAutospacing="0" w:after="0" w:afterAutospacing="0"/>
              <w:jc w:val="center"/>
              <w:rPr>
                <w:color w:val="333333"/>
              </w:rPr>
            </w:pPr>
            <w:r w:rsidRPr="00B85490">
              <w:rPr>
                <w:color w:val="333333"/>
              </w:rPr>
              <w:t>12</w:t>
            </w:r>
          </w:p>
        </w:tc>
        <w:tc>
          <w:tcPr>
            <w:tcW w:w="2250" w:type="dxa"/>
            <w:shd w:val="clear" w:color="auto" w:fill="auto"/>
            <w:hideMark/>
          </w:tcPr>
          <w:p w14:paraId="6BA1F647" w14:textId="77777777" w:rsidR="00657F81" w:rsidRPr="00B85490" w:rsidRDefault="00657F81" w:rsidP="00EC413F">
            <w:pPr>
              <w:pStyle w:val="NormalWeb"/>
              <w:spacing w:before="0" w:beforeAutospacing="0" w:after="0" w:afterAutospacing="0"/>
              <w:jc w:val="center"/>
              <w:rPr>
                <w:color w:val="333333"/>
              </w:rPr>
            </w:pPr>
            <w:r w:rsidRPr="00B85490">
              <w:rPr>
                <w:color w:val="333333"/>
              </w:rPr>
              <w:t>14.08</w:t>
            </w:r>
          </w:p>
        </w:tc>
      </w:tr>
      <w:tr w:rsidR="00657F81" w:rsidRPr="00B85490" w14:paraId="5EAE0B15"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1230F77E" w14:textId="77777777" w:rsidR="00657F81" w:rsidRPr="00B85490" w:rsidRDefault="00657F81" w:rsidP="00EC413F">
            <w:pPr>
              <w:pStyle w:val="NormalWeb"/>
              <w:spacing w:before="0" w:beforeAutospacing="0" w:after="0" w:afterAutospacing="0"/>
              <w:jc w:val="center"/>
              <w:rPr>
                <w:color w:val="333333"/>
              </w:rPr>
            </w:pPr>
            <w:r w:rsidRPr="00B85490">
              <w:rPr>
                <w:color w:val="333333"/>
              </w:rPr>
              <w:t>13</w:t>
            </w:r>
          </w:p>
        </w:tc>
        <w:tc>
          <w:tcPr>
            <w:tcW w:w="2250" w:type="dxa"/>
            <w:shd w:val="clear" w:color="auto" w:fill="auto"/>
            <w:hideMark/>
          </w:tcPr>
          <w:p w14:paraId="7B935843" w14:textId="77777777" w:rsidR="00657F81" w:rsidRPr="00B85490" w:rsidRDefault="00657F81" w:rsidP="00EC413F">
            <w:pPr>
              <w:pStyle w:val="NormalWeb"/>
              <w:spacing w:before="0" w:beforeAutospacing="0" w:after="0" w:afterAutospacing="0"/>
              <w:jc w:val="center"/>
              <w:rPr>
                <w:color w:val="333333"/>
              </w:rPr>
            </w:pPr>
            <w:r w:rsidRPr="00B85490">
              <w:rPr>
                <w:color w:val="333333"/>
              </w:rPr>
              <w:t>14.75</w:t>
            </w:r>
          </w:p>
        </w:tc>
      </w:tr>
      <w:tr w:rsidR="00657F81" w:rsidRPr="00B85490" w14:paraId="24630153" w14:textId="77777777" w:rsidTr="00EC413F">
        <w:trPr>
          <w:trHeight w:val="187"/>
        </w:trPr>
        <w:tc>
          <w:tcPr>
            <w:tcW w:w="1522" w:type="dxa"/>
            <w:shd w:val="clear" w:color="auto" w:fill="auto"/>
            <w:hideMark/>
          </w:tcPr>
          <w:p w14:paraId="55EC1180" w14:textId="77777777" w:rsidR="00657F81" w:rsidRPr="00B85490" w:rsidRDefault="00657F81" w:rsidP="00EC413F">
            <w:pPr>
              <w:pStyle w:val="NormalWeb"/>
              <w:spacing w:before="0" w:beforeAutospacing="0" w:after="0" w:afterAutospacing="0"/>
              <w:jc w:val="center"/>
              <w:rPr>
                <w:color w:val="333333"/>
              </w:rPr>
            </w:pPr>
            <w:r w:rsidRPr="00B85490">
              <w:rPr>
                <w:color w:val="333333"/>
              </w:rPr>
              <w:t>14</w:t>
            </w:r>
          </w:p>
        </w:tc>
        <w:tc>
          <w:tcPr>
            <w:tcW w:w="2250" w:type="dxa"/>
            <w:shd w:val="clear" w:color="auto" w:fill="auto"/>
            <w:hideMark/>
          </w:tcPr>
          <w:p w14:paraId="5C68326A" w14:textId="77777777" w:rsidR="00657F81" w:rsidRPr="00B85490" w:rsidRDefault="00657F81" w:rsidP="00EC413F">
            <w:pPr>
              <w:pStyle w:val="NormalWeb"/>
              <w:spacing w:before="0" w:beforeAutospacing="0" w:after="0" w:afterAutospacing="0"/>
              <w:jc w:val="center"/>
              <w:rPr>
                <w:color w:val="333333"/>
              </w:rPr>
            </w:pPr>
            <w:r w:rsidRPr="00B85490">
              <w:rPr>
                <w:color w:val="333333"/>
              </w:rPr>
              <w:t>15.32</w:t>
            </w:r>
          </w:p>
        </w:tc>
      </w:tr>
      <w:tr w:rsidR="00657F81" w:rsidRPr="00B85490" w14:paraId="7ABD0C55"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05368773" w14:textId="77777777" w:rsidR="00657F81" w:rsidRPr="00B85490" w:rsidRDefault="00657F81" w:rsidP="00EC413F">
            <w:pPr>
              <w:pStyle w:val="NormalWeb"/>
              <w:spacing w:before="0" w:beforeAutospacing="0" w:after="0" w:afterAutospacing="0"/>
              <w:jc w:val="center"/>
              <w:rPr>
                <w:color w:val="333333"/>
              </w:rPr>
            </w:pPr>
            <w:r w:rsidRPr="00B85490">
              <w:rPr>
                <w:color w:val="333333"/>
              </w:rPr>
              <w:t>15</w:t>
            </w:r>
          </w:p>
        </w:tc>
        <w:tc>
          <w:tcPr>
            <w:tcW w:w="2250" w:type="dxa"/>
            <w:shd w:val="clear" w:color="auto" w:fill="auto"/>
            <w:hideMark/>
          </w:tcPr>
          <w:p w14:paraId="17F70665" w14:textId="77777777" w:rsidR="00657F81" w:rsidRPr="00B85490" w:rsidRDefault="00657F81" w:rsidP="00EC413F">
            <w:pPr>
              <w:pStyle w:val="NormalWeb"/>
              <w:spacing w:before="0" w:beforeAutospacing="0" w:after="0" w:afterAutospacing="0"/>
              <w:jc w:val="center"/>
              <w:rPr>
                <w:color w:val="333333"/>
              </w:rPr>
            </w:pPr>
            <w:r w:rsidRPr="00B85490">
              <w:rPr>
                <w:color w:val="333333"/>
              </w:rPr>
              <w:t>15.84</w:t>
            </w:r>
          </w:p>
        </w:tc>
      </w:tr>
      <w:tr w:rsidR="00657F81" w:rsidRPr="00B85490" w14:paraId="4211EE6A" w14:textId="77777777" w:rsidTr="00EC413F">
        <w:trPr>
          <w:trHeight w:val="187"/>
        </w:trPr>
        <w:tc>
          <w:tcPr>
            <w:tcW w:w="1522" w:type="dxa"/>
            <w:shd w:val="clear" w:color="auto" w:fill="auto"/>
            <w:hideMark/>
          </w:tcPr>
          <w:p w14:paraId="418F0932" w14:textId="77777777" w:rsidR="00657F81" w:rsidRPr="00B85490" w:rsidRDefault="00657F81" w:rsidP="00EC413F">
            <w:pPr>
              <w:pStyle w:val="NormalWeb"/>
              <w:spacing w:before="0" w:beforeAutospacing="0" w:after="0" w:afterAutospacing="0"/>
              <w:jc w:val="center"/>
              <w:rPr>
                <w:color w:val="333333"/>
              </w:rPr>
            </w:pPr>
            <w:r w:rsidRPr="00B85490">
              <w:rPr>
                <w:color w:val="333333"/>
              </w:rPr>
              <w:t>16</w:t>
            </w:r>
          </w:p>
        </w:tc>
        <w:tc>
          <w:tcPr>
            <w:tcW w:w="2250" w:type="dxa"/>
            <w:shd w:val="clear" w:color="auto" w:fill="auto"/>
            <w:hideMark/>
          </w:tcPr>
          <w:p w14:paraId="2760A7CB" w14:textId="77777777" w:rsidR="00657F81" w:rsidRPr="00B85490" w:rsidRDefault="00657F81" w:rsidP="00EC413F">
            <w:pPr>
              <w:pStyle w:val="NormalWeb"/>
              <w:spacing w:before="0" w:beforeAutospacing="0" w:after="0" w:afterAutospacing="0"/>
              <w:jc w:val="center"/>
              <w:rPr>
                <w:color w:val="333333"/>
              </w:rPr>
            </w:pPr>
            <w:r w:rsidRPr="00B85490">
              <w:rPr>
                <w:color w:val="333333"/>
              </w:rPr>
              <w:t>16.36</w:t>
            </w:r>
          </w:p>
        </w:tc>
      </w:tr>
      <w:tr w:rsidR="00657F81" w:rsidRPr="00B85490" w14:paraId="187908A7"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44F41FEA" w14:textId="77777777" w:rsidR="00657F81" w:rsidRPr="00B85490" w:rsidRDefault="00657F81" w:rsidP="00EC413F">
            <w:pPr>
              <w:pStyle w:val="NormalWeb"/>
              <w:spacing w:before="0" w:beforeAutospacing="0" w:after="0" w:afterAutospacing="0"/>
              <w:jc w:val="center"/>
              <w:rPr>
                <w:color w:val="333333"/>
              </w:rPr>
            </w:pPr>
            <w:r w:rsidRPr="00B85490">
              <w:rPr>
                <w:color w:val="333333"/>
              </w:rPr>
              <w:t>17</w:t>
            </w:r>
          </w:p>
        </w:tc>
        <w:tc>
          <w:tcPr>
            <w:tcW w:w="2250" w:type="dxa"/>
            <w:shd w:val="clear" w:color="auto" w:fill="auto"/>
            <w:hideMark/>
          </w:tcPr>
          <w:p w14:paraId="647931D1" w14:textId="77777777" w:rsidR="00657F81" w:rsidRPr="00B85490" w:rsidRDefault="00657F81" w:rsidP="00EC413F">
            <w:pPr>
              <w:pStyle w:val="NormalWeb"/>
              <w:spacing w:before="0" w:beforeAutospacing="0" w:after="0" w:afterAutospacing="0"/>
              <w:jc w:val="center"/>
              <w:rPr>
                <w:color w:val="333333"/>
              </w:rPr>
            </w:pPr>
            <w:r w:rsidRPr="00B85490">
              <w:rPr>
                <w:color w:val="333333"/>
              </w:rPr>
              <w:t>16.88</w:t>
            </w:r>
          </w:p>
        </w:tc>
      </w:tr>
      <w:tr w:rsidR="00657F81" w:rsidRPr="00B85490" w14:paraId="47A1A27D" w14:textId="77777777" w:rsidTr="00EC413F">
        <w:trPr>
          <w:trHeight w:val="187"/>
        </w:trPr>
        <w:tc>
          <w:tcPr>
            <w:tcW w:w="1522" w:type="dxa"/>
            <w:shd w:val="clear" w:color="auto" w:fill="auto"/>
            <w:hideMark/>
          </w:tcPr>
          <w:p w14:paraId="764DAD74" w14:textId="77777777" w:rsidR="00657F81" w:rsidRPr="00B85490" w:rsidRDefault="00657F81" w:rsidP="00EC413F">
            <w:pPr>
              <w:pStyle w:val="NormalWeb"/>
              <w:spacing w:before="0" w:beforeAutospacing="0" w:after="0" w:afterAutospacing="0"/>
              <w:jc w:val="center"/>
              <w:rPr>
                <w:color w:val="333333"/>
              </w:rPr>
            </w:pPr>
            <w:r w:rsidRPr="00B85490">
              <w:rPr>
                <w:color w:val="333333"/>
              </w:rPr>
              <w:t>18</w:t>
            </w:r>
          </w:p>
        </w:tc>
        <w:tc>
          <w:tcPr>
            <w:tcW w:w="2250" w:type="dxa"/>
            <w:shd w:val="clear" w:color="auto" w:fill="auto"/>
            <w:hideMark/>
          </w:tcPr>
          <w:p w14:paraId="1D044396" w14:textId="77777777" w:rsidR="00657F81" w:rsidRPr="00B85490" w:rsidRDefault="00657F81" w:rsidP="00EC413F">
            <w:pPr>
              <w:pStyle w:val="NormalWeb"/>
              <w:spacing w:before="0" w:beforeAutospacing="0" w:after="0" w:afterAutospacing="0"/>
              <w:jc w:val="center"/>
              <w:rPr>
                <w:color w:val="333333"/>
              </w:rPr>
            </w:pPr>
            <w:r w:rsidRPr="00B85490">
              <w:rPr>
                <w:color w:val="333333"/>
              </w:rPr>
              <w:t>17.43</w:t>
            </w:r>
          </w:p>
        </w:tc>
      </w:tr>
      <w:tr w:rsidR="00657F81" w:rsidRPr="00B85490" w14:paraId="38120456"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1EE37CD0" w14:textId="77777777" w:rsidR="00657F81" w:rsidRPr="00B85490" w:rsidRDefault="00657F81" w:rsidP="00EC413F">
            <w:pPr>
              <w:pStyle w:val="NormalWeb"/>
              <w:spacing w:before="0" w:beforeAutospacing="0" w:after="0" w:afterAutospacing="0"/>
              <w:jc w:val="center"/>
              <w:rPr>
                <w:color w:val="333333"/>
              </w:rPr>
            </w:pPr>
            <w:r w:rsidRPr="00B85490">
              <w:rPr>
                <w:color w:val="333333"/>
              </w:rPr>
              <w:t>19</w:t>
            </w:r>
          </w:p>
        </w:tc>
        <w:tc>
          <w:tcPr>
            <w:tcW w:w="2250" w:type="dxa"/>
            <w:shd w:val="clear" w:color="auto" w:fill="auto"/>
            <w:hideMark/>
          </w:tcPr>
          <w:p w14:paraId="18380484" w14:textId="77777777" w:rsidR="00657F81" w:rsidRPr="00B85490" w:rsidRDefault="00657F81" w:rsidP="00EC413F">
            <w:pPr>
              <w:pStyle w:val="NormalWeb"/>
              <w:spacing w:before="0" w:beforeAutospacing="0" w:after="0" w:afterAutospacing="0"/>
              <w:jc w:val="center"/>
              <w:rPr>
                <w:color w:val="333333"/>
              </w:rPr>
            </w:pPr>
            <w:r w:rsidRPr="00B85490">
              <w:rPr>
                <w:color w:val="333333"/>
              </w:rPr>
              <w:t>17.98</w:t>
            </w:r>
          </w:p>
        </w:tc>
      </w:tr>
      <w:tr w:rsidR="00657F81" w:rsidRPr="00B85490" w14:paraId="096A4153" w14:textId="77777777" w:rsidTr="00EC413F">
        <w:trPr>
          <w:trHeight w:val="187"/>
        </w:trPr>
        <w:tc>
          <w:tcPr>
            <w:tcW w:w="1522" w:type="dxa"/>
            <w:shd w:val="clear" w:color="auto" w:fill="auto"/>
            <w:hideMark/>
          </w:tcPr>
          <w:p w14:paraId="263D1C8E" w14:textId="77777777" w:rsidR="00657F81" w:rsidRPr="00B85490" w:rsidRDefault="00657F81" w:rsidP="00EC413F">
            <w:pPr>
              <w:pStyle w:val="NormalWeb"/>
              <w:spacing w:before="0" w:beforeAutospacing="0" w:after="0" w:afterAutospacing="0"/>
              <w:jc w:val="center"/>
              <w:rPr>
                <w:color w:val="333333"/>
              </w:rPr>
            </w:pPr>
            <w:r w:rsidRPr="00B85490">
              <w:rPr>
                <w:color w:val="333333"/>
              </w:rPr>
              <w:t>20</w:t>
            </w:r>
          </w:p>
        </w:tc>
        <w:tc>
          <w:tcPr>
            <w:tcW w:w="2250" w:type="dxa"/>
            <w:shd w:val="clear" w:color="auto" w:fill="auto"/>
            <w:hideMark/>
          </w:tcPr>
          <w:p w14:paraId="117D27BD" w14:textId="77777777" w:rsidR="00657F81" w:rsidRPr="00B85490" w:rsidRDefault="00657F81" w:rsidP="00EC413F">
            <w:pPr>
              <w:pStyle w:val="NormalWeb"/>
              <w:spacing w:before="0" w:beforeAutospacing="0" w:after="0" w:afterAutospacing="0"/>
              <w:jc w:val="center"/>
              <w:rPr>
                <w:color w:val="333333"/>
              </w:rPr>
            </w:pPr>
            <w:r w:rsidRPr="00B85490">
              <w:rPr>
                <w:color w:val="333333"/>
              </w:rPr>
              <w:t>18.59</w:t>
            </w:r>
          </w:p>
        </w:tc>
      </w:tr>
      <w:tr w:rsidR="00657F81" w:rsidRPr="00B85490" w14:paraId="67E03514"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4C58C174" w14:textId="77777777" w:rsidR="00657F81" w:rsidRPr="00B85490" w:rsidRDefault="00657F81" w:rsidP="00EC413F">
            <w:pPr>
              <w:pStyle w:val="NormalWeb"/>
              <w:spacing w:before="0" w:beforeAutospacing="0" w:after="0" w:afterAutospacing="0"/>
              <w:jc w:val="center"/>
              <w:rPr>
                <w:color w:val="333333"/>
              </w:rPr>
            </w:pPr>
            <w:r w:rsidRPr="00B85490">
              <w:rPr>
                <w:color w:val="333333"/>
              </w:rPr>
              <w:t>21</w:t>
            </w:r>
          </w:p>
        </w:tc>
        <w:tc>
          <w:tcPr>
            <w:tcW w:w="2250" w:type="dxa"/>
            <w:shd w:val="clear" w:color="auto" w:fill="auto"/>
            <w:hideMark/>
          </w:tcPr>
          <w:p w14:paraId="040250BE" w14:textId="77777777" w:rsidR="00657F81" w:rsidRPr="00B85490" w:rsidRDefault="00657F81" w:rsidP="00EC413F">
            <w:pPr>
              <w:pStyle w:val="NormalWeb"/>
              <w:spacing w:before="0" w:beforeAutospacing="0" w:after="0" w:afterAutospacing="0"/>
              <w:jc w:val="center"/>
              <w:rPr>
                <w:color w:val="333333"/>
              </w:rPr>
            </w:pPr>
            <w:r w:rsidRPr="00B85490">
              <w:rPr>
                <w:color w:val="333333"/>
              </w:rPr>
              <w:t>19.25</w:t>
            </w:r>
          </w:p>
        </w:tc>
      </w:tr>
      <w:tr w:rsidR="00657F81" w:rsidRPr="00B85490" w14:paraId="23CF6607" w14:textId="77777777" w:rsidTr="00EC413F">
        <w:trPr>
          <w:trHeight w:val="187"/>
        </w:trPr>
        <w:tc>
          <w:tcPr>
            <w:tcW w:w="1522" w:type="dxa"/>
            <w:shd w:val="clear" w:color="auto" w:fill="auto"/>
            <w:hideMark/>
          </w:tcPr>
          <w:p w14:paraId="1F6138FA" w14:textId="77777777" w:rsidR="00657F81" w:rsidRPr="00B85490" w:rsidRDefault="00657F81" w:rsidP="00EC413F">
            <w:pPr>
              <w:pStyle w:val="NormalWeb"/>
              <w:spacing w:before="0" w:beforeAutospacing="0" w:after="0" w:afterAutospacing="0"/>
              <w:jc w:val="center"/>
              <w:rPr>
                <w:color w:val="333333"/>
              </w:rPr>
            </w:pPr>
            <w:r w:rsidRPr="00B85490">
              <w:rPr>
                <w:color w:val="333333"/>
              </w:rPr>
              <w:t>22</w:t>
            </w:r>
          </w:p>
        </w:tc>
        <w:tc>
          <w:tcPr>
            <w:tcW w:w="2250" w:type="dxa"/>
            <w:shd w:val="clear" w:color="auto" w:fill="auto"/>
            <w:hideMark/>
          </w:tcPr>
          <w:p w14:paraId="6FD39A32" w14:textId="77777777" w:rsidR="00657F81" w:rsidRPr="00B85490" w:rsidRDefault="00657F81" w:rsidP="00EC413F">
            <w:pPr>
              <w:pStyle w:val="NormalWeb"/>
              <w:spacing w:before="0" w:beforeAutospacing="0" w:after="0" w:afterAutospacing="0"/>
              <w:jc w:val="center"/>
              <w:rPr>
                <w:color w:val="333333"/>
              </w:rPr>
            </w:pPr>
            <w:r w:rsidRPr="00B85490">
              <w:rPr>
                <w:color w:val="333333"/>
              </w:rPr>
              <w:t>19.98</w:t>
            </w:r>
          </w:p>
        </w:tc>
      </w:tr>
      <w:tr w:rsidR="00657F81" w:rsidRPr="00B85490" w14:paraId="45A10B58"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6689E9BD" w14:textId="77777777" w:rsidR="00657F81" w:rsidRPr="00B85490" w:rsidRDefault="00657F81" w:rsidP="00EC413F">
            <w:pPr>
              <w:pStyle w:val="NormalWeb"/>
              <w:spacing w:before="0" w:beforeAutospacing="0" w:after="0" w:afterAutospacing="0"/>
              <w:jc w:val="center"/>
              <w:rPr>
                <w:color w:val="333333"/>
              </w:rPr>
            </w:pPr>
            <w:r w:rsidRPr="00B85490">
              <w:rPr>
                <w:color w:val="333333"/>
              </w:rPr>
              <w:t>23</w:t>
            </w:r>
          </w:p>
        </w:tc>
        <w:tc>
          <w:tcPr>
            <w:tcW w:w="2250" w:type="dxa"/>
            <w:shd w:val="clear" w:color="auto" w:fill="auto"/>
            <w:hideMark/>
          </w:tcPr>
          <w:p w14:paraId="53D8F7A3" w14:textId="77777777" w:rsidR="00657F81" w:rsidRPr="00B85490" w:rsidRDefault="00657F81" w:rsidP="00EC413F">
            <w:pPr>
              <w:pStyle w:val="NormalWeb"/>
              <w:spacing w:before="0" w:beforeAutospacing="0" w:after="0" w:afterAutospacing="0"/>
              <w:jc w:val="center"/>
              <w:rPr>
                <w:color w:val="333333"/>
              </w:rPr>
            </w:pPr>
            <w:r w:rsidRPr="00B85490">
              <w:rPr>
                <w:color w:val="333333"/>
              </w:rPr>
              <w:t>20.73</w:t>
            </w:r>
          </w:p>
        </w:tc>
      </w:tr>
      <w:tr w:rsidR="00657F81" w:rsidRPr="00B85490" w14:paraId="6E6E0F04" w14:textId="77777777" w:rsidTr="00EC413F">
        <w:trPr>
          <w:trHeight w:val="187"/>
        </w:trPr>
        <w:tc>
          <w:tcPr>
            <w:tcW w:w="1522" w:type="dxa"/>
            <w:shd w:val="clear" w:color="auto" w:fill="auto"/>
            <w:hideMark/>
          </w:tcPr>
          <w:p w14:paraId="4E3D14B9" w14:textId="77777777" w:rsidR="00657F81" w:rsidRPr="00B85490" w:rsidRDefault="00657F81" w:rsidP="00EC413F">
            <w:pPr>
              <w:pStyle w:val="NormalWeb"/>
              <w:spacing w:before="0" w:beforeAutospacing="0" w:after="0" w:afterAutospacing="0"/>
              <w:jc w:val="center"/>
              <w:rPr>
                <w:color w:val="333333"/>
              </w:rPr>
            </w:pPr>
            <w:r w:rsidRPr="00B85490">
              <w:rPr>
                <w:color w:val="333333"/>
              </w:rPr>
              <w:t>24</w:t>
            </w:r>
          </w:p>
        </w:tc>
        <w:tc>
          <w:tcPr>
            <w:tcW w:w="2250" w:type="dxa"/>
            <w:shd w:val="clear" w:color="auto" w:fill="auto"/>
            <w:hideMark/>
          </w:tcPr>
          <w:p w14:paraId="1850CA50" w14:textId="77777777" w:rsidR="00657F81" w:rsidRPr="00B85490" w:rsidRDefault="00657F81" w:rsidP="00EC413F">
            <w:pPr>
              <w:pStyle w:val="NormalWeb"/>
              <w:spacing w:before="0" w:beforeAutospacing="0" w:after="0" w:afterAutospacing="0"/>
              <w:jc w:val="center"/>
              <w:rPr>
                <w:color w:val="333333"/>
              </w:rPr>
            </w:pPr>
            <w:r w:rsidRPr="00B85490">
              <w:rPr>
                <w:color w:val="333333"/>
              </w:rPr>
              <w:t>21.54</w:t>
            </w:r>
          </w:p>
        </w:tc>
      </w:tr>
      <w:tr w:rsidR="00657F81" w:rsidRPr="00B85490" w14:paraId="218D8EA3"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0F42EFE3" w14:textId="77777777" w:rsidR="00657F81" w:rsidRPr="00B85490" w:rsidRDefault="00657F81" w:rsidP="00EC413F">
            <w:pPr>
              <w:pStyle w:val="NormalWeb"/>
              <w:spacing w:before="0" w:beforeAutospacing="0" w:after="0" w:afterAutospacing="0"/>
              <w:jc w:val="center"/>
              <w:rPr>
                <w:color w:val="333333"/>
              </w:rPr>
            </w:pPr>
            <w:r w:rsidRPr="00B85490">
              <w:rPr>
                <w:color w:val="333333"/>
              </w:rPr>
              <w:t>25</w:t>
            </w:r>
          </w:p>
        </w:tc>
        <w:tc>
          <w:tcPr>
            <w:tcW w:w="2250" w:type="dxa"/>
            <w:shd w:val="clear" w:color="auto" w:fill="auto"/>
            <w:hideMark/>
          </w:tcPr>
          <w:p w14:paraId="15F98C71" w14:textId="77777777" w:rsidR="00657F81" w:rsidRPr="00B85490" w:rsidRDefault="00657F81" w:rsidP="00EC413F">
            <w:pPr>
              <w:pStyle w:val="NormalWeb"/>
              <w:spacing w:before="0" w:beforeAutospacing="0" w:after="0" w:afterAutospacing="0"/>
              <w:jc w:val="center"/>
              <w:rPr>
                <w:color w:val="333333"/>
              </w:rPr>
            </w:pPr>
            <w:r w:rsidRPr="00B85490">
              <w:rPr>
                <w:color w:val="333333"/>
              </w:rPr>
              <w:t>22.35</w:t>
            </w:r>
          </w:p>
        </w:tc>
      </w:tr>
      <w:tr w:rsidR="00657F81" w:rsidRPr="00B85490" w14:paraId="6B2687D4" w14:textId="77777777" w:rsidTr="00EC413F">
        <w:trPr>
          <w:trHeight w:val="187"/>
        </w:trPr>
        <w:tc>
          <w:tcPr>
            <w:tcW w:w="1522" w:type="dxa"/>
            <w:shd w:val="clear" w:color="auto" w:fill="auto"/>
            <w:hideMark/>
          </w:tcPr>
          <w:p w14:paraId="4EA5D6E9" w14:textId="77777777" w:rsidR="00657F81" w:rsidRPr="00B85490" w:rsidRDefault="00657F81" w:rsidP="00EC413F">
            <w:pPr>
              <w:pStyle w:val="NormalWeb"/>
              <w:spacing w:before="0" w:beforeAutospacing="0" w:after="0" w:afterAutospacing="0"/>
              <w:jc w:val="center"/>
              <w:rPr>
                <w:color w:val="333333"/>
              </w:rPr>
            </w:pPr>
            <w:r w:rsidRPr="00B85490">
              <w:rPr>
                <w:color w:val="333333"/>
              </w:rPr>
              <w:t>26</w:t>
            </w:r>
          </w:p>
        </w:tc>
        <w:tc>
          <w:tcPr>
            <w:tcW w:w="2250" w:type="dxa"/>
            <w:shd w:val="clear" w:color="auto" w:fill="auto"/>
            <w:hideMark/>
          </w:tcPr>
          <w:p w14:paraId="4B327E5D" w14:textId="77777777" w:rsidR="00657F81" w:rsidRPr="00B85490" w:rsidRDefault="00657F81" w:rsidP="00EC413F">
            <w:pPr>
              <w:pStyle w:val="NormalWeb"/>
              <w:spacing w:before="0" w:beforeAutospacing="0" w:after="0" w:afterAutospacing="0"/>
              <w:jc w:val="center"/>
              <w:rPr>
                <w:color w:val="333333"/>
              </w:rPr>
            </w:pPr>
            <w:r w:rsidRPr="00B85490">
              <w:rPr>
                <w:color w:val="333333"/>
              </w:rPr>
              <w:t>23.21</w:t>
            </w:r>
          </w:p>
        </w:tc>
      </w:tr>
      <w:tr w:rsidR="00657F81" w:rsidRPr="00B85490" w14:paraId="180274A4"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4035CC3F" w14:textId="77777777" w:rsidR="00657F81" w:rsidRPr="00B85490" w:rsidRDefault="00657F81" w:rsidP="00EC413F">
            <w:pPr>
              <w:pStyle w:val="NormalWeb"/>
              <w:spacing w:before="0" w:beforeAutospacing="0" w:after="0" w:afterAutospacing="0"/>
              <w:jc w:val="center"/>
              <w:rPr>
                <w:color w:val="333333"/>
              </w:rPr>
            </w:pPr>
            <w:r w:rsidRPr="00B85490">
              <w:rPr>
                <w:color w:val="333333"/>
              </w:rPr>
              <w:t>27</w:t>
            </w:r>
          </w:p>
        </w:tc>
        <w:tc>
          <w:tcPr>
            <w:tcW w:w="2250" w:type="dxa"/>
            <w:shd w:val="clear" w:color="auto" w:fill="auto"/>
            <w:hideMark/>
          </w:tcPr>
          <w:p w14:paraId="6AE96CDE" w14:textId="77777777" w:rsidR="00657F81" w:rsidRPr="00B85490" w:rsidRDefault="00657F81" w:rsidP="00EC413F">
            <w:pPr>
              <w:pStyle w:val="NormalWeb"/>
              <w:spacing w:before="0" w:beforeAutospacing="0" w:after="0" w:afterAutospacing="0"/>
              <w:jc w:val="center"/>
              <w:rPr>
                <w:color w:val="333333"/>
              </w:rPr>
            </w:pPr>
            <w:r w:rsidRPr="00B85490">
              <w:rPr>
                <w:color w:val="333333"/>
              </w:rPr>
              <w:t>24.11</w:t>
            </w:r>
          </w:p>
        </w:tc>
      </w:tr>
      <w:tr w:rsidR="00657F81" w:rsidRPr="00B85490" w14:paraId="14FAFECF" w14:textId="77777777" w:rsidTr="00EC413F">
        <w:trPr>
          <w:trHeight w:val="187"/>
        </w:trPr>
        <w:tc>
          <w:tcPr>
            <w:tcW w:w="1522" w:type="dxa"/>
            <w:shd w:val="clear" w:color="auto" w:fill="auto"/>
            <w:hideMark/>
          </w:tcPr>
          <w:p w14:paraId="314171F3" w14:textId="77777777" w:rsidR="00657F81" w:rsidRPr="00B85490" w:rsidRDefault="00657F81" w:rsidP="00EC413F">
            <w:pPr>
              <w:pStyle w:val="NormalWeb"/>
              <w:spacing w:before="0" w:beforeAutospacing="0" w:after="0" w:afterAutospacing="0"/>
              <w:jc w:val="center"/>
              <w:rPr>
                <w:color w:val="333333"/>
              </w:rPr>
            </w:pPr>
            <w:r w:rsidRPr="00B85490">
              <w:rPr>
                <w:color w:val="333333"/>
              </w:rPr>
              <w:t>28</w:t>
            </w:r>
          </w:p>
        </w:tc>
        <w:tc>
          <w:tcPr>
            <w:tcW w:w="2250" w:type="dxa"/>
            <w:shd w:val="clear" w:color="auto" w:fill="auto"/>
            <w:hideMark/>
          </w:tcPr>
          <w:p w14:paraId="36BD3DDC" w14:textId="77777777" w:rsidR="00657F81" w:rsidRPr="00B85490" w:rsidRDefault="00657F81" w:rsidP="00EC413F">
            <w:pPr>
              <w:pStyle w:val="NormalWeb"/>
              <w:spacing w:before="0" w:beforeAutospacing="0" w:after="0" w:afterAutospacing="0"/>
              <w:jc w:val="center"/>
              <w:rPr>
                <w:color w:val="333333"/>
              </w:rPr>
            </w:pPr>
            <w:r w:rsidRPr="00B85490">
              <w:rPr>
                <w:color w:val="333333"/>
              </w:rPr>
              <w:t>25.03</w:t>
            </w:r>
          </w:p>
        </w:tc>
      </w:tr>
      <w:tr w:rsidR="00657F81" w:rsidRPr="00B85490" w14:paraId="57CE646F"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7C0E1586" w14:textId="77777777" w:rsidR="00657F81" w:rsidRPr="00B85490" w:rsidRDefault="00657F81" w:rsidP="00EC413F">
            <w:pPr>
              <w:pStyle w:val="NormalWeb"/>
              <w:spacing w:before="0" w:beforeAutospacing="0" w:after="0" w:afterAutospacing="0"/>
              <w:jc w:val="center"/>
              <w:rPr>
                <w:color w:val="333333"/>
              </w:rPr>
            </w:pPr>
            <w:r w:rsidRPr="00B85490">
              <w:rPr>
                <w:color w:val="333333"/>
              </w:rPr>
              <w:t>29</w:t>
            </w:r>
          </w:p>
        </w:tc>
        <w:tc>
          <w:tcPr>
            <w:tcW w:w="2250" w:type="dxa"/>
            <w:shd w:val="clear" w:color="auto" w:fill="auto"/>
            <w:hideMark/>
          </w:tcPr>
          <w:p w14:paraId="435CBD13" w14:textId="77777777" w:rsidR="00657F81" w:rsidRPr="00B85490" w:rsidRDefault="00657F81" w:rsidP="00EC413F">
            <w:pPr>
              <w:pStyle w:val="NormalWeb"/>
              <w:spacing w:before="0" w:beforeAutospacing="0" w:after="0" w:afterAutospacing="0"/>
              <w:jc w:val="center"/>
              <w:rPr>
                <w:color w:val="333333"/>
              </w:rPr>
            </w:pPr>
            <w:r w:rsidRPr="00B85490">
              <w:rPr>
                <w:color w:val="333333"/>
              </w:rPr>
              <w:t>26.02</w:t>
            </w:r>
          </w:p>
        </w:tc>
      </w:tr>
      <w:tr w:rsidR="00657F81" w:rsidRPr="00B85490" w14:paraId="490FCDD5" w14:textId="77777777" w:rsidTr="00EC413F">
        <w:trPr>
          <w:trHeight w:val="187"/>
        </w:trPr>
        <w:tc>
          <w:tcPr>
            <w:tcW w:w="1522" w:type="dxa"/>
            <w:shd w:val="clear" w:color="auto" w:fill="auto"/>
            <w:hideMark/>
          </w:tcPr>
          <w:p w14:paraId="23EFCAB2" w14:textId="77777777" w:rsidR="00657F81" w:rsidRPr="00B85490" w:rsidRDefault="00657F81" w:rsidP="00EC413F">
            <w:pPr>
              <w:pStyle w:val="NormalWeb"/>
              <w:spacing w:before="0" w:beforeAutospacing="0" w:after="0" w:afterAutospacing="0"/>
              <w:jc w:val="center"/>
              <w:rPr>
                <w:color w:val="333333"/>
              </w:rPr>
            </w:pPr>
            <w:r w:rsidRPr="00B85490">
              <w:rPr>
                <w:color w:val="333333"/>
              </w:rPr>
              <w:t>30</w:t>
            </w:r>
          </w:p>
        </w:tc>
        <w:tc>
          <w:tcPr>
            <w:tcW w:w="2250" w:type="dxa"/>
            <w:shd w:val="clear" w:color="auto" w:fill="auto"/>
            <w:hideMark/>
          </w:tcPr>
          <w:p w14:paraId="413FD65F" w14:textId="77777777" w:rsidR="00657F81" w:rsidRPr="00B85490" w:rsidRDefault="00657F81" w:rsidP="00EC413F">
            <w:pPr>
              <w:pStyle w:val="NormalWeb"/>
              <w:spacing w:before="0" w:beforeAutospacing="0" w:after="0" w:afterAutospacing="0"/>
              <w:jc w:val="center"/>
              <w:rPr>
                <w:color w:val="333333"/>
              </w:rPr>
            </w:pPr>
            <w:r w:rsidRPr="00B85490">
              <w:rPr>
                <w:color w:val="333333"/>
              </w:rPr>
              <w:t>27.03</w:t>
            </w:r>
          </w:p>
        </w:tc>
      </w:tr>
      <w:tr w:rsidR="00657F81" w:rsidRPr="00B85490" w14:paraId="40A16FB8"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7E583D9D" w14:textId="77777777" w:rsidR="00657F81" w:rsidRPr="00B85490" w:rsidRDefault="00657F81" w:rsidP="00EC413F">
            <w:pPr>
              <w:pStyle w:val="NormalWeb"/>
              <w:spacing w:before="0" w:beforeAutospacing="0" w:after="0" w:afterAutospacing="0"/>
              <w:jc w:val="center"/>
              <w:rPr>
                <w:color w:val="333333"/>
              </w:rPr>
            </w:pPr>
            <w:r w:rsidRPr="00B85490">
              <w:rPr>
                <w:color w:val="333333"/>
              </w:rPr>
              <w:t>31</w:t>
            </w:r>
          </w:p>
        </w:tc>
        <w:tc>
          <w:tcPr>
            <w:tcW w:w="2250" w:type="dxa"/>
            <w:shd w:val="clear" w:color="auto" w:fill="auto"/>
            <w:hideMark/>
          </w:tcPr>
          <w:p w14:paraId="1A40BD0E" w14:textId="77777777" w:rsidR="00657F81" w:rsidRPr="00B85490" w:rsidRDefault="00657F81" w:rsidP="00EC413F">
            <w:pPr>
              <w:pStyle w:val="NormalWeb"/>
              <w:spacing w:before="0" w:beforeAutospacing="0" w:after="0" w:afterAutospacing="0"/>
              <w:jc w:val="center"/>
              <w:rPr>
                <w:color w:val="333333"/>
              </w:rPr>
            </w:pPr>
            <w:r w:rsidRPr="00B85490">
              <w:rPr>
                <w:color w:val="333333"/>
              </w:rPr>
              <w:t>28.13</w:t>
            </w:r>
          </w:p>
        </w:tc>
      </w:tr>
      <w:tr w:rsidR="00657F81" w:rsidRPr="00B85490" w14:paraId="619C9798" w14:textId="77777777" w:rsidTr="00EC413F">
        <w:trPr>
          <w:trHeight w:val="187"/>
        </w:trPr>
        <w:tc>
          <w:tcPr>
            <w:tcW w:w="1522" w:type="dxa"/>
            <w:shd w:val="clear" w:color="auto" w:fill="auto"/>
            <w:hideMark/>
          </w:tcPr>
          <w:p w14:paraId="0C47B113" w14:textId="77777777" w:rsidR="00657F81" w:rsidRPr="00B85490" w:rsidRDefault="00657F81" w:rsidP="00EC413F">
            <w:pPr>
              <w:pStyle w:val="NormalWeb"/>
              <w:spacing w:before="0" w:beforeAutospacing="0" w:after="0" w:afterAutospacing="0"/>
              <w:jc w:val="center"/>
              <w:rPr>
                <w:color w:val="333333"/>
              </w:rPr>
            </w:pPr>
            <w:r w:rsidRPr="00B85490">
              <w:rPr>
                <w:color w:val="333333"/>
              </w:rPr>
              <w:t>32</w:t>
            </w:r>
          </w:p>
        </w:tc>
        <w:tc>
          <w:tcPr>
            <w:tcW w:w="2250" w:type="dxa"/>
            <w:shd w:val="clear" w:color="auto" w:fill="auto"/>
            <w:hideMark/>
          </w:tcPr>
          <w:p w14:paraId="3560E777" w14:textId="77777777" w:rsidR="00657F81" w:rsidRPr="00B85490" w:rsidRDefault="00657F81" w:rsidP="00EC413F">
            <w:pPr>
              <w:pStyle w:val="NormalWeb"/>
              <w:spacing w:before="0" w:beforeAutospacing="0" w:after="0" w:afterAutospacing="0"/>
              <w:jc w:val="center"/>
              <w:rPr>
                <w:color w:val="333333"/>
              </w:rPr>
            </w:pPr>
            <w:r w:rsidRPr="00B85490">
              <w:rPr>
                <w:color w:val="333333"/>
              </w:rPr>
              <w:t>29.31</w:t>
            </w:r>
          </w:p>
        </w:tc>
      </w:tr>
      <w:tr w:rsidR="00657F81" w:rsidRPr="00B85490" w14:paraId="7E99F742"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shd w:val="clear" w:color="auto" w:fill="auto"/>
            <w:hideMark/>
          </w:tcPr>
          <w:p w14:paraId="4F709A7A" w14:textId="77777777" w:rsidR="00657F81" w:rsidRPr="00B85490" w:rsidRDefault="00657F81" w:rsidP="00EC413F">
            <w:pPr>
              <w:pStyle w:val="NormalWeb"/>
              <w:spacing w:before="0" w:beforeAutospacing="0" w:after="0" w:afterAutospacing="0"/>
              <w:jc w:val="center"/>
              <w:rPr>
                <w:color w:val="333333"/>
              </w:rPr>
            </w:pPr>
            <w:r w:rsidRPr="00B85490">
              <w:rPr>
                <w:color w:val="333333"/>
              </w:rPr>
              <w:t>33</w:t>
            </w:r>
          </w:p>
        </w:tc>
        <w:tc>
          <w:tcPr>
            <w:tcW w:w="2250" w:type="dxa"/>
            <w:shd w:val="clear" w:color="auto" w:fill="auto"/>
            <w:hideMark/>
          </w:tcPr>
          <w:p w14:paraId="2DE3289E" w14:textId="77777777" w:rsidR="00657F81" w:rsidRPr="00B85490" w:rsidRDefault="00657F81" w:rsidP="00EC413F">
            <w:pPr>
              <w:pStyle w:val="NormalWeb"/>
              <w:spacing w:before="0" w:beforeAutospacing="0" w:after="0" w:afterAutospacing="0"/>
              <w:jc w:val="center"/>
              <w:rPr>
                <w:color w:val="333333"/>
              </w:rPr>
            </w:pPr>
            <w:r w:rsidRPr="00B85490">
              <w:rPr>
                <w:color w:val="333333"/>
              </w:rPr>
              <w:t>30.70</w:t>
            </w:r>
          </w:p>
        </w:tc>
      </w:tr>
      <w:tr w:rsidR="00657F81" w:rsidRPr="00B85490" w14:paraId="76F9EEFA" w14:textId="77777777" w:rsidTr="00EC413F">
        <w:trPr>
          <w:trHeight w:val="187"/>
        </w:trPr>
        <w:tc>
          <w:tcPr>
            <w:tcW w:w="1522" w:type="dxa"/>
            <w:shd w:val="clear" w:color="auto" w:fill="auto"/>
            <w:hideMark/>
          </w:tcPr>
          <w:p w14:paraId="73AF9237" w14:textId="77777777" w:rsidR="00657F81" w:rsidRPr="00B85490" w:rsidRDefault="00657F81" w:rsidP="00EC413F">
            <w:pPr>
              <w:pStyle w:val="NormalWeb"/>
              <w:spacing w:before="0" w:beforeAutospacing="0" w:after="0" w:afterAutospacing="0"/>
              <w:jc w:val="center"/>
              <w:rPr>
                <w:color w:val="333333"/>
              </w:rPr>
            </w:pPr>
            <w:r w:rsidRPr="00B85490">
              <w:rPr>
                <w:color w:val="333333"/>
              </w:rPr>
              <w:t>34</w:t>
            </w:r>
          </w:p>
        </w:tc>
        <w:tc>
          <w:tcPr>
            <w:tcW w:w="2250" w:type="dxa"/>
            <w:shd w:val="clear" w:color="auto" w:fill="auto"/>
            <w:hideMark/>
          </w:tcPr>
          <w:p w14:paraId="31892FC2" w14:textId="77777777" w:rsidR="00657F81" w:rsidRPr="00B85490" w:rsidRDefault="00657F81" w:rsidP="00EC413F">
            <w:pPr>
              <w:pStyle w:val="NormalWeb"/>
              <w:spacing w:before="0" w:beforeAutospacing="0" w:after="0" w:afterAutospacing="0"/>
              <w:jc w:val="center"/>
              <w:rPr>
                <w:color w:val="333333"/>
              </w:rPr>
            </w:pPr>
            <w:r w:rsidRPr="00B85490">
              <w:rPr>
                <w:color w:val="333333"/>
              </w:rPr>
              <w:t>32.55</w:t>
            </w:r>
          </w:p>
        </w:tc>
      </w:tr>
      <w:tr w:rsidR="00657F81" w:rsidRPr="00B85490" w14:paraId="654D340D" w14:textId="77777777" w:rsidTr="00EC413F">
        <w:trPr>
          <w:cnfStyle w:val="000000100000" w:firstRow="0" w:lastRow="0" w:firstColumn="0" w:lastColumn="0" w:oddVBand="0" w:evenVBand="0" w:oddHBand="1" w:evenHBand="0" w:firstRowFirstColumn="0" w:firstRowLastColumn="0" w:lastRowFirstColumn="0" w:lastRowLastColumn="0"/>
          <w:trHeight w:val="187"/>
        </w:trPr>
        <w:tc>
          <w:tcPr>
            <w:tcW w:w="1522" w:type="dxa"/>
            <w:tcBorders>
              <w:bottom w:val="single" w:sz="2" w:space="0" w:color="auto"/>
            </w:tcBorders>
            <w:shd w:val="clear" w:color="auto" w:fill="auto"/>
            <w:hideMark/>
          </w:tcPr>
          <w:p w14:paraId="6D51F44A" w14:textId="77777777" w:rsidR="00657F81" w:rsidRPr="00B85490" w:rsidRDefault="00657F81" w:rsidP="00EC413F">
            <w:pPr>
              <w:pStyle w:val="NormalWeb"/>
              <w:spacing w:before="0" w:beforeAutospacing="0" w:after="0" w:afterAutospacing="0"/>
              <w:jc w:val="center"/>
              <w:rPr>
                <w:color w:val="333333"/>
              </w:rPr>
            </w:pPr>
            <w:r w:rsidRPr="00B85490">
              <w:rPr>
                <w:color w:val="333333"/>
              </w:rPr>
              <w:t>35</w:t>
            </w:r>
          </w:p>
        </w:tc>
        <w:tc>
          <w:tcPr>
            <w:tcW w:w="2250" w:type="dxa"/>
            <w:tcBorders>
              <w:bottom w:val="single" w:sz="2" w:space="0" w:color="auto"/>
            </w:tcBorders>
            <w:shd w:val="clear" w:color="auto" w:fill="auto"/>
            <w:hideMark/>
          </w:tcPr>
          <w:p w14:paraId="7C15A44E" w14:textId="77777777" w:rsidR="00657F81" w:rsidRPr="00B85490" w:rsidRDefault="00657F81" w:rsidP="00EC413F">
            <w:pPr>
              <w:pStyle w:val="NormalWeb"/>
              <w:spacing w:before="0" w:beforeAutospacing="0" w:after="0" w:afterAutospacing="0"/>
              <w:jc w:val="center"/>
              <w:rPr>
                <w:color w:val="333333"/>
              </w:rPr>
            </w:pPr>
            <w:r w:rsidRPr="00B85490">
              <w:rPr>
                <w:color w:val="333333"/>
              </w:rPr>
              <w:t>35.00</w:t>
            </w:r>
          </w:p>
        </w:tc>
      </w:tr>
    </w:tbl>
    <w:p w14:paraId="5DD2D054" w14:textId="77777777" w:rsidR="00657F81" w:rsidRPr="00616C5D" w:rsidRDefault="00657F81" w:rsidP="00657F81">
      <w:pPr>
        <w:rPr>
          <w:rFonts w:ascii="Times New Roman" w:hAnsi="Times New Roman" w:cs="Times New Roman"/>
        </w:rPr>
      </w:pPr>
      <w:r w:rsidRPr="00616C5D">
        <w:rPr>
          <w:rFonts w:ascii="Times New Roman" w:hAnsi="Times New Roman" w:cs="Times New Roman"/>
          <w:i/>
          <w:iCs/>
        </w:rPr>
        <w:t>Note</w:t>
      </w:r>
      <w:r w:rsidRPr="00616C5D">
        <w:rPr>
          <w:rFonts w:ascii="Times New Roman" w:hAnsi="Times New Roman" w:cs="Times New Roman"/>
        </w:rPr>
        <w:t>. Originally published by Stewart-Brown et al. (2013).</w:t>
      </w:r>
    </w:p>
    <w:p w14:paraId="7B8F1F26" w14:textId="77777777" w:rsidR="00657F81" w:rsidRDefault="00657F81" w:rsidP="00657F81"/>
    <w:p w14:paraId="3CAADF94" w14:textId="77777777" w:rsidR="00657F81" w:rsidRDefault="00657F81" w:rsidP="00657F81">
      <w:pPr>
        <w:rPr>
          <w:b/>
          <w:bCs/>
        </w:rPr>
      </w:pPr>
    </w:p>
    <w:p w14:paraId="02500477" w14:textId="77777777" w:rsidR="00657F81" w:rsidRDefault="00657F81" w:rsidP="00657F81">
      <w:pPr>
        <w:rPr>
          <w:b/>
          <w:bCs/>
        </w:rPr>
      </w:pPr>
    </w:p>
    <w:p w14:paraId="5EE65AAA" w14:textId="77777777" w:rsidR="00657F81" w:rsidRDefault="00657F81" w:rsidP="00657F81">
      <w:pPr>
        <w:rPr>
          <w:b/>
          <w:bCs/>
        </w:rPr>
      </w:pPr>
    </w:p>
    <w:p w14:paraId="46310C31" w14:textId="77777777" w:rsidR="00657F81" w:rsidRPr="00616C5D" w:rsidRDefault="00657F81" w:rsidP="00657F81">
      <w:pPr>
        <w:spacing w:line="480" w:lineRule="auto"/>
        <w:rPr>
          <w:rFonts w:ascii="Times New Roman" w:hAnsi="Times New Roman" w:cs="Times New Roman"/>
        </w:rPr>
      </w:pPr>
      <w:r w:rsidRPr="00616C5D">
        <w:rPr>
          <w:rFonts w:ascii="Times New Roman" w:hAnsi="Times New Roman" w:cs="Times New Roman"/>
          <w:b/>
          <w:bCs/>
        </w:rPr>
        <w:lastRenderedPageBreak/>
        <w:t xml:space="preserve">Figure 1 </w:t>
      </w:r>
    </w:p>
    <w:p w14:paraId="62AD84DF" w14:textId="77777777" w:rsidR="00657F81" w:rsidRPr="00616C5D" w:rsidRDefault="00657F81" w:rsidP="00657F81">
      <w:pPr>
        <w:spacing w:line="480" w:lineRule="auto"/>
        <w:rPr>
          <w:rFonts w:ascii="Times New Roman" w:hAnsi="Times New Roman" w:cs="Times New Roman"/>
        </w:rPr>
      </w:pPr>
      <w:r w:rsidRPr="00616C5D">
        <w:rPr>
          <w:rFonts w:ascii="Times New Roman" w:hAnsi="Times New Roman" w:cs="Times New Roman"/>
          <w:i/>
          <w:iCs/>
        </w:rPr>
        <w:t>Path Diagram of Main Effects Model with Observed Indicators and Covariances</w:t>
      </w:r>
    </w:p>
    <w:p w14:paraId="35CF4D62" w14:textId="54D71A40" w:rsidR="00657F81" w:rsidRPr="000B7259" w:rsidRDefault="007C4D7D" w:rsidP="00657F81">
      <w:pPr>
        <w:spacing w:line="480" w:lineRule="auto"/>
        <w:rPr>
          <w:i/>
          <w:iCs/>
        </w:rPr>
      </w:pPr>
      <w:r w:rsidRPr="007C4D7D">
        <w:rPr>
          <w:i/>
          <w:iCs/>
        </w:rPr>
        <w:drawing>
          <wp:inline distT="0" distB="0" distL="0" distR="0" wp14:anchorId="5B16E70F" wp14:editId="290E8C1C">
            <wp:extent cx="5943600" cy="3343275"/>
            <wp:effectExtent l="0" t="0" r="0" b="0"/>
            <wp:docPr id="1010732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32420" name=""/>
                    <pic:cNvPicPr/>
                  </pic:nvPicPr>
                  <pic:blipFill>
                    <a:blip r:embed="rId7"/>
                    <a:stretch>
                      <a:fillRect/>
                    </a:stretch>
                  </pic:blipFill>
                  <pic:spPr>
                    <a:xfrm>
                      <a:off x="0" y="0"/>
                      <a:ext cx="5943600" cy="3343275"/>
                    </a:xfrm>
                    <a:prstGeom prst="rect">
                      <a:avLst/>
                    </a:prstGeom>
                  </pic:spPr>
                </pic:pic>
              </a:graphicData>
            </a:graphic>
          </wp:inline>
        </w:drawing>
      </w:r>
    </w:p>
    <w:p w14:paraId="6CD8716E" w14:textId="7BC3AED3" w:rsidR="00657F81" w:rsidRPr="000B7259" w:rsidRDefault="00657F81" w:rsidP="00657F81">
      <w:pPr>
        <w:pStyle w:val="NormalWeb"/>
        <w:spacing w:before="0" w:beforeAutospacing="0" w:after="0" w:afterAutospacing="0" w:line="480" w:lineRule="auto"/>
        <w:rPr>
          <w:color w:val="000000"/>
          <w:lang w:val="en-GB"/>
        </w:rPr>
      </w:pPr>
      <w:r w:rsidRPr="000B7259">
        <w:rPr>
          <w:rStyle w:val="Emphasis"/>
          <w:color w:val="000000"/>
          <w:bdr w:val="none" w:sz="0" w:space="0" w:color="auto" w:frame="1"/>
          <w:shd w:val="clear" w:color="auto" w:fill="FFFFFF"/>
          <w:lang w:val="en-GB"/>
        </w:rPr>
        <w:t>Note</w:t>
      </w:r>
      <w:r w:rsidRPr="000B7259">
        <w:rPr>
          <w:color w:val="000000"/>
          <w:shd w:val="clear" w:color="auto" w:fill="FFFFFF"/>
          <w:lang w:val="en-GB"/>
        </w:rPr>
        <w:t>. The path diagram shows associations between predictors of childhood adversity and school connectedness at ages 11 and 14 and adolescent mental health outcomes (externali</w:t>
      </w:r>
      <w:r w:rsidR="007C4D7D">
        <w:rPr>
          <w:color w:val="000000"/>
          <w:shd w:val="clear" w:color="auto" w:fill="FFFFFF"/>
          <w:lang w:val="en-GB"/>
        </w:rPr>
        <w:t>z</w:t>
      </w:r>
      <w:r w:rsidRPr="000B7259">
        <w:rPr>
          <w:color w:val="000000"/>
          <w:shd w:val="clear" w:color="auto" w:fill="FFFFFF"/>
          <w:lang w:val="en-GB"/>
        </w:rPr>
        <w:t>ing problems, internali</w:t>
      </w:r>
      <w:r w:rsidR="007C4D7D">
        <w:rPr>
          <w:color w:val="000000"/>
          <w:shd w:val="clear" w:color="auto" w:fill="FFFFFF"/>
          <w:lang w:val="en-GB"/>
        </w:rPr>
        <w:t>z</w:t>
      </w:r>
      <w:r w:rsidRPr="000B7259">
        <w:rPr>
          <w:color w:val="000000"/>
          <w:shd w:val="clear" w:color="auto" w:fill="FFFFFF"/>
          <w:lang w:val="en-GB"/>
        </w:rPr>
        <w:t xml:space="preserve">ing problems, and positive mental health). </w:t>
      </w:r>
      <w:r w:rsidRPr="000B7259">
        <w:rPr>
          <w:color w:val="000000"/>
          <w:lang w:val="en-GB"/>
        </w:rPr>
        <w:t>Racial and ethnic minority status, poverty, and sex were included as covariates but are not depicted in the figure for readability. Rectangles represent observed variables, and ovals represent latent variables. </w:t>
      </w:r>
    </w:p>
    <w:p w14:paraId="4B87FF3B" w14:textId="7EB564EF" w:rsidR="000360C6" w:rsidRPr="000360C6" w:rsidRDefault="000360C6" w:rsidP="000360C6">
      <w:pPr>
        <w:spacing w:line="480" w:lineRule="auto"/>
        <w:rPr>
          <w:rFonts w:ascii="Times New Roman" w:hAnsi="Times New Roman" w:cs="Times New Roman"/>
        </w:rPr>
        <w:sectPr w:rsidR="000360C6" w:rsidRPr="000360C6" w:rsidSect="00961E8B">
          <w:footerReference w:type="even" r:id="rId8"/>
          <w:footerReference w:type="default" r:id="rId9"/>
          <w:pgSz w:w="12240" w:h="15840"/>
          <w:pgMar w:top="1440" w:right="1440" w:bottom="1440" w:left="1440" w:header="720" w:footer="720" w:gutter="0"/>
          <w:lnNumType w:countBy="1" w:restart="continuous"/>
          <w:cols w:space="720"/>
          <w:docGrid w:linePitch="360"/>
        </w:sectPr>
      </w:pPr>
      <w:r w:rsidRPr="000360C6">
        <w:rPr>
          <w:rFonts w:ascii="Times New Roman" w:hAnsi="Times New Roman" w:cs="Times New Roman"/>
          <w:vertAlign w:val="superscript"/>
        </w:rPr>
        <w:t>*</w:t>
      </w:r>
      <w:r w:rsidRPr="000360C6">
        <w:rPr>
          <w:rFonts w:ascii="Times New Roman" w:hAnsi="Times New Roman" w:cs="Times New Roman"/>
        </w:rPr>
        <w:t>Solid lines indicate significance at p &lt; .05. Dashed lines represent non-significant relationships at p &gt; .05.  Coefficients of significant relationships are listed with the following significance levels: *</w:t>
      </w:r>
      <w:r w:rsidRPr="000360C6">
        <w:rPr>
          <w:rFonts w:ascii="Times New Roman" w:hAnsi="Times New Roman" w:cs="Times New Roman"/>
          <w:i/>
          <w:iCs/>
        </w:rPr>
        <w:t>p</w:t>
      </w:r>
      <w:r w:rsidRPr="000360C6">
        <w:rPr>
          <w:rFonts w:ascii="Times New Roman" w:hAnsi="Times New Roman" w:cs="Times New Roman"/>
        </w:rPr>
        <w:t>&lt;0.05,   **</w:t>
      </w:r>
      <w:r w:rsidRPr="000360C6">
        <w:rPr>
          <w:rFonts w:ascii="Times New Roman" w:hAnsi="Times New Roman" w:cs="Times New Roman"/>
          <w:i/>
          <w:iCs/>
        </w:rPr>
        <w:t>p</w:t>
      </w:r>
      <w:r w:rsidRPr="000360C6">
        <w:rPr>
          <w:rFonts w:ascii="Times New Roman" w:hAnsi="Times New Roman" w:cs="Times New Roman"/>
        </w:rPr>
        <w:t xml:space="preserve"> &lt; 0.01, ***</w:t>
      </w:r>
      <w:r w:rsidRPr="000360C6">
        <w:rPr>
          <w:rFonts w:ascii="Times New Roman" w:hAnsi="Times New Roman" w:cs="Times New Roman"/>
          <w:i/>
          <w:iCs/>
        </w:rPr>
        <w:t>p</w:t>
      </w:r>
      <w:r w:rsidRPr="000360C6">
        <w:rPr>
          <w:rFonts w:ascii="Times New Roman" w:hAnsi="Times New Roman" w:cs="Times New Roman"/>
        </w:rPr>
        <w:t xml:space="preserve"> &lt; 0.001</w:t>
      </w:r>
    </w:p>
    <w:p w14:paraId="4B0B4A06" w14:textId="77777777" w:rsidR="00E8000C" w:rsidRDefault="00E8000C" w:rsidP="00657F81">
      <w:pPr>
        <w:spacing w:line="480" w:lineRule="auto"/>
        <w:rPr>
          <w:b/>
          <w:bCs/>
        </w:rPr>
      </w:pPr>
    </w:p>
    <w:p w14:paraId="113A16EE" w14:textId="063C1C03" w:rsidR="00657F81" w:rsidRPr="000360C6" w:rsidRDefault="00657F81" w:rsidP="00657F81">
      <w:pPr>
        <w:spacing w:line="480" w:lineRule="auto"/>
        <w:rPr>
          <w:rFonts w:ascii="Times New Roman" w:hAnsi="Times New Roman" w:cs="Times New Roman"/>
        </w:rPr>
      </w:pPr>
      <w:r w:rsidRPr="000360C6">
        <w:rPr>
          <w:rFonts w:ascii="Times New Roman" w:hAnsi="Times New Roman" w:cs="Times New Roman"/>
          <w:b/>
          <w:bCs/>
        </w:rPr>
        <w:t>Figure 2</w:t>
      </w:r>
    </w:p>
    <w:p w14:paraId="7C8E71D0" w14:textId="77777777" w:rsidR="00657F81" w:rsidRPr="000360C6" w:rsidRDefault="00657F81" w:rsidP="00657F81">
      <w:pPr>
        <w:spacing w:line="480" w:lineRule="auto"/>
        <w:rPr>
          <w:rFonts w:ascii="Times New Roman" w:hAnsi="Times New Roman" w:cs="Times New Roman"/>
        </w:rPr>
      </w:pPr>
      <w:r w:rsidRPr="000360C6">
        <w:rPr>
          <w:rFonts w:ascii="Times New Roman" w:hAnsi="Times New Roman" w:cs="Times New Roman"/>
          <w:i/>
          <w:iCs/>
        </w:rPr>
        <w:t>Path Diagram of the Moderation Model with Observed Indicators and Covariances</w:t>
      </w:r>
    </w:p>
    <w:p w14:paraId="7FB13218" w14:textId="13027D7E" w:rsidR="00657F81" w:rsidRPr="000B7259" w:rsidRDefault="007C4D7D" w:rsidP="00657F81">
      <w:pPr>
        <w:spacing w:line="480" w:lineRule="auto"/>
        <w:rPr>
          <w:b/>
          <w:bCs/>
        </w:rPr>
      </w:pPr>
      <w:r w:rsidRPr="007C4D7D">
        <w:rPr>
          <w:b/>
          <w:bCs/>
        </w:rPr>
        <w:drawing>
          <wp:inline distT="0" distB="0" distL="0" distR="0" wp14:anchorId="6194F81A" wp14:editId="05BEA4B2">
            <wp:extent cx="5943600" cy="3343275"/>
            <wp:effectExtent l="0" t="0" r="0" b="0"/>
            <wp:docPr id="725135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35813" name=""/>
                    <pic:cNvPicPr/>
                  </pic:nvPicPr>
                  <pic:blipFill>
                    <a:blip r:embed="rId10"/>
                    <a:stretch>
                      <a:fillRect/>
                    </a:stretch>
                  </pic:blipFill>
                  <pic:spPr>
                    <a:xfrm>
                      <a:off x="0" y="0"/>
                      <a:ext cx="5943600" cy="3343275"/>
                    </a:xfrm>
                    <a:prstGeom prst="rect">
                      <a:avLst/>
                    </a:prstGeom>
                  </pic:spPr>
                </pic:pic>
              </a:graphicData>
            </a:graphic>
          </wp:inline>
        </w:drawing>
      </w:r>
    </w:p>
    <w:p w14:paraId="4BDBB462" w14:textId="1B62B6DF" w:rsidR="00657F81" w:rsidRPr="000B7259" w:rsidRDefault="00657F81" w:rsidP="00657F81">
      <w:pPr>
        <w:pStyle w:val="NormalWeb"/>
        <w:spacing w:before="0" w:beforeAutospacing="0" w:after="0" w:afterAutospacing="0" w:line="480" w:lineRule="auto"/>
        <w:rPr>
          <w:lang w:val="en-GB"/>
        </w:rPr>
      </w:pPr>
      <w:r w:rsidRPr="000B7259">
        <w:rPr>
          <w:rStyle w:val="Emphasis"/>
          <w:color w:val="000000"/>
          <w:bdr w:val="none" w:sz="0" w:space="0" w:color="auto" w:frame="1"/>
          <w:shd w:val="clear" w:color="auto" w:fill="FFFFFF"/>
          <w:lang w:val="en-GB"/>
        </w:rPr>
        <w:t>Note</w:t>
      </w:r>
      <w:r w:rsidRPr="000B7259">
        <w:rPr>
          <w:color w:val="000000"/>
          <w:shd w:val="clear" w:color="auto" w:fill="FFFFFF"/>
          <w:lang w:val="en-GB"/>
        </w:rPr>
        <w:t>. The path diagram shows associations between the predictors of childhood adversity and school connectedness at ages 11 and 14 and adolescent mental health outcomes (externali</w:t>
      </w:r>
      <w:r w:rsidR="007C4D7D">
        <w:rPr>
          <w:color w:val="000000"/>
          <w:shd w:val="clear" w:color="auto" w:fill="FFFFFF"/>
          <w:lang w:val="en-GB"/>
        </w:rPr>
        <w:t>z</w:t>
      </w:r>
      <w:r w:rsidRPr="000B7259">
        <w:rPr>
          <w:color w:val="000000"/>
          <w:shd w:val="clear" w:color="auto" w:fill="FFFFFF"/>
          <w:lang w:val="en-GB"/>
        </w:rPr>
        <w:t>ing problems, internali</w:t>
      </w:r>
      <w:r w:rsidR="007C4D7D">
        <w:rPr>
          <w:color w:val="000000"/>
          <w:shd w:val="clear" w:color="auto" w:fill="FFFFFF"/>
          <w:lang w:val="en-GB"/>
        </w:rPr>
        <w:t>z</w:t>
      </w:r>
      <w:r w:rsidRPr="000B7259">
        <w:rPr>
          <w:color w:val="000000"/>
          <w:shd w:val="clear" w:color="auto" w:fill="FFFFFF"/>
          <w:lang w:val="en-GB"/>
        </w:rPr>
        <w:t xml:space="preserve">ing problems, and positive mental health). The interaction between age 11 school connectedness and childhood adversity is represented by the black circle. </w:t>
      </w:r>
      <w:r w:rsidRPr="000B7259">
        <w:rPr>
          <w:color w:val="000000"/>
          <w:lang w:val="en-GB"/>
        </w:rPr>
        <w:t>Racial/ethnic minority status, poverty, and sex were included as covariates but are not depicted in the figure for readability. Rectangles represent observed variables, and ovals represent latent variables. </w:t>
      </w:r>
    </w:p>
    <w:p w14:paraId="23E6A363" w14:textId="2C906045" w:rsidR="000360C6" w:rsidRPr="000360C6" w:rsidRDefault="000360C6" w:rsidP="000360C6">
      <w:pPr>
        <w:spacing w:line="480" w:lineRule="auto"/>
        <w:rPr>
          <w:rFonts w:ascii="Times New Roman" w:hAnsi="Times New Roman" w:cs="Times New Roman"/>
        </w:rPr>
        <w:sectPr w:rsidR="000360C6" w:rsidRPr="000360C6" w:rsidSect="00961E8B">
          <w:footerReference w:type="even" r:id="rId11"/>
          <w:footerReference w:type="default" r:id="rId12"/>
          <w:pgSz w:w="12240" w:h="15840"/>
          <w:pgMar w:top="1440" w:right="1440" w:bottom="1440" w:left="1440" w:header="720" w:footer="720" w:gutter="0"/>
          <w:lnNumType w:countBy="1" w:restart="continuous"/>
          <w:cols w:space="720"/>
          <w:docGrid w:linePitch="360"/>
        </w:sectPr>
      </w:pPr>
      <w:r w:rsidRPr="000360C6">
        <w:rPr>
          <w:rFonts w:ascii="Times New Roman" w:hAnsi="Times New Roman" w:cs="Times New Roman"/>
          <w:vertAlign w:val="superscript"/>
        </w:rPr>
        <w:t>*</w:t>
      </w:r>
      <w:r w:rsidRPr="000360C6">
        <w:rPr>
          <w:rFonts w:ascii="Times New Roman" w:hAnsi="Times New Roman" w:cs="Times New Roman"/>
        </w:rPr>
        <w:t>Solid lines indicate significance at p &lt; .05. Dashed lines represent non-significant relationships at p &gt; .05.  Coefficients of significant relationships are listed with the following significance levels: *</w:t>
      </w:r>
      <w:r w:rsidRPr="000360C6">
        <w:rPr>
          <w:rFonts w:ascii="Times New Roman" w:hAnsi="Times New Roman" w:cs="Times New Roman"/>
          <w:i/>
          <w:iCs/>
        </w:rPr>
        <w:t>p</w:t>
      </w:r>
      <w:r w:rsidRPr="000360C6">
        <w:rPr>
          <w:rFonts w:ascii="Times New Roman" w:hAnsi="Times New Roman" w:cs="Times New Roman"/>
        </w:rPr>
        <w:t>&lt;0.05,   **</w:t>
      </w:r>
      <w:r w:rsidRPr="000360C6">
        <w:rPr>
          <w:rFonts w:ascii="Times New Roman" w:hAnsi="Times New Roman" w:cs="Times New Roman"/>
          <w:i/>
          <w:iCs/>
        </w:rPr>
        <w:t>p</w:t>
      </w:r>
      <w:r w:rsidRPr="000360C6">
        <w:rPr>
          <w:rFonts w:ascii="Times New Roman" w:hAnsi="Times New Roman" w:cs="Times New Roman"/>
        </w:rPr>
        <w:t xml:space="preserve"> &lt; 0.01, ***</w:t>
      </w:r>
      <w:r w:rsidRPr="000360C6">
        <w:rPr>
          <w:rFonts w:ascii="Times New Roman" w:hAnsi="Times New Roman" w:cs="Times New Roman"/>
          <w:i/>
          <w:iCs/>
        </w:rPr>
        <w:t>p</w:t>
      </w:r>
      <w:r w:rsidRPr="000360C6">
        <w:rPr>
          <w:rFonts w:ascii="Times New Roman" w:hAnsi="Times New Roman" w:cs="Times New Roman"/>
        </w:rPr>
        <w:t xml:space="preserve"> &lt; 0.001</w:t>
      </w:r>
    </w:p>
    <w:p w14:paraId="473D99EA" w14:textId="5058F02B" w:rsidR="00657F81" w:rsidRPr="00D92796" w:rsidRDefault="00D92796" w:rsidP="00D92796">
      <w:pPr>
        <w:spacing w:line="480" w:lineRule="auto"/>
        <w:jc w:val="center"/>
        <w:rPr>
          <w:rFonts w:ascii="Times New Roman" w:hAnsi="Times New Roman" w:cs="Times New Roman"/>
          <w:b/>
          <w:bCs/>
        </w:rPr>
      </w:pPr>
      <w:r w:rsidRPr="00D92796">
        <w:rPr>
          <w:rFonts w:ascii="Times New Roman" w:hAnsi="Times New Roman" w:cs="Times New Roman"/>
          <w:b/>
          <w:bCs/>
        </w:rPr>
        <w:lastRenderedPageBreak/>
        <w:t>References</w:t>
      </w:r>
    </w:p>
    <w:p w14:paraId="61BC149A" w14:textId="2B900D3F" w:rsidR="00D92796" w:rsidRPr="00D92796" w:rsidRDefault="00D92796" w:rsidP="00D92796">
      <w:pPr>
        <w:spacing w:line="480" w:lineRule="auto"/>
        <w:ind w:left="720" w:hanging="720"/>
        <w:rPr>
          <w:rFonts w:ascii="Times New Roman" w:hAnsi="Times New Roman" w:cs="Times New Roman"/>
        </w:rPr>
      </w:pPr>
      <w:r w:rsidRPr="00D92796">
        <w:rPr>
          <w:rFonts w:ascii="Times New Roman" w:hAnsi="Times New Roman" w:cs="Times New Roman"/>
        </w:rPr>
        <w:t>Henderson, C., Evans-</w:t>
      </w:r>
      <w:proofErr w:type="spellStart"/>
      <w:r w:rsidRPr="00D92796">
        <w:rPr>
          <w:rFonts w:ascii="Times New Roman" w:hAnsi="Times New Roman" w:cs="Times New Roman"/>
        </w:rPr>
        <w:t>Lacko</w:t>
      </w:r>
      <w:proofErr w:type="spellEnd"/>
      <w:r w:rsidRPr="00D92796">
        <w:rPr>
          <w:rFonts w:ascii="Times New Roman" w:hAnsi="Times New Roman" w:cs="Times New Roman"/>
        </w:rPr>
        <w:t xml:space="preserve">, S., &amp; Thornicroft, G. (2013). Mental illness stigma, help seeking, and public health programs. </w:t>
      </w:r>
      <w:r w:rsidRPr="00D92796">
        <w:rPr>
          <w:rFonts w:ascii="Times New Roman" w:hAnsi="Times New Roman" w:cs="Times New Roman"/>
          <w:i/>
          <w:iCs/>
        </w:rPr>
        <w:t>American journal of public health</w:t>
      </w:r>
      <w:r w:rsidRPr="00D92796">
        <w:rPr>
          <w:rFonts w:ascii="Times New Roman" w:hAnsi="Times New Roman" w:cs="Times New Roman"/>
        </w:rPr>
        <w:t xml:space="preserve">, </w:t>
      </w:r>
      <w:r w:rsidRPr="00D92796">
        <w:rPr>
          <w:rFonts w:ascii="Times New Roman" w:hAnsi="Times New Roman" w:cs="Times New Roman"/>
          <w:i/>
          <w:iCs/>
        </w:rPr>
        <w:t>103</w:t>
      </w:r>
      <w:r w:rsidRPr="00D92796">
        <w:rPr>
          <w:rFonts w:ascii="Times New Roman" w:hAnsi="Times New Roman" w:cs="Times New Roman"/>
        </w:rPr>
        <w:t>(5), 777-780.</w:t>
      </w:r>
    </w:p>
    <w:p w14:paraId="527C1F2B" w14:textId="2036C309" w:rsidR="00D92796" w:rsidRPr="00D92796" w:rsidRDefault="00D92796" w:rsidP="00D92796">
      <w:pPr>
        <w:spacing w:line="480" w:lineRule="auto"/>
        <w:ind w:left="720" w:hanging="720"/>
        <w:rPr>
          <w:rFonts w:ascii="Times New Roman" w:hAnsi="Times New Roman" w:cs="Times New Roman"/>
        </w:rPr>
      </w:pPr>
      <w:r w:rsidRPr="00D92796">
        <w:rPr>
          <w:rFonts w:ascii="Times New Roman" w:hAnsi="Times New Roman" w:cs="Times New Roman"/>
        </w:rPr>
        <w:t xml:space="preserve">Kessler, R. C., Andrews, G., </w:t>
      </w:r>
      <w:proofErr w:type="spellStart"/>
      <w:r w:rsidRPr="00D92796">
        <w:rPr>
          <w:rFonts w:ascii="Times New Roman" w:hAnsi="Times New Roman" w:cs="Times New Roman"/>
        </w:rPr>
        <w:t>Colpe</w:t>
      </w:r>
      <w:proofErr w:type="spellEnd"/>
      <w:r w:rsidRPr="00D92796">
        <w:rPr>
          <w:rFonts w:ascii="Times New Roman" w:hAnsi="Times New Roman" w:cs="Times New Roman"/>
        </w:rPr>
        <w:t xml:space="preserve">, L. J., </w:t>
      </w:r>
      <w:proofErr w:type="spellStart"/>
      <w:r w:rsidRPr="00D92796">
        <w:rPr>
          <w:rFonts w:ascii="Times New Roman" w:hAnsi="Times New Roman" w:cs="Times New Roman"/>
        </w:rPr>
        <w:t>Hiripi</w:t>
      </w:r>
      <w:proofErr w:type="spellEnd"/>
      <w:r w:rsidRPr="00D92796">
        <w:rPr>
          <w:rFonts w:ascii="Times New Roman" w:hAnsi="Times New Roman" w:cs="Times New Roman"/>
        </w:rPr>
        <w:t xml:space="preserve">, E., </w:t>
      </w:r>
      <w:proofErr w:type="spellStart"/>
      <w:r w:rsidRPr="00D92796">
        <w:rPr>
          <w:rFonts w:ascii="Times New Roman" w:hAnsi="Times New Roman" w:cs="Times New Roman"/>
        </w:rPr>
        <w:t>Mroczek</w:t>
      </w:r>
      <w:proofErr w:type="spellEnd"/>
      <w:r w:rsidRPr="00D92796">
        <w:rPr>
          <w:rFonts w:ascii="Times New Roman" w:hAnsi="Times New Roman" w:cs="Times New Roman"/>
        </w:rPr>
        <w:t xml:space="preserve">, D.K., Normand, S. L., Walters, E. E., &amp; </w:t>
      </w:r>
      <w:proofErr w:type="spellStart"/>
      <w:r w:rsidRPr="00D92796">
        <w:rPr>
          <w:rFonts w:ascii="Times New Roman" w:hAnsi="Times New Roman" w:cs="Times New Roman"/>
        </w:rPr>
        <w:t>Zaslavsky</w:t>
      </w:r>
      <w:proofErr w:type="spellEnd"/>
      <w:r w:rsidRPr="00D92796">
        <w:rPr>
          <w:rFonts w:ascii="Times New Roman" w:hAnsi="Times New Roman" w:cs="Times New Roman"/>
        </w:rPr>
        <w:t xml:space="preserve">, A. M. (2002). Short screening scales to monitor population prevalences and trends in non-specific psychological distress. </w:t>
      </w:r>
      <w:r w:rsidRPr="00D92796">
        <w:rPr>
          <w:rFonts w:ascii="Times New Roman" w:hAnsi="Times New Roman" w:cs="Times New Roman"/>
          <w:i/>
          <w:iCs/>
        </w:rPr>
        <w:t>Psychological medicine</w:t>
      </w:r>
      <w:r w:rsidRPr="00D92796">
        <w:rPr>
          <w:rFonts w:ascii="Times New Roman" w:hAnsi="Times New Roman" w:cs="Times New Roman"/>
        </w:rPr>
        <w:t xml:space="preserve">, </w:t>
      </w:r>
      <w:r w:rsidRPr="00D92796">
        <w:rPr>
          <w:rFonts w:ascii="Times New Roman" w:hAnsi="Times New Roman" w:cs="Times New Roman"/>
          <w:i/>
          <w:iCs/>
        </w:rPr>
        <w:t>32</w:t>
      </w:r>
      <w:r w:rsidRPr="00D92796">
        <w:rPr>
          <w:rFonts w:ascii="Times New Roman" w:hAnsi="Times New Roman" w:cs="Times New Roman"/>
        </w:rPr>
        <w:t xml:space="preserve">(6), 959-976. </w:t>
      </w:r>
      <w:hyperlink r:id="rId13" w:history="1">
        <w:r w:rsidRPr="00D92796">
          <w:rPr>
            <w:rStyle w:val="Hyperlink"/>
            <w:rFonts w:ascii="Times New Roman" w:hAnsi="Times New Roman" w:cs="Times New Roman"/>
          </w:rPr>
          <w:t>https://doi.org/10.1017/s0033291702</w:t>
        </w:r>
        <w:r w:rsidRPr="00D92796">
          <w:rPr>
            <w:rStyle w:val="Hyperlink"/>
            <w:rFonts w:ascii="Times New Roman" w:hAnsi="Times New Roman" w:cs="Times New Roman"/>
          </w:rPr>
          <w:t>0</w:t>
        </w:r>
        <w:r w:rsidRPr="00D92796">
          <w:rPr>
            <w:rStyle w:val="Hyperlink"/>
            <w:rFonts w:ascii="Times New Roman" w:hAnsi="Times New Roman" w:cs="Times New Roman"/>
          </w:rPr>
          <w:t>06074</w:t>
        </w:r>
      </w:hyperlink>
    </w:p>
    <w:p w14:paraId="358BFE62" w14:textId="77777777" w:rsidR="00D92796" w:rsidRPr="00D92796" w:rsidRDefault="00D92796" w:rsidP="00D92796">
      <w:pPr>
        <w:rPr>
          <w:rFonts w:ascii="Times New Roman" w:hAnsi="Times New Roman" w:cs="Times New Roman"/>
        </w:rPr>
      </w:pPr>
    </w:p>
    <w:p w14:paraId="29FFAD33" w14:textId="77777777" w:rsidR="00D92796" w:rsidRDefault="00D92796" w:rsidP="00D92796">
      <w:pPr>
        <w:rPr>
          <w:rFonts w:ascii="Times New Roman" w:hAnsi="Times New Roman" w:cs="Times New Roman"/>
        </w:rPr>
      </w:pPr>
    </w:p>
    <w:p w14:paraId="4B23098B" w14:textId="2146F250" w:rsidR="00D92796" w:rsidRPr="00D92796" w:rsidRDefault="00D92796" w:rsidP="00D92796">
      <w:pPr>
        <w:tabs>
          <w:tab w:val="left" w:pos="5374"/>
        </w:tabs>
        <w:rPr>
          <w:rFonts w:ascii="Times New Roman" w:hAnsi="Times New Roman" w:cs="Times New Roman"/>
        </w:rPr>
      </w:pPr>
    </w:p>
    <w:sectPr w:rsidR="00D92796" w:rsidRPr="00D92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3C8B9" w14:textId="77777777" w:rsidR="00322676" w:rsidRDefault="00322676">
      <w:r>
        <w:separator/>
      </w:r>
    </w:p>
  </w:endnote>
  <w:endnote w:type="continuationSeparator" w:id="0">
    <w:p w14:paraId="0A58113B" w14:textId="77777777" w:rsidR="00322676" w:rsidRDefault="0032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8246219"/>
      <w:docPartObj>
        <w:docPartGallery w:val="Page Numbers (Bottom of Page)"/>
        <w:docPartUnique/>
      </w:docPartObj>
    </w:sdtPr>
    <w:sdtContent>
      <w:p w14:paraId="3B575CE4" w14:textId="77777777" w:rsidR="00F76764" w:rsidRDefault="00000000" w:rsidP="00A01A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93643B" w14:textId="77777777" w:rsidR="00F76764" w:rsidRDefault="00F76764" w:rsidP="000B72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4089304"/>
      <w:docPartObj>
        <w:docPartGallery w:val="Page Numbers (Bottom of Page)"/>
        <w:docPartUnique/>
      </w:docPartObj>
    </w:sdtPr>
    <w:sdtContent>
      <w:p w14:paraId="71B29848" w14:textId="77777777" w:rsidR="00F76764" w:rsidRDefault="00000000" w:rsidP="00A01A2D">
        <w:pPr>
          <w:pStyle w:val="Footer"/>
          <w:framePr w:wrap="none" w:vAnchor="text" w:hAnchor="margin" w:xAlign="right" w:y="1"/>
          <w:rPr>
            <w:rStyle w:val="PageNumber"/>
          </w:rPr>
        </w:pPr>
        <w:r w:rsidRPr="000B7259">
          <w:rPr>
            <w:rStyle w:val="PageNumber"/>
            <w:rFonts w:ascii="Times New Roman" w:hAnsi="Times New Roman" w:cs="Times New Roman"/>
            <w:sz w:val="24"/>
            <w:szCs w:val="24"/>
          </w:rPr>
          <w:fldChar w:fldCharType="begin"/>
        </w:r>
        <w:r w:rsidRPr="000B7259">
          <w:rPr>
            <w:rStyle w:val="PageNumber"/>
            <w:rFonts w:ascii="Times New Roman" w:hAnsi="Times New Roman" w:cs="Times New Roman"/>
            <w:sz w:val="24"/>
            <w:szCs w:val="24"/>
          </w:rPr>
          <w:instrText xml:space="preserve"> PAGE </w:instrText>
        </w:r>
        <w:r w:rsidRPr="000B7259">
          <w:rPr>
            <w:rStyle w:val="PageNumber"/>
            <w:rFonts w:ascii="Times New Roman" w:hAnsi="Times New Roman" w:cs="Times New Roman"/>
            <w:sz w:val="24"/>
            <w:szCs w:val="24"/>
          </w:rPr>
          <w:fldChar w:fldCharType="separate"/>
        </w:r>
        <w:r w:rsidRPr="000B7259">
          <w:rPr>
            <w:rStyle w:val="PageNumber"/>
            <w:rFonts w:ascii="Times New Roman" w:hAnsi="Times New Roman" w:cs="Times New Roman"/>
            <w:noProof/>
            <w:sz w:val="24"/>
            <w:szCs w:val="24"/>
          </w:rPr>
          <w:t>2</w:t>
        </w:r>
        <w:r w:rsidRPr="000B7259">
          <w:rPr>
            <w:rStyle w:val="PageNumber"/>
            <w:rFonts w:ascii="Times New Roman" w:hAnsi="Times New Roman" w:cs="Times New Roman"/>
            <w:sz w:val="24"/>
            <w:szCs w:val="24"/>
          </w:rPr>
          <w:fldChar w:fldCharType="end"/>
        </w:r>
      </w:p>
    </w:sdtContent>
  </w:sdt>
  <w:p w14:paraId="6B890547" w14:textId="77777777" w:rsidR="00F76764" w:rsidRDefault="00F76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3733601"/>
      <w:docPartObj>
        <w:docPartGallery w:val="Page Numbers (Bottom of Page)"/>
        <w:docPartUnique/>
      </w:docPartObj>
    </w:sdtPr>
    <w:sdtContent>
      <w:p w14:paraId="611AB594" w14:textId="77777777" w:rsidR="000360C6" w:rsidRDefault="000360C6" w:rsidP="00A01A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4CADB" w14:textId="77777777" w:rsidR="000360C6" w:rsidRDefault="000360C6" w:rsidP="000B725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7467952"/>
      <w:docPartObj>
        <w:docPartGallery w:val="Page Numbers (Bottom of Page)"/>
        <w:docPartUnique/>
      </w:docPartObj>
    </w:sdtPr>
    <w:sdtContent>
      <w:p w14:paraId="16385E98" w14:textId="77777777" w:rsidR="000360C6" w:rsidRDefault="000360C6" w:rsidP="00A01A2D">
        <w:pPr>
          <w:pStyle w:val="Footer"/>
          <w:framePr w:wrap="none" w:vAnchor="text" w:hAnchor="margin" w:xAlign="right" w:y="1"/>
          <w:rPr>
            <w:rStyle w:val="PageNumber"/>
          </w:rPr>
        </w:pPr>
        <w:r w:rsidRPr="000B7259">
          <w:rPr>
            <w:rStyle w:val="PageNumber"/>
            <w:rFonts w:ascii="Times New Roman" w:hAnsi="Times New Roman" w:cs="Times New Roman"/>
            <w:sz w:val="24"/>
            <w:szCs w:val="24"/>
          </w:rPr>
          <w:fldChar w:fldCharType="begin"/>
        </w:r>
        <w:r w:rsidRPr="000B7259">
          <w:rPr>
            <w:rStyle w:val="PageNumber"/>
            <w:rFonts w:ascii="Times New Roman" w:hAnsi="Times New Roman" w:cs="Times New Roman"/>
            <w:sz w:val="24"/>
            <w:szCs w:val="24"/>
          </w:rPr>
          <w:instrText xml:space="preserve"> PAGE </w:instrText>
        </w:r>
        <w:r w:rsidRPr="000B7259">
          <w:rPr>
            <w:rStyle w:val="PageNumber"/>
            <w:rFonts w:ascii="Times New Roman" w:hAnsi="Times New Roman" w:cs="Times New Roman"/>
            <w:sz w:val="24"/>
            <w:szCs w:val="24"/>
          </w:rPr>
          <w:fldChar w:fldCharType="separate"/>
        </w:r>
        <w:r w:rsidRPr="000B7259">
          <w:rPr>
            <w:rStyle w:val="PageNumber"/>
            <w:rFonts w:ascii="Times New Roman" w:hAnsi="Times New Roman" w:cs="Times New Roman"/>
            <w:noProof/>
            <w:sz w:val="24"/>
            <w:szCs w:val="24"/>
          </w:rPr>
          <w:t>2</w:t>
        </w:r>
        <w:r w:rsidRPr="000B7259">
          <w:rPr>
            <w:rStyle w:val="PageNumber"/>
            <w:rFonts w:ascii="Times New Roman" w:hAnsi="Times New Roman" w:cs="Times New Roman"/>
            <w:sz w:val="24"/>
            <w:szCs w:val="24"/>
          </w:rPr>
          <w:fldChar w:fldCharType="end"/>
        </w:r>
      </w:p>
    </w:sdtContent>
  </w:sdt>
  <w:p w14:paraId="0B91A126" w14:textId="77777777" w:rsidR="000360C6" w:rsidRDefault="00036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ED894" w14:textId="77777777" w:rsidR="00322676" w:rsidRDefault="00322676">
      <w:r>
        <w:separator/>
      </w:r>
    </w:p>
  </w:footnote>
  <w:footnote w:type="continuationSeparator" w:id="0">
    <w:p w14:paraId="631BCA74" w14:textId="77777777" w:rsidR="00322676" w:rsidRDefault="00322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BD3"/>
    <w:multiLevelType w:val="multilevel"/>
    <w:tmpl w:val="D9BC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D0FF1"/>
    <w:multiLevelType w:val="multilevel"/>
    <w:tmpl w:val="D9BC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845C7"/>
    <w:multiLevelType w:val="hybridMultilevel"/>
    <w:tmpl w:val="F95E1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5680D"/>
    <w:multiLevelType w:val="hybridMultilevel"/>
    <w:tmpl w:val="5AF01980"/>
    <w:lvl w:ilvl="0" w:tplc="8D64B51A">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90C73"/>
    <w:multiLevelType w:val="multilevel"/>
    <w:tmpl w:val="D9BC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801DEE"/>
    <w:multiLevelType w:val="multilevel"/>
    <w:tmpl w:val="D9BC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4898577">
    <w:abstractNumId w:val="0"/>
  </w:num>
  <w:num w:numId="2" w16cid:durableId="2058045393">
    <w:abstractNumId w:val="5"/>
  </w:num>
  <w:num w:numId="3" w16cid:durableId="823667399">
    <w:abstractNumId w:val="1"/>
  </w:num>
  <w:num w:numId="4" w16cid:durableId="1336761447">
    <w:abstractNumId w:val="4"/>
  </w:num>
  <w:num w:numId="5" w16cid:durableId="1913542386">
    <w:abstractNumId w:val="3"/>
  </w:num>
  <w:num w:numId="6" w16cid:durableId="381712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81"/>
    <w:rsid w:val="000239A7"/>
    <w:rsid w:val="000360C6"/>
    <w:rsid w:val="000C251F"/>
    <w:rsid w:val="000D6B70"/>
    <w:rsid w:val="00170FC0"/>
    <w:rsid w:val="0025750D"/>
    <w:rsid w:val="002E27AE"/>
    <w:rsid w:val="00322676"/>
    <w:rsid w:val="003A4A23"/>
    <w:rsid w:val="005A2675"/>
    <w:rsid w:val="005B6E65"/>
    <w:rsid w:val="00616C5D"/>
    <w:rsid w:val="0062797A"/>
    <w:rsid w:val="00634CEA"/>
    <w:rsid w:val="00657F81"/>
    <w:rsid w:val="00753A45"/>
    <w:rsid w:val="007670E6"/>
    <w:rsid w:val="007C4D7D"/>
    <w:rsid w:val="007C6D10"/>
    <w:rsid w:val="007D6A92"/>
    <w:rsid w:val="00862D1D"/>
    <w:rsid w:val="008A4759"/>
    <w:rsid w:val="008B2DC4"/>
    <w:rsid w:val="00961E8B"/>
    <w:rsid w:val="009A378A"/>
    <w:rsid w:val="00AE4BB5"/>
    <w:rsid w:val="00B66706"/>
    <w:rsid w:val="00D356D4"/>
    <w:rsid w:val="00D46655"/>
    <w:rsid w:val="00D92796"/>
    <w:rsid w:val="00E8000C"/>
    <w:rsid w:val="00EA5BAF"/>
    <w:rsid w:val="00F7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05B8"/>
  <w15:chartTrackingRefBased/>
  <w15:docId w15:val="{CC4B5377-AF57-B842-B053-221F9810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F81"/>
    <w:pPr>
      <w:jc w:val="center"/>
      <w:outlineLvl w:val="0"/>
    </w:pPr>
    <w:rPr>
      <w:rFonts w:ascii="Times New Roman" w:eastAsia="Times New Roman" w:hAnsi="Times New Roman" w:cs="Times New Roman"/>
      <w:b/>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F81"/>
    <w:rPr>
      <w:rFonts w:ascii="Times New Roman" w:eastAsia="Times New Roman" w:hAnsi="Times New Roman" w:cs="Times New Roman"/>
      <w:b/>
      <w:kern w:val="0"/>
      <w14:ligatures w14:val="none"/>
    </w:rPr>
  </w:style>
  <w:style w:type="paragraph" w:styleId="NormalWeb">
    <w:name w:val="Normal (Web)"/>
    <w:basedOn w:val="Normal"/>
    <w:uiPriority w:val="99"/>
    <w:unhideWhenUsed/>
    <w:rsid w:val="00657F81"/>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57F81"/>
    <w:rPr>
      <w:i/>
      <w:iCs/>
    </w:rPr>
  </w:style>
  <w:style w:type="table" w:styleId="PlainTable4">
    <w:name w:val="Plain Table 4"/>
    <w:basedOn w:val="TableNormal"/>
    <w:uiPriority w:val="44"/>
    <w:rsid w:val="00657F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D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D6B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0360C6"/>
    <w:pPr>
      <w:tabs>
        <w:tab w:val="center" w:pos="4680"/>
        <w:tab w:val="right" w:pos="9360"/>
      </w:tabs>
    </w:pPr>
    <w:rPr>
      <w:rFonts w:ascii="Arial" w:eastAsia="Arial" w:hAnsi="Arial" w:cs="Arial"/>
      <w:kern w:val="0"/>
      <w:sz w:val="22"/>
      <w:szCs w:val="22"/>
      <w:lang w:val="en-GB"/>
      <w14:ligatures w14:val="none"/>
    </w:rPr>
  </w:style>
  <w:style w:type="character" w:customStyle="1" w:styleId="FooterChar">
    <w:name w:val="Footer Char"/>
    <w:basedOn w:val="DefaultParagraphFont"/>
    <w:link w:val="Footer"/>
    <w:uiPriority w:val="99"/>
    <w:rsid w:val="000360C6"/>
    <w:rPr>
      <w:rFonts w:ascii="Arial" w:eastAsia="Arial" w:hAnsi="Arial" w:cs="Arial"/>
      <w:kern w:val="0"/>
      <w:sz w:val="22"/>
      <w:szCs w:val="22"/>
      <w:lang w:val="en-GB"/>
      <w14:ligatures w14:val="none"/>
    </w:rPr>
  </w:style>
  <w:style w:type="character" w:styleId="PageNumber">
    <w:name w:val="page number"/>
    <w:basedOn w:val="DefaultParagraphFont"/>
    <w:uiPriority w:val="99"/>
    <w:semiHidden/>
    <w:unhideWhenUsed/>
    <w:rsid w:val="000360C6"/>
  </w:style>
  <w:style w:type="character" w:styleId="LineNumber">
    <w:name w:val="line number"/>
    <w:basedOn w:val="DefaultParagraphFont"/>
    <w:uiPriority w:val="99"/>
    <w:semiHidden/>
    <w:unhideWhenUsed/>
    <w:rsid w:val="000360C6"/>
  </w:style>
  <w:style w:type="paragraph" w:styleId="ListParagraph">
    <w:name w:val="List Paragraph"/>
    <w:basedOn w:val="Normal"/>
    <w:uiPriority w:val="34"/>
    <w:qFormat/>
    <w:rsid w:val="00D92796"/>
    <w:pPr>
      <w:ind w:left="720"/>
      <w:contextualSpacing/>
    </w:pPr>
  </w:style>
  <w:style w:type="character" w:styleId="Hyperlink">
    <w:name w:val="Hyperlink"/>
    <w:basedOn w:val="DefaultParagraphFont"/>
    <w:uiPriority w:val="99"/>
    <w:unhideWhenUsed/>
    <w:rsid w:val="00D92796"/>
    <w:rPr>
      <w:color w:val="0563C1" w:themeColor="hyperlink"/>
      <w:u w:val="single"/>
    </w:rPr>
  </w:style>
  <w:style w:type="character" w:styleId="UnresolvedMention">
    <w:name w:val="Unresolved Mention"/>
    <w:basedOn w:val="DefaultParagraphFont"/>
    <w:uiPriority w:val="99"/>
    <w:semiHidden/>
    <w:unhideWhenUsed/>
    <w:rsid w:val="00D92796"/>
    <w:rPr>
      <w:color w:val="605E5C"/>
      <w:shd w:val="clear" w:color="auto" w:fill="E1DFDD"/>
    </w:rPr>
  </w:style>
  <w:style w:type="character" w:styleId="FollowedHyperlink">
    <w:name w:val="FollowedHyperlink"/>
    <w:basedOn w:val="DefaultParagraphFont"/>
    <w:uiPriority w:val="99"/>
    <w:semiHidden/>
    <w:unhideWhenUsed/>
    <w:rsid w:val="00D92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7/s0033291702006074"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3</TotalTime>
  <Pages>5</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Diggs</dc:creator>
  <cp:keywords/>
  <dc:description/>
  <cp:lastModifiedBy>Devin Diggs</cp:lastModifiedBy>
  <cp:revision>3</cp:revision>
  <dcterms:created xsi:type="dcterms:W3CDTF">2024-09-10T03:16:00Z</dcterms:created>
  <dcterms:modified xsi:type="dcterms:W3CDTF">2024-09-10T03:44:00Z</dcterms:modified>
</cp:coreProperties>
</file>