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27F6" w14:textId="0C675464" w:rsidR="00E52953" w:rsidRPr="00114E16" w:rsidRDefault="00E52953" w:rsidP="00E52953">
      <w:pPr>
        <w:spacing w:line="480" w:lineRule="auto"/>
        <w:jc w:val="center"/>
        <w:rPr>
          <w:rFonts w:ascii="Times New Roman" w:hAnsi="Times New Roman" w:cs="Times New Roman"/>
          <w:b/>
          <w:iCs/>
          <w:color w:val="000000" w:themeColor="text1"/>
        </w:rPr>
      </w:pPr>
      <w:r w:rsidRPr="00114E16">
        <w:rPr>
          <w:rFonts w:ascii="Times New Roman" w:hAnsi="Times New Roman" w:cs="Times New Roman"/>
          <w:b/>
          <w:iCs/>
          <w:color w:val="000000" w:themeColor="text1"/>
        </w:rPr>
        <w:t>Supplementary Materials</w:t>
      </w:r>
    </w:p>
    <w:p w14:paraId="4F7D1B40" w14:textId="77777777" w:rsidR="00C61877" w:rsidRPr="00114E16" w:rsidRDefault="00C61877" w:rsidP="00C61877">
      <w:pPr>
        <w:spacing w:line="480" w:lineRule="auto"/>
        <w:outlineLvl w:val="0"/>
        <w:rPr>
          <w:rFonts w:ascii="Times New Roman" w:eastAsia="Calibri" w:hAnsi="Times New Roman" w:cs="Times New Roman"/>
          <w:b/>
          <w:color w:val="000000" w:themeColor="text1"/>
        </w:rPr>
      </w:pPr>
      <w:r w:rsidRPr="00114E16">
        <w:rPr>
          <w:rFonts w:ascii="Times New Roman" w:eastAsia="Calibri" w:hAnsi="Times New Roman" w:cs="Times New Roman"/>
          <w:b/>
          <w:color w:val="000000" w:themeColor="text1"/>
        </w:rPr>
        <w:t>Data Preparation and Preprocessing</w:t>
      </w:r>
    </w:p>
    <w:p w14:paraId="0D8B3800" w14:textId="77777777" w:rsidR="00C61877" w:rsidRPr="00114E16" w:rsidRDefault="00C61877" w:rsidP="00C61877">
      <w:pPr>
        <w:spacing w:line="480" w:lineRule="auto"/>
        <w:rPr>
          <w:rFonts w:ascii="Times New Roman" w:eastAsiaTheme="minorEastAsia" w:hAnsi="Times New Roman" w:cs="Times New Roman"/>
          <w:b/>
          <w:bCs/>
          <w:i/>
          <w:iCs/>
          <w:color w:val="000000" w:themeColor="text1"/>
        </w:rPr>
      </w:pPr>
      <w:r w:rsidRPr="00114E16">
        <w:rPr>
          <w:rFonts w:ascii="Times New Roman" w:eastAsiaTheme="minorEastAsia" w:hAnsi="Times New Roman" w:cs="Times New Roman"/>
          <w:b/>
          <w:bCs/>
          <w:i/>
          <w:iCs/>
          <w:color w:val="000000" w:themeColor="text1"/>
        </w:rPr>
        <w:t xml:space="preserve">Cortisol and Alpha-Amylase Data </w:t>
      </w:r>
    </w:p>
    <w:p w14:paraId="1D1D8D7C" w14:textId="41D763E6" w:rsidR="000660A6" w:rsidRPr="00114E16" w:rsidRDefault="00C61877" w:rsidP="000660A6">
      <w:pPr>
        <w:spacing w:line="480" w:lineRule="auto"/>
        <w:ind w:firstLine="720"/>
        <w:rPr>
          <w:rFonts w:ascii="Times New Roman" w:eastAsiaTheme="minorEastAsia" w:hAnsi="Times New Roman" w:cs="Times New Roman"/>
          <w:color w:val="000000" w:themeColor="text1"/>
        </w:rPr>
      </w:pPr>
      <w:r w:rsidRPr="00114E16">
        <w:rPr>
          <w:rFonts w:ascii="Times New Roman" w:eastAsiaTheme="minorEastAsia" w:hAnsi="Times New Roman" w:cs="Times New Roman"/>
          <w:color w:val="000000" w:themeColor="text1"/>
        </w:rPr>
        <w:t xml:space="preserve">At pretest, 14 cortisol values were above three standard deviations from the grand mean: </w:t>
      </w:r>
      <w:r w:rsidRPr="00114E16">
        <w:rPr>
          <w:rFonts w:ascii="Times New Roman" w:hAnsi="Times New Roman" w:cs="Times New Roman"/>
          <w:color w:val="000000" w:themeColor="text1"/>
        </w:rPr>
        <w:t xml:space="preserve">+0 min </w:t>
      </w:r>
      <w:r w:rsidRPr="00114E16">
        <w:rPr>
          <w:rFonts w:ascii="Times New Roman" w:eastAsiaTheme="minorEastAsia" w:hAnsi="Times New Roman" w:cs="Times New Roman"/>
          <w:color w:val="000000" w:themeColor="text1"/>
        </w:rPr>
        <w:t>(</w:t>
      </w:r>
      <w:r w:rsidRPr="00114E16">
        <w:rPr>
          <w:rFonts w:ascii="Times New Roman" w:eastAsiaTheme="minorEastAsia" w:hAnsi="Times New Roman" w:cs="Times New Roman"/>
          <w:i/>
          <w:iCs/>
          <w:color w:val="000000" w:themeColor="text1"/>
        </w:rPr>
        <w:t>n</w:t>
      </w:r>
      <w:r w:rsidRPr="00114E16">
        <w:rPr>
          <w:rFonts w:ascii="Times New Roman" w:eastAsiaTheme="minorEastAsia" w:hAnsi="Times New Roman" w:cs="Times New Roman"/>
          <w:color w:val="000000" w:themeColor="text1"/>
        </w:rPr>
        <w:t xml:space="preserve">=3), </w:t>
      </w:r>
      <w:r w:rsidRPr="00114E16">
        <w:rPr>
          <w:rFonts w:ascii="Times New Roman" w:hAnsi="Times New Roman" w:cs="Times New Roman"/>
          <w:color w:val="000000" w:themeColor="text1"/>
        </w:rPr>
        <w:t xml:space="preserve">+15 min </w:t>
      </w:r>
      <w:r w:rsidRPr="00114E16">
        <w:rPr>
          <w:rFonts w:ascii="Times New Roman" w:eastAsiaTheme="minorEastAsia" w:hAnsi="Times New Roman" w:cs="Times New Roman"/>
          <w:color w:val="000000" w:themeColor="text1"/>
        </w:rPr>
        <w:t>(</w:t>
      </w:r>
      <w:r w:rsidRPr="00114E16">
        <w:rPr>
          <w:rFonts w:ascii="Times New Roman" w:eastAsiaTheme="minorEastAsia" w:hAnsi="Times New Roman" w:cs="Times New Roman"/>
          <w:i/>
          <w:iCs/>
          <w:color w:val="000000" w:themeColor="text1"/>
        </w:rPr>
        <w:t>n</w:t>
      </w:r>
      <w:r w:rsidRPr="00114E16">
        <w:rPr>
          <w:rFonts w:ascii="Times New Roman" w:eastAsiaTheme="minorEastAsia" w:hAnsi="Times New Roman" w:cs="Times New Roman"/>
          <w:color w:val="000000" w:themeColor="text1"/>
        </w:rPr>
        <w:t xml:space="preserve">=2), </w:t>
      </w:r>
      <w:r w:rsidRPr="00114E16">
        <w:rPr>
          <w:rFonts w:ascii="Times New Roman" w:hAnsi="Times New Roman" w:cs="Times New Roman"/>
          <w:color w:val="000000" w:themeColor="text1"/>
        </w:rPr>
        <w:t xml:space="preserve">+25 min </w:t>
      </w:r>
      <w:r w:rsidRPr="00114E16">
        <w:rPr>
          <w:rFonts w:ascii="Times New Roman" w:eastAsiaTheme="minorEastAsia" w:hAnsi="Times New Roman" w:cs="Times New Roman"/>
          <w:color w:val="000000" w:themeColor="text1"/>
        </w:rPr>
        <w:t>(</w:t>
      </w:r>
      <w:r w:rsidRPr="00114E16">
        <w:rPr>
          <w:rFonts w:ascii="Times New Roman" w:eastAsiaTheme="minorEastAsia" w:hAnsi="Times New Roman" w:cs="Times New Roman"/>
          <w:i/>
          <w:iCs/>
          <w:color w:val="000000" w:themeColor="text1"/>
        </w:rPr>
        <w:t>n</w:t>
      </w:r>
      <w:r w:rsidRPr="00114E16">
        <w:rPr>
          <w:rFonts w:ascii="Times New Roman" w:eastAsiaTheme="minorEastAsia" w:hAnsi="Times New Roman" w:cs="Times New Roman"/>
          <w:color w:val="000000" w:themeColor="text1"/>
        </w:rPr>
        <w:t xml:space="preserve">=4), </w:t>
      </w:r>
      <w:r w:rsidRPr="00114E16">
        <w:rPr>
          <w:rFonts w:ascii="Times New Roman" w:hAnsi="Times New Roman" w:cs="Times New Roman"/>
          <w:color w:val="000000" w:themeColor="text1"/>
        </w:rPr>
        <w:t xml:space="preserve">+35 min </w:t>
      </w:r>
      <w:r w:rsidRPr="00114E16">
        <w:rPr>
          <w:rFonts w:ascii="Times New Roman" w:eastAsiaTheme="minorEastAsia" w:hAnsi="Times New Roman" w:cs="Times New Roman"/>
          <w:color w:val="000000" w:themeColor="text1"/>
        </w:rPr>
        <w:t>(</w:t>
      </w:r>
      <w:r w:rsidRPr="00114E16">
        <w:rPr>
          <w:rFonts w:ascii="Times New Roman" w:eastAsiaTheme="minorEastAsia" w:hAnsi="Times New Roman" w:cs="Times New Roman"/>
          <w:i/>
          <w:iCs/>
          <w:color w:val="000000" w:themeColor="text1"/>
        </w:rPr>
        <w:t>n</w:t>
      </w:r>
      <w:r w:rsidRPr="00114E16">
        <w:rPr>
          <w:rFonts w:ascii="Times New Roman" w:eastAsiaTheme="minorEastAsia" w:hAnsi="Times New Roman" w:cs="Times New Roman"/>
          <w:color w:val="000000" w:themeColor="text1"/>
        </w:rPr>
        <w:t xml:space="preserve">=3), </w:t>
      </w:r>
      <w:r w:rsidRPr="00114E16">
        <w:rPr>
          <w:rFonts w:ascii="Times New Roman" w:hAnsi="Times New Roman" w:cs="Times New Roman"/>
          <w:color w:val="000000" w:themeColor="text1"/>
        </w:rPr>
        <w:t xml:space="preserve">+45 min </w:t>
      </w:r>
      <w:r w:rsidRPr="00114E16">
        <w:rPr>
          <w:rFonts w:ascii="Times New Roman" w:eastAsiaTheme="minorEastAsia" w:hAnsi="Times New Roman" w:cs="Times New Roman"/>
          <w:color w:val="000000" w:themeColor="text1"/>
        </w:rPr>
        <w:t>(</w:t>
      </w:r>
      <w:r w:rsidRPr="00114E16">
        <w:rPr>
          <w:rFonts w:ascii="Times New Roman" w:eastAsiaTheme="minorEastAsia" w:hAnsi="Times New Roman" w:cs="Times New Roman"/>
          <w:i/>
          <w:iCs/>
          <w:color w:val="000000" w:themeColor="text1"/>
        </w:rPr>
        <w:t>n</w:t>
      </w:r>
      <w:r w:rsidRPr="00114E16">
        <w:rPr>
          <w:rFonts w:ascii="Times New Roman" w:eastAsiaTheme="minorEastAsia" w:hAnsi="Times New Roman" w:cs="Times New Roman"/>
          <w:color w:val="000000" w:themeColor="text1"/>
        </w:rPr>
        <w:t xml:space="preserve">=3), </w:t>
      </w:r>
      <w:r w:rsidRPr="00114E16">
        <w:rPr>
          <w:rFonts w:ascii="Times New Roman" w:hAnsi="Times New Roman" w:cs="Times New Roman"/>
          <w:color w:val="000000" w:themeColor="text1"/>
        </w:rPr>
        <w:t xml:space="preserve">+55 min </w:t>
      </w:r>
      <w:r w:rsidRPr="00114E16">
        <w:rPr>
          <w:rFonts w:ascii="Times New Roman" w:eastAsiaTheme="minorEastAsia" w:hAnsi="Times New Roman" w:cs="Times New Roman"/>
          <w:color w:val="000000" w:themeColor="text1"/>
        </w:rPr>
        <w:t>(</w:t>
      </w:r>
      <w:r w:rsidRPr="00114E16">
        <w:rPr>
          <w:rFonts w:ascii="Times New Roman" w:eastAsiaTheme="minorEastAsia" w:hAnsi="Times New Roman" w:cs="Times New Roman"/>
          <w:i/>
          <w:iCs/>
          <w:color w:val="000000" w:themeColor="text1"/>
        </w:rPr>
        <w:t>n</w:t>
      </w:r>
      <w:r w:rsidRPr="00114E16">
        <w:rPr>
          <w:rFonts w:ascii="Times New Roman" w:eastAsiaTheme="minorEastAsia" w:hAnsi="Times New Roman" w:cs="Times New Roman"/>
          <w:color w:val="000000" w:themeColor="text1"/>
        </w:rPr>
        <w:t xml:space="preserve">=2). Seven alpha-amylase values were above three standard deviations from the grand mean: </w:t>
      </w:r>
      <w:r w:rsidRPr="00114E16">
        <w:rPr>
          <w:rFonts w:ascii="Times New Roman" w:hAnsi="Times New Roman" w:cs="Times New Roman"/>
          <w:color w:val="000000" w:themeColor="text1"/>
        </w:rPr>
        <w:t xml:space="preserve">+0 min </w:t>
      </w:r>
      <w:r w:rsidRPr="00114E16">
        <w:rPr>
          <w:rFonts w:ascii="Times New Roman" w:eastAsiaTheme="minorEastAsia" w:hAnsi="Times New Roman" w:cs="Times New Roman"/>
          <w:color w:val="000000" w:themeColor="text1"/>
        </w:rPr>
        <w:t>(</w:t>
      </w:r>
      <w:r w:rsidRPr="00114E16">
        <w:rPr>
          <w:rFonts w:ascii="Times New Roman" w:eastAsiaTheme="minorEastAsia" w:hAnsi="Times New Roman" w:cs="Times New Roman"/>
          <w:i/>
          <w:iCs/>
          <w:color w:val="000000" w:themeColor="text1"/>
        </w:rPr>
        <w:t>n</w:t>
      </w:r>
      <w:r w:rsidRPr="00114E16">
        <w:rPr>
          <w:rFonts w:ascii="Times New Roman" w:eastAsiaTheme="minorEastAsia" w:hAnsi="Times New Roman" w:cs="Times New Roman"/>
          <w:color w:val="000000" w:themeColor="text1"/>
        </w:rPr>
        <w:t xml:space="preserve">=2), </w:t>
      </w:r>
      <w:r w:rsidRPr="00114E16">
        <w:rPr>
          <w:rFonts w:ascii="Times New Roman" w:hAnsi="Times New Roman" w:cs="Times New Roman"/>
          <w:color w:val="000000" w:themeColor="text1"/>
        </w:rPr>
        <w:t xml:space="preserve">+15 min </w:t>
      </w:r>
      <w:r w:rsidRPr="00114E16">
        <w:rPr>
          <w:rFonts w:ascii="Times New Roman" w:eastAsiaTheme="minorEastAsia" w:hAnsi="Times New Roman" w:cs="Times New Roman"/>
          <w:color w:val="000000" w:themeColor="text1"/>
        </w:rPr>
        <w:t>(</w:t>
      </w:r>
      <w:r w:rsidRPr="00114E16">
        <w:rPr>
          <w:rFonts w:ascii="Times New Roman" w:eastAsiaTheme="minorEastAsia" w:hAnsi="Times New Roman" w:cs="Times New Roman"/>
          <w:i/>
          <w:iCs/>
          <w:color w:val="000000" w:themeColor="text1"/>
        </w:rPr>
        <w:t>n</w:t>
      </w:r>
      <w:r w:rsidRPr="00114E16">
        <w:rPr>
          <w:rFonts w:ascii="Times New Roman" w:eastAsiaTheme="minorEastAsia" w:hAnsi="Times New Roman" w:cs="Times New Roman"/>
          <w:color w:val="000000" w:themeColor="text1"/>
        </w:rPr>
        <w:t xml:space="preserve">=1), </w:t>
      </w:r>
      <w:r w:rsidRPr="00114E16">
        <w:rPr>
          <w:rFonts w:ascii="Times New Roman" w:hAnsi="Times New Roman" w:cs="Times New Roman"/>
          <w:color w:val="000000" w:themeColor="text1"/>
        </w:rPr>
        <w:t xml:space="preserve">+25 min </w:t>
      </w:r>
      <w:r w:rsidRPr="00114E16">
        <w:rPr>
          <w:rFonts w:ascii="Times New Roman" w:eastAsiaTheme="minorEastAsia" w:hAnsi="Times New Roman" w:cs="Times New Roman"/>
          <w:color w:val="000000" w:themeColor="text1"/>
        </w:rPr>
        <w:t>(</w:t>
      </w:r>
      <w:r w:rsidRPr="00114E16">
        <w:rPr>
          <w:rFonts w:ascii="Times New Roman" w:eastAsiaTheme="minorEastAsia" w:hAnsi="Times New Roman" w:cs="Times New Roman"/>
          <w:i/>
          <w:iCs/>
          <w:color w:val="000000" w:themeColor="text1"/>
        </w:rPr>
        <w:t>n</w:t>
      </w:r>
      <w:r w:rsidRPr="00114E16">
        <w:rPr>
          <w:rFonts w:ascii="Times New Roman" w:eastAsiaTheme="minorEastAsia" w:hAnsi="Times New Roman" w:cs="Times New Roman"/>
          <w:color w:val="000000" w:themeColor="text1"/>
        </w:rPr>
        <w:t xml:space="preserve">=0), </w:t>
      </w:r>
      <w:r w:rsidRPr="00114E16">
        <w:rPr>
          <w:rFonts w:ascii="Times New Roman" w:hAnsi="Times New Roman" w:cs="Times New Roman"/>
          <w:color w:val="000000" w:themeColor="text1"/>
        </w:rPr>
        <w:t xml:space="preserve">+35 min </w:t>
      </w:r>
      <w:r w:rsidRPr="00114E16">
        <w:rPr>
          <w:rFonts w:ascii="Times New Roman" w:eastAsiaTheme="minorEastAsia" w:hAnsi="Times New Roman" w:cs="Times New Roman"/>
          <w:color w:val="000000" w:themeColor="text1"/>
        </w:rPr>
        <w:t>(</w:t>
      </w:r>
      <w:r w:rsidRPr="00114E16">
        <w:rPr>
          <w:rFonts w:ascii="Times New Roman" w:eastAsiaTheme="minorEastAsia" w:hAnsi="Times New Roman" w:cs="Times New Roman"/>
          <w:i/>
          <w:iCs/>
          <w:color w:val="000000" w:themeColor="text1"/>
        </w:rPr>
        <w:t>n</w:t>
      </w:r>
      <w:r w:rsidRPr="00114E16">
        <w:rPr>
          <w:rFonts w:ascii="Times New Roman" w:eastAsiaTheme="minorEastAsia" w:hAnsi="Times New Roman" w:cs="Times New Roman"/>
          <w:color w:val="000000" w:themeColor="text1"/>
        </w:rPr>
        <w:t xml:space="preserve">=1), </w:t>
      </w:r>
      <w:r w:rsidRPr="00114E16">
        <w:rPr>
          <w:rFonts w:ascii="Times New Roman" w:hAnsi="Times New Roman" w:cs="Times New Roman"/>
          <w:color w:val="000000" w:themeColor="text1"/>
        </w:rPr>
        <w:t xml:space="preserve">+45 min </w:t>
      </w:r>
      <w:r w:rsidRPr="00114E16">
        <w:rPr>
          <w:rFonts w:ascii="Times New Roman" w:eastAsiaTheme="minorEastAsia" w:hAnsi="Times New Roman" w:cs="Times New Roman"/>
          <w:color w:val="000000" w:themeColor="text1"/>
        </w:rPr>
        <w:t>(</w:t>
      </w:r>
      <w:r w:rsidRPr="00114E16">
        <w:rPr>
          <w:rFonts w:ascii="Times New Roman" w:eastAsiaTheme="minorEastAsia" w:hAnsi="Times New Roman" w:cs="Times New Roman"/>
          <w:i/>
          <w:iCs/>
          <w:color w:val="000000" w:themeColor="text1"/>
        </w:rPr>
        <w:t>n</w:t>
      </w:r>
      <w:r w:rsidRPr="00114E16">
        <w:rPr>
          <w:rFonts w:ascii="Times New Roman" w:eastAsiaTheme="minorEastAsia" w:hAnsi="Times New Roman" w:cs="Times New Roman"/>
          <w:color w:val="000000" w:themeColor="text1"/>
        </w:rPr>
        <w:t xml:space="preserve">=2), </w:t>
      </w:r>
      <w:r w:rsidRPr="00114E16">
        <w:rPr>
          <w:rFonts w:ascii="Times New Roman" w:hAnsi="Times New Roman" w:cs="Times New Roman"/>
          <w:color w:val="000000" w:themeColor="text1"/>
        </w:rPr>
        <w:t xml:space="preserve">+55 min </w:t>
      </w:r>
      <w:r w:rsidRPr="00114E16">
        <w:rPr>
          <w:rFonts w:ascii="Times New Roman" w:eastAsiaTheme="minorEastAsia" w:hAnsi="Times New Roman" w:cs="Times New Roman"/>
          <w:color w:val="000000" w:themeColor="text1"/>
        </w:rPr>
        <w:t>(</w:t>
      </w:r>
      <w:r w:rsidRPr="00114E16">
        <w:rPr>
          <w:rFonts w:ascii="Times New Roman" w:eastAsiaTheme="minorEastAsia" w:hAnsi="Times New Roman" w:cs="Times New Roman"/>
          <w:i/>
          <w:iCs/>
          <w:color w:val="000000" w:themeColor="text1"/>
        </w:rPr>
        <w:t>n</w:t>
      </w:r>
      <w:r w:rsidRPr="00114E16">
        <w:rPr>
          <w:rFonts w:ascii="Times New Roman" w:eastAsiaTheme="minorEastAsia" w:hAnsi="Times New Roman" w:cs="Times New Roman"/>
          <w:color w:val="000000" w:themeColor="text1"/>
        </w:rPr>
        <w:t xml:space="preserve">=1). </w:t>
      </w:r>
      <w:r w:rsidR="000660A6" w:rsidRPr="00114E16">
        <w:rPr>
          <w:rFonts w:ascii="Times New Roman" w:eastAsiaTheme="minorEastAsia" w:hAnsi="Times New Roman" w:cs="Times New Roman"/>
          <w:color w:val="000000" w:themeColor="text1"/>
        </w:rPr>
        <w:t xml:space="preserve">In order to successfully normalize positive skew, a fourth root transformation was applied to cortisol and alpha-amylase pretest data as recommended </w:t>
      </w:r>
      <w:r w:rsidR="000660A6" w:rsidRPr="00114E16">
        <w:rPr>
          <w:rFonts w:ascii="Times New Roman" w:eastAsiaTheme="minorEastAsia" w:hAnsi="Times New Roman" w:cs="Times New Roman"/>
          <w:color w:val="000000" w:themeColor="text1"/>
        </w:rPr>
        <w:fldChar w:fldCharType="begin" w:fldLock="1"/>
      </w:r>
      <w:r w:rsidR="000660A6" w:rsidRPr="00114E16">
        <w:rPr>
          <w:rFonts w:ascii="Times New Roman" w:eastAsiaTheme="minorEastAsia" w:hAnsi="Times New Roman" w:cs="Times New Roman"/>
          <w:color w:val="000000" w:themeColor="text1"/>
        </w:rPr>
        <w:instrText>ADDIN CSL_CITATION {"citationItems":[{"id":"ITEM-1","itemData":{"DOI":"10.3389/fnins.2017.00315","ISSN":"1662-453X","author":[{"dropping-particle":"","family":"Felt","given":"John M.","non-dropping-particle":"","parse-names":false,"suffix":""},{"dropping-particle":"","family":"Depaoli","given":"Sarah","non-dropping-particle":"","parse-names":false,"suffix":""},{"dropping-particle":"","family":"Tiemensma","given":"Jitske","non-dropping-particle":"","parse-names":false,"suffix":""}],"container-title":"Frontiers in Neuroscience","id":"ITEM-1","issued":{"date-parts":[["2017","6","6"]]},"title":"Latent growth curve models for biomarkers of the stress response","type":"article-journal","volume":"11"},"uris":["http://www.mendeley.com/documents/?uuid=e60c2c6f-6f86-4a28-8d60-47d66f1ad9e1"]},{"id":"ITEM-2","itemData":{"DOI":"10.1016/j.psyneuen.2012.09.013","ISSN":"03064530","author":[{"dropping-particle":"","family":"Miller","given":"Robert","non-dropping-particle":"","parse-names":false,"suffix":""},{"dropping-particle":"","family":"Plessow","given":"Franziska","non-dropping-particle":"","parse-names":false,"suffix":""}],"container-title":"Psychoneuroendocrinology","id":"ITEM-2","issue":"6","issued":{"date-parts":[["2013","6"]]},"page":"941-946","title":"Transformation techniques for cross-sectional and longitudinal endocrine data: Application to salivary cortisol concentrations","type":"article-journal","volume":"38"},"uris":["http://www.mendeley.com/documents/?uuid=e784bbdf-9b5f-4a4c-9575-e24541fcc30f"]}],"mendeley":{"formattedCitation":"(Felt et al., 2017; Miller &amp; Plessow, 2013)","plainTextFormattedCitation":"(Felt et al., 2017; Miller &amp; Plessow, 2013)","previouslyFormattedCitation":"(Felt et al., 2017; Miller &amp; Plessow, 2013)"},"properties":{"noteIndex":0},"schema":"https://github.com/citation-style-language/schema/raw/master/csl-citation.json"}</w:instrText>
      </w:r>
      <w:r w:rsidR="000660A6" w:rsidRPr="00114E16">
        <w:rPr>
          <w:rFonts w:ascii="Times New Roman" w:eastAsiaTheme="minorEastAsia" w:hAnsi="Times New Roman" w:cs="Times New Roman"/>
          <w:color w:val="000000" w:themeColor="text1"/>
        </w:rPr>
        <w:fldChar w:fldCharType="separate"/>
      </w:r>
      <w:r w:rsidR="000660A6" w:rsidRPr="00114E16">
        <w:rPr>
          <w:rFonts w:ascii="Times New Roman" w:eastAsiaTheme="minorEastAsia" w:hAnsi="Times New Roman" w:cs="Times New Roman"/>
          <w:noProof/>
          <w:color w:val="000000" w:themeColor="text1"/>
        </w:rPr>
        <w:t>(Felt et al., 2017; Miller &amp; Plessow, 2013)</w:t>
      </w:r>
      <w:r w:rsidR="000660A6" w:rsidRPr="00114E16">
        <w:rPr>
          <w:rFonts w:ascii="Times New Roman" w:eastAsiaTheme="minorEastAsia" w:hAnsi="Times New Roman" w:cs="Times New Roman"/>
          <w:color w:val="000000" w:themeColor="text1"/>
        </w:rPr>
        <w:fldChar w:fldCharType="end"/>
      </w:r>
      <w:r w:rsidR="000660A6" w:rsidRPr="00114E16">
        <w:rPr>
          <w:rFonts w:ascii="Times New Roman" w:eastAsiaTheme="minorEastAsia" w:hAnsi="Times New Roman" w:cs="Times New Roman"/>
          <w:color w:val="000000" w:themeColor="text1"/>
        </w:rPr>
        <w:t xml:space="preserve">. </w:t>
      </w:r>
      <w:bookmarkStart w:id="0" w:name="_Hlk146115014"/>
      <w:r w:rsidR="000660A6" w:rsidRPr="00114E16">
        <w:rPr>
          <w:rFonts w:ascii="Times New Roman" w:eastAsiaTheme="minorEastAsia" w:hAnsi="Times New Roman" w:cs="Times New Roman"/>
          <w:color w:val="000000" w:themeColor="text1"/>
        </w:rPr>
        <w:t xml:space="preserve">This approach also circumvented the need to winsorize outlier values that might cohesively reflect potential meaningful subgroups of youth that exist at the tail ends of the cortisol and alpha-amylase distributions (Bendezú &amp; Wadsworth, 2018; Bendezú et al., 2022).  </w:t>
      </w:r>
      <w:bookmarkEnd w:id="0"/>
    </w:p>
    <w:p w14:paraId="110274EB" w14:textId="48B262F9" w:rsidR="00C572F9" w:rsidRPr="00114E16" w:rsidRDefault="00C572F9" w:rsidP="00144849">
      <w:pPr>
        <w:spacing w:line="480" w:lineRule="auto"/>
        <w:rPr>
          <w:rFonts w:ascii="Times New Roman" w:hAnsi="Times New Roman" w:cs="Times New Roman"/>
          <w:b/>
          <w:iCs/>
          <w:color w:val="000000" w:themeColor="text1"/>
        </w:rPr>
      </w:pPr>
      <w:r w:rsidRPr="00114E16">
        <w:rPr>
          <w:rFonts w:ascii="Times New Roman" w:hAnsi="Times New Roman" w:cs="Times New Roman"/>
          <w:b/>
          <w:iCs/>
          <w:color w:val="000000" w:themeColor="text1"/>
        </w:rPr>
        <w:t>Analysis Plan</w:t>
      </w:r>
    </w:p>
    <w:p w14:paraId="06E3AC2F" w14:textId="77777777" w:rsidR="0026593E" w:rsidRPr="00114E16" w:rsidRDefault="0026593E" w:rsidP="0026593E">
      <w:pPr>
        <w:spacing w:line="480" w:lineRule="auto"/>
        <w:rPr>
          <w:rFonts w:ascii="Times New Roman" w:hAnsi="Times New Roman" w:cs="Times New Roman"/>
          <w:b/>
          <w:i/>
          <w:iCs/>
          <w:color w:val="000000" w:themeColor="text1"/>
        </w:rPr>
      </w:pPr>
      <w:r w:rsidRPr="00114E16">
        <w:rPr>
          <w:rFonts w:ascii="Times New Roman" w:hAnsi="Times New Roman" w:cs="Times New Roman"/>
          <w:b/>
          <w:i/>
          <w:iCs/>
          <w:color w:val="000000" w:themeColor="text1"/>
        </w:rPr>
        <w:t>Exploring Pretest Biological Stress Response Profiles</w:t>
      </w:r>
    </w:p>
    <w:p w14:paraId="50EE20B0" w14:textId="1D3995F8" w:rsidR="00C572F9" w:rsidRPr="00114E16" w:rsidRDefault="00C572F9" w:rsidP="00C572F9">
      <w:pPr>
        <w:spacing w:line="480" w:lineRule="auto"/>
        <w:ind w:firstLine="720"/>
        <w:rPr>
          <w:rFonts w:ascii="Times New Roman" w:eastAsia="Malgun Gothic" w:hAnsi="Times New Roman" w:cs="Times New Roman"/>
          <w:color w:val="000000" w:themeColor="text1"/>
        </w:rPr>
      </w:pPr>
      <w:r w:rsidRPr="00114E16">
        <w:rPr>
          <w:rFonts w:ascii="Times New Roman" w:eastAsia="Malgun Gothic" w:hAnsi="Times New Roman" w:cs="Times New Roman"/>
          <w:color w:val="000000" w:themeColor="text1"/>
        </w:rPr>
        <w:t xml:space="preserve">As the iterative process for identifying the best fitting model using Group Based Trajectory Modeling (GBTM; exploring profiles of unique stress response trajectories in a sample using a single response index such a cortisol) and Multitrajectory Modeling (MTM; exploring profiles of unique stress response trajectories in a sample using multiple response indices simultaneously such as concurrent cortisol and alpha amylase activation) are quite similar, the general process is detailed below for MTM and, where needed, important points of divergence between GBTM and MTM model fitting are further unpacked. </w:t>
      </w:r>
    </w:p>
    <w:p w14:paraId="5B55E6F4" w14:textId="0E3B040F" w:rsidR="008B09B8" w:rsidRPr="00114E16" w:rsidRDefault="00C572F9" w:rsidP="008B09B8">
      <w:pPr>
        <w:spacing w:line="480" w:lineRule="auto"/>
        <w:ind w:firstLine="720"/>
        <w:rPr>
          <w:rFonts w:ascii="Times New Roman" w:hAnsi="Times New Roman" w:cs="Times New Roman"/>
          <w:color w:val="000000" w:themeColor="text1"/>
        </w:rPr>
      </w:pPr>
      <w:r w:rsidRPr="00114E16">
        <w:rPr>
          <w:rFonts w:ascii="Times New Roman" w:eastAsia="Malgun Gothic" w:hAnsi="Times New Roman" w:cs="Times New Roman"/>
          <w:color w:val="000000" w:themeColor="text1"/>
        </w:rPr>
        <w:t>GBTM and MTM utilized t</w:t>
      </w:r>
      <w:r w:rsidRPr="00114E16">
        <w:rPr>
          <w:rFonts w:ascii="Times New Roman" w:hAnsi="Times New Roman" w:cs="Times New Roman"/>
          <w:color w:val="000000" w:themeColor="text1"/>
        </w:rPr>
        <w:t>he PROC TRAJ procedure (SAS 9.4), with the latter</w:t>
      </w:r>
      <w:r w:rsidR="009A3427" w:rsidRPr="00114E16">
        <w:rPr>
          <w:rFonts w:ascii="Times New Roman" w:hAnsi="Times New Roman" w:cs="Times New Roman"/>
          <w:color w:val="000000" w:themeColor="text1"/>
        </w:rPr>
        <w:t xml:space="preserve"> employing the MULTGROUPS option.</w:t>
      </w:r>
      <w:r w:rsidRPr="00114E16">
        <w:rPr>
          <w:rFonts w:ascii="Times New Roman" w:hAnsi="Times New Roman" w:cs="Times New Roman"/>
          <w:color w:val="000000" w:themeColor="text1"/>
        </w:rPr>
        <w:t xml:space="preserve"> A nonsignificant </w:t>
      </w:r>
      <w:r w:rsidRPr="00114E16">
        <w:rPr>
          <w:rFonts w:ascii="Times New Roman" w:eastAsia="Calibri" w:hAnsi="Times New Roman" w:cs="Times New Roman"/>
          <w:color w:val="000000" w:themeColor="text1"/>
        </w:rPr>
        <w:fldChar w:fldCharType="begin" w:fldLock="1"/>
      </w:r>
      <w:r w:rsidRPr="00114E16">
        <w:rPr>
          <w:rFonts w:ascii="Times New Roman" w:eastAsia="Calibri" w:hAnsi="Times New Roman" w:cs="Times New Roman"/>
          <w:color w:val="000000" w:themeColor="text1"/>
        </w:rPr>
        <w:instrText>ADDIN CSL_CITATION {"citationItems":[{"id":"ITEM-1","itemData":{"DOI":"10.1080/01621459.1988.10478722","ISSN":"0162-1459","author":[{"dropping-particle":"","family":"Little","given":"Roderick J. A.","non-dropping-particle":"","parse-names":false,"suffix":""}],"container-title":"Journal of the American Statistical Association","id":"ITEM-1","issue":"404","issued":{"date-parts":[["1988","12"]]},"page":"1198-1202","title":"A test of missing completely at random for multivariate data with missing values","type":"article-journal","volume":"83"},"uris":["http://www.mendeley.com/documents/?uuid=88f114e1-efa9-4e28-859d-666024c33c6f"]}],"mendeley":{"formattedCitation":"(Little, 1988)","manualFormatting":"Little's (1988)","plainTextFormattedCitation":"(Little, 1988)","previouslyFormattedCitation":"(Little, 1988)"},"properties":{"noteIndex":0},"schema":"https://github.com/citation-style-language/schema/raw/master/csl-citation.json"}</w:instrText>
      </w:r>
      <w:r w:rsidRPr="00114E16">
        <w:rPr>
          <w:rFonts w:ascii="Times New Roman" w:eastAsia="Calibri" w:hAnsi="Times New Roman" w:cs="Times New Roman"/>
          <w:color w:val="000000" w:themeColor="text1"/>
        </w:rPr>
        <w:fldChar w:fldCharType="separate"/>
      </w:r>
      <w:r w:rsidRPr="00114E16">
        <w:rPr>
          <w:rFonts w:ascii="Times New Roman" w:eastAsia="Calibri" w:hAnsi="Times New Roman" w:cs="Times New Roman"/>
          <w:noProof/>
          <w:color w:val="000000" w:themeColor="text1"/>
        </w:rPr>
        <w:t>Little's (1988)</w:t>
      </w:r>
      <w:r w:rsidRPr="00114E16">
        <w:rPr>
          <w:rFonts w:ascii="Times New Roman" w:eastAsia="Calibri" w:hAnsi="Times New Roman" w:cs="Times New Roman"/>
          <w:color w:val="000000" w:themeColor="text1"/>
        </w:rPr>
        <w:fldChar w:fldCharType="end"/>
      </w:r>
      <w:r w:rsidRPr="00114E16">
        <w:rPr>
          <w:rFonts w:ascii="Times New Roman" w:eastAsia="Calibri" w:hAnsi="Times New Roman" w:cs="Times New Roman"/>
          <w:color w:val="000000" w:themeColor="text1"/>
        </w:rPr>
        <w:t xml:space="preserve"> MCAR test, </w:t>
      </w:r>
      <w:r w:rsidRPr="00114E16">
        <w:rPr>
          <w:rFonts w:ascii="Times New Roman" w:eastAsia="Calibri" w:hAnsi="Times New Roman" w:cs="Times New Roman"/>
          <w:i/>
          <w:color w:val="000000" w:themeColor="text1"/>
        </w:rPr>
        <w:t>Χ</w:t>
      </w:r>
      <w:r w:rsidRPr="00114E16">
        <w:rPr>
          <w:rFonts w:ascii="Times New Roman" w:eastAsia="Calibri" w:hAnsi="Times New Roman" w:cs="Times New Roman"/>
          <w:color w:val="000000" w:themeColor="text1"/>
        </w:rPr>
        <w:t xml:space="preserve"> </w:t>
      </w:r>
      <w:r w:rsidRPr="00114E16">
        <w:rPr>
          <w:rFonts w:ascii="Times New Roman" w:eastAsia="Calibri" w:hAnsi="Times New Roman" w:cs="Times New Roman"/>
          <w:color w:val="000000" w:themeColor="text1"/>
          <w:vertAlign w:val="superscript"/>
        </w:rPr>
        <w:t>2</w:t>
      </w:r>
      <w:r w:rsidRPr="00114E16">
        <w:rPr>
          <w:rFonts w:ascii="Times New Roman" w:eastAsia="Calibri" w:hAnsi="Times New Roman" w:cs="Times New Roman"/>
          <w:color w:val="000000" w:themeColor="text1"/>
        </w:rPr>
        <w:t xml:space="preserve"> (</w:t>
      </w:r>
      <w:r w:rsidR="00E070AB" w:rsidRPr="00114E16">
        <w:rPr>
          <w:rFonts w:ascii="Times New Roman" w:eastAsia="Calibri" w:hAnsi="Times New Roman" w:cs="Times New Roman"/>
          <w:color w:val="000000" w:themeColor="text1"/>
        </w:rPr>
        <w:t>726</w:t>
      </w:r>
      <w:r w:rsidRPr="00114E16">
        <w:rPr>
          <w:rFonts w:ascii="Times New Roman" w:eastAsia="Calibri" w:hAnsi="Times New Roman" w:cs="Times New Roman"/>
          <w:color w:val="000000" w:themeColor="text1"/>
        </w:rPr>
        <w:t xml:space="preserve">) = </w:t>
      </w:r>
      <w:r w:rsidR="00E070AB" w:rsidRPr="00114E16">
        <w:rPr>
          <w:rFonts w:ascii="Times New Roman" w:eastAsia="Calibri" w:hAnsi="Times New Roman" w:cs="Times New Roman"/>
          <w:color w:val="000000" w:themeColor="text1"/>
        </w:rPr>
        <w:lastRenderedPageBreak/>
        <w:t>737.88</w:t>
      </w:r>
      <w:r w:rsidRPr="00114E16">
        <w:rPr>
          <w:rFonts w:ascii="Times New Roman" w:eastAsia="Calibri" w:hAnsi="Times New Roman" w:cs="Times New Roman"/>
          <w:color w:val="000000" w:themeColor="text1"/>
        </w:rPr>
        <w:t xml:space="preserve">, </w:t>
      </w:r>
      <w:r w:rsidRPr="00114E16">
        <w:rPr>
          <w:rFonts w:ascii="Times New Roman" w:eastAsia="Calibri" w:hAnsi="Times New Roman" w:cs="Times New Roman"/>
          <w:i/>
          <w:color w:val="000000" w:themeColor="text1"/>
        </w:rPr>
        <w:t>p</w:t>
      </w:r>
      <w:r w:rsidRPr="00114E16">
        <w:rPr>
          <w:rFonts w:ascii="Times New Roman" w:eastAsia="Calibri" w:hAnsi="Times New Roman" w:cs="Times New Roman"/>
          <w:color w:val="000000" w:themeColor="text1"/>
        </w:rPr>
        <w:t>&gt;.25,</w:t>
      </w:r>
      <w:r w:rsidR="00E070AB" w:rsidRPr="00114E16">
        <w:rPr>
          <w:rFonts w:ascii="Times New Roman" w:eastAsia="Calibri" w:hAnsi="Times New Roman" w:cs="Times New Roman"/>
          <w:color w:val="000000" w:themeColor="text1"/>
        </w:rPr>
        <w:t xml:space="preserve"> suggested that our data could be missing at random (MAR</w:t>
      </w:r>
      <w:r w:rsidR="008B09B8" w:rsidRPr="00114E16">
        <w:rPr>
          <w:rFonts w:ascii="Times New Roman" w:eastAsia="Calibri" w:hAnsi="Times New Roman" w:cs="Times New Roman"/>
          <w:color w:val="000000" w:themeColor="text1"/>
        </w:rPr>
        <w:t>)</w:t>
      </w:r>
      <w:r w:rsidR="00E070AB" w:rsidRPr="00114E16">
        <w:rPr>
          <w:rFonts w:ascii="Times New Roman" w:eastAsia="Calibri" w:hAnsi="Times New Roman" w:cs="Times New Roman"/>
          <w:color w:val="000000" w:themeColor="text1"/>
        </w:rPr>
        <w:t xml:space="preserve"> or missing completely at random (MCAR). </w:t>
      </w:r>
      <w:r w:rsidR="00BB3B0A" w:rsidRPr="00114E16">
        <w:rPr>
          <w:rFonts w:ascii="Times New Roman" w:eastAsia="Calibri" w:hAnsi="Times New Roman" w:cs="Times New Roman"/>
          <w:color w:val="000000" w:themeColor="text1"/>
        </w:rPr>
        <w:t xml:space="preserve">As such, we proceeded to </w:t>
      </w:r>
      <w:r w:rsidRPr="00114E16">
        <w:rPr>
          <w:rFonts w:ascii="Times New Roman" w:eastAsia="Calibri" w:hAnsi="Times New Roman" w:cs="Times New Roman"/>
          <w:color w:val="000000" w:themeColor="text1"/>
        </w:rPr>
        <w:t xml:space="preserve">use </w:t>
      </w:r>
      <w:r w:rsidRPr="00114E16">
        <w:rPr>
          <w:rFonts w:ascii="Times New Roman" w:hAnsi="Times New Roman" w:cs="Times New Roman"/>
          <w:color w:val="000000" w:themeColor="text1"/>
        </w:rPr>
        <w:t>Multiple Imputation (MI) to handle missing data</w:t>
      </w:r>
      <w:r w:rsidR="009A3427" w:rsidRPr="00114E16">
        <w:rPr>
          <w:rFonts w:ascii="Times New Roman" w:hAnsi="Times New Roman" w:cs="Times New Roman"/>
          <w:color w:val="000000" w:themeColor="text1"/>
        </w:rPr>
        <w:t xml:space="preserve"> in our GBTM and MTM analyses</w:t>
      </w:r>
      <w:r w:rsidRPr="00114E16">
        <w:rPr>
          <w:rFonts w:ascii="Times New Roman" w:hAnsi="Times New Roman" w:cs="Times New Roman"/>
          <w:color w:val="000000" w:themeColor="text1"/>
        </w:rPr>
        <w:t>.</w:t>
      </w:r>
      <w:r w:rsidRPr="00114E16">
        <w:rPr>
          <w:rFonts w:ascii="Times New Roman" w:eastAsia="Calibri" w:hAnsi="Times New Roman" w:cs="Times New Roman"/>
          <w:color w:val="000000" w:themeColor="text1"/>
        </w:rPr>
        <w:t xml:space="preserve"> Ten imputations were performed as recommended (Graham et al., 2007). </w:t>
      </w:r>
      <w:r w:rsidR="008B09B8" w:rsidRPr="00114E16">
        <w:rPr>
          <w:rFonts w:ascii="Times New Roman" w:hAnsi="Times New Roman" w:cs="Times New Roman"/>
          <w:color w:val="000000" w:themeColor="text1"/>
        </w:rPr>
        <w:t xml:space="preserve">To specify the best fitting model, polynomial functions were estimated at each model specification step for each identified trajectory. In our cortisol only GBTM modeling, we began by fitting a one-profile model. We then iteratively trimmed the highest order non-significant polynomial estimate from the corresponding cortisol response trajectory equation. After obtaining </w:t>
      </w:r>
      <w:r w:rsidR="008B09B8" w:rsidRPr="00114E16">
        <w:rPr>
          <w:rFonts w:ascii="Times New Roman" w:eastAsia="Times New Roman" w:hAnsi="Times New Roman" w:cs="Times New Roman"/>
          <w:color w:val="000000" w:themeColor="text1"/>
        </w:rPr>
        <w:t>a solution containing only significant polynomial parameter estimates</w:t>
      </w:r>
      <w:r w:rsidR="008B09B8" w:rsidRPr="00114E16">
        <w:rPr>
          <w:rFonts w:ascii="Times New Roman" w:hAnsi="Times New Roman" w:cs="Times New Roman"/>
          <w:color w:val="000000" w:themeColor="text1"/>
        </w:rPr>
        <w:t>, we recorded the log Bayes factor approximation [2log</w:t>
      </w:r>
      <w:r w:rsidR="008B09B8" w:rsidRPr="00114E16">
        <w:rPr>
          <w:rFonts w:ascii="Times New Roman" w:hAnsi="Times New Roman" w:cs="Times New Roman"/>
          <w:color w:val="000000" w:themeColor="text1"/>
          <w:vertAlign w:val="subscript"/>
        </w:rPr>
        <w:t>e</w:t>
      </w:r>
      <w:r w:rsidR="008B09B8" w:rsidRPr="00114E16">
        <w:rPr>
          <w:rFonts w:ascii="Times New Roman" w:hAnsi="Times New Roman" w:cs="Times New Roman"/>
          <w:color w:val="000000" w:themeColor="text1"/>
        </w:rPr>
        <w:t>(B</w:t>
      </w:r>
      <w:r w:rsidR="008B09B8" w:rsidRPr="00114E16">
        <w:rPr>
          <w:rFonts w:ascii="Times New Roman" w:hAnsi="Times New Roman" w:cs="Times New Roman"/>
          <w:color w:val="000000" w:themeColor="text1"/>
          <w:vertAlign w:val="subscript"/>
        </w:rPr>
        <w:t>10</w:t>
      </w:r>
      <w:r w:rsidR="008B09B8" w:rsidRPr="00114E16">
        <w:rPr>
          <w:rFonts w:ascii="Times New Roman" w:hAnsi="Times New Roman" w:cs="Times New Roman"/>
          <w:color w:val="000000" w:themeColor="text1"/>
        </w:rPr>
        <w:t>)] (for computational details, see Nagin 2005) for the one-profile solution. The [2log</w:t>
      </w:r>
      <w:r w:rsidR="008B09B8" w:rsidRPr="00114E16">
        <w:rPr>
          <w:rFonts w:ascii="Times New Roman" w:hAnsi="Times New Roman" w:cs="Times New Roman"/>
          <w:color w:val="000000" w:themeColor="text1"/>
          <w:vertAlign w:val="subscript"/>
        </w:rPr>
        <w:t>e</w:t>
      </w:r>
      <w:r w:rsidR="008B09B8" w:rsidRPr="00114E16">
        <w:rPr>
          <w:rFonts w:ascii="Times New Roman" w:hAnsi="Times New Roman" w:cs="Times New Roman"/>
          <w:color w:val="000000" w:themeColor="text1"/>
        </w:rPr>
        <w:t>(B</w:t>
      </w:r>
      <w:r w:rsidR="008B09B8" w:rsidRPr="00114E16">
        <w:rPr>
          <w:rFonts w:ascii="Times New Roman" w:hAnsi="Times New Roman" w:cs="Times New Roman"/>
          <w:color w:val="000000" w:themeColor="text1"/>
          <w:vertAlign w:val="subscript"/>
        </w:rPr>
        <w:t>10</w:t>
      </w:r>
      <w:r w:rsidR="008B09B8" w:rsidRPr="00114E16">
        <w:rPr>
          <w:rFonts w:ascii="Times New Roman" w:hAnsi="Times New Roman" w:cs="Times New Roman"/>
          <w:color w:val="000000" w:themeColor="text1"/>
        </w:rPr>
        <w:t xml:space="preserve">)] was later used to determine which solution (e.g., one-profile, two-profile) provided the most optimal fit to the data. This initial model specification step was carried out in identical fashion in our alpha amylase only GBTM modeling. </w:t>
      </w:r>
      <w:r w:rsidR="00BB79E2" w:rsidRPr="00114E16">
        <w:rPr>
          <w:rFonts w:ascii="Times New Roman" w:hAnsi="Times New Roman" w:cs="Times New Roman"/>
          <w:color w:val="000000" w:themeColor="text1"/>
        </w:rPr>
        <w:t>T</w:t>
      </w:r>
      <w:r w:rsidR="008B09B8" w:rsidRPr="00114E16">
        <w:rPr>
          <w:rFonts w:ascii="Times New Roman" w:hAnsi="Times New Roman" w:cs="Times New Roman"/>
          <w:color w:val="000000" w:themeColor="text1"/>
        </w:rPr>
        <w:t>h</w:t>
      </w:r>
      <w:r w:rsidR="00BB79E2" w:rsidRPr="00114E16">
        <w:rPr>
          <w:rFonts w:ascii="Times New Roman" w:hAnsi="Times New Roman" w:cs="Times New Roman"/>
          <w:color w:val="000000" w:themeColor="text1"/>
        </w:rPr>
        <w:t xml:space="preserve">is initial step in our </w:t>
      </w:r>
      <w:r w:rsidR="008B09B8" w:rsidRPr="00114E16">
        <w:rPr>
          <w:rFonts w:ascii="Times New Roman" w:hAnsi="Times New Roman" w:cs="Times New Roman"/>
          <w:color w:val="000000" w:themeColor="text1"/>
        </w:rPr>
        <w:t>MTM model specification process was nearly identical to GBTM, with one notable point of divergence</w:t>
      </w:r>
      <w:r w:rsidR="00BB79E2" w:rsidRPr="00114E16">
        <w:rPr>
          <w:rFonts w:ascii="Times New Roman" w:hAnsi="Times New Roman" w:cs="Times New Roman"/>
          <w:color w:val="000000" w:themeColor="text1"/>
        </w:rPr>
        <w:t>. To fit a one-profile model in MTM model,</w:t>
      </w:r>
      <w:r w:rsidR="0047436C" w:rsidRPr="00114E16">
        <w:rPr>
          <w:rFonts w:ascii="Times New Roman" w:hAnsi="Times New Roman" w:cs="Times New Roman"/>
          <w:color w:val="000000" w:themeColor="text1"/>
        </w:rPr>
        <w:t xml:space="preserve"> </w:t>
      </w:r>
      <w:r w:rsidR="0047436C" w:rsidRPr="00114E16">
        <w:rPr>
          <w:rFonts w:ascii="Times New Roman" w:hAnsi="Times New Roman" w:cs="Times New Roman"/>
          <w:color w:val="000000" w:themeColor="text1"/>
          <w:u w:val="single"/>
        </w:rPr>
        <w:t>one</w:t>
      </w:r>
      <w:r w:rsidR="008B09B8" w:rsidRPr="00114E16">
        <w:rPr>
          <w:rFonts w:ascii="Times New Roman" w:hAnsi="Times New Roman" w:cs="Times New Roman"/>
          <w:color w:val="000000" w:themeColor="text1"/>
        </w:rPr>
        <w:t xml:space="preserve"> </w:t>
      </w:r>
      <w:r w:rsidR="0047436C" w:rsidRPr="00114E16">
        <w:rPr>
          <w:rFonts w:ascii="Times New Roman" w:hAnsi="Times New Roman" w:cs="Times New Roman"/>
          <w:color w:val="000000" w:themeColor="text1"/>
        </w:rPr>
        <w:t xml:space="preserve">trajectory for cortisol and </w:t>
      </w:r>
      <w:r w:rsidR="0047436C" w:rsidRPr="00114E16">
        <w:rPr>
          <w:rFonts w:ascii="Times New Roman" w:hAnsi="Times New Roman" w:cs="Times New Roman"/>
          <w:color w:val="000000" w:themeColor="text1"/>
          <w:u w:val="single"/>
        </w:rPr>
        <w:t>one</w:t>
      </w:r>
      <w:r w:rsidR="0047436C" w:rsidRPr="00114E16">
        <w:rPr>
          <w:rFonts w:ascii="Times New Roman" w:hAnsi="Times New Roman" w:cs="Times New Roman"/>
          <w:color w:val="000000" w:themeColor="text1"/>
        </w:rPr>
        <w:t xml:space="preserve"> trajectory for alpha amylase were estimated </w:t>
      </w:r>
      <w:r w:rsidR="008B09B8" w:rsidRPr="00114E16">
        <w:rPr>
          <w:rFonts w:ascii="Times New Roman" w:hAnsi="Times New Roman" w:cs="Times New Roman"/>
          <w:color w:val="000000" w:themeColor="text1"/>
          <w:u w:val="single"/>
        </w:rPr>
        <w:t>simultaneously</w:t>
      </w:r>
      <w:r w:rsidR="008B09B8" w:rsidRPr="00114E16">
        <w:rPr>
          <w:rFonts w:ascii="Times New Roman" w:hAnsi="Times New Roman" w:cs="Times New Roman"/>
          <w:color w:val="000000" w:themeColor="text1"/>
        </w:rPr>
        <w:t xml:space="preserve">, thus, creating a profile reflective of </w:t>
      </w:r>
      <w:r w:rsidR="008B09B8" w:rsidRPr="00114E16">
        <w:rPr>
          <w:rFonts w:ascii="Times New Roman" w:hAnsi="Times New Roman" w:cs="Times New Roman"/>
          <w:color w:val="000000" w:themeColor="text1"/>
          <w:u w:val="single"/>
        </w:rPr>
        <w:t>concurrent</w:t>
      </w:r>
      <w:r w:rsidR="008B09B8" w:rsidRPr="00114E16">
        <w:rPr>
          <w:rFonts w:ascii="Times New Roman" w:hAnsi="Times New Roman" w:cs="Times New Roman"/>
          <w:color w:val="000000" w:themeColor="text1"/>
        </w:rPr>
        <w:t xml:space="preserve"> cortisol and alpha-amylase responsivity. Non-significant highest order polynomial functions were </w:t>
      </w:r>
      <w:r w:rsidR="00BB79E2" w:rsidRPr="00114E16">
        <w:rPr>
          <w:rFonts w:ascii="Times New Roman" w:hAnsi="Times New Roman" w:cs="Times New Roman"/>
          <w:color w:val="000000" w:themeColor="text1"/>
        </w:rPr>
        <w:t xml:space="preserve">then </w:t>
      </w:r>
      <w:r w:rsidR="008B09B8" w:rsidRPr="00114E16">
        <w:rPr>
          <w:rFonts w:ascii="Times New Roman" w:hAnsi="Times New Roman" w:cs="Times New Roman"/>
          <w:color w:val="000000" w:themeColor="text1"/>
        </w:rPr>
        <w:t xml:space="preserve">trimmed from </w:t>
      </w:r>
      <w:r w:rsidR="008B09B8" w:rsidRPr="00114E16">
        <w:rPr>
          <w:rFonts w:ascii="Times New Roman" w:hAnsi="Times New Roman" w:cs="Times New Roman"/>
          <w:color w:val="000000" w:themeColor="text1"/>
          <w:u w:val="single"/>
        </w:rPr>
        <w:t>both</w:t>
      </w:r>
      <w:r w:rsidR="008B09B8" w:rsidRPr="00114E16">
        <w:rPr>
          <w:rFonts w:ascii="Times New Roman" w:hAnsi="Times New Roman" w:cs="Times New Roman"/>
          <w:color w:val="000000" w:themeColor="text1"/>
        </w:rPr>
        <w:t xml:space="preserve"> trajectory equations</w:t>
      </w:r>
      <w:r w:rsidR="00BB79E2" w:rsidRPr="00114E16">
        <w:rPr>
          <w:rFonts w:ascii="Times New Roman" w:hAnsi="Times New Roman" w:cs="Times New Roman"/>
          <w:color w:val="000000" w:themeColor="text1"/>
        </w:rPr>
        <w:t xml:space="preserve"> until each contained only significant</w:t>
      </w:r>
      <w:r w:rsidR="00BB79E2" w:rsidRPr="00114E16">
        <w:rPr>
          <w:rFonts w:ascii="Times New Roman" w:eastAsia="Times New Roman" w:hAnsi="Times New Roman" w:cs="Times New Roman"/>
          <w:color w:val="000000" w:themeColor="text1"/>
        </w:rPr>
        <w:t xml:space="preserve"> polynomial parameter estimates.</w:t>
      </w:r>
      <w:r w:rsidR="005A4FC3" w:rsidRPr="00114E16">
        <w:rPr>
          <w:rFonts w:ascii="Times New Roman" w:eastAsia="Times New Roman" w:hAnsi="Times New Roman" w:cs="Times New Roman"/>
          <w:color w:val="000000" w:themeColor="text1"/>
        </w:rPr>
        <w:t xml:space="preserve"> </w:t>
      </w:r>
      <w:r w:rsidR="005A4FC3" w:rsidRPr="00114E16">
        <w:rPr>
          <w:rFonts w:ascii="Times New Roman" w:hAnsi="Times New Roman" w:cs="Times New Roman"/>
          <w:color w:val="000000" w:themeColor="text1"/>
        </w:rPr>
        <w:t>We expected quadratic and quartic functions to define cortisol and alpha amylase trajectories</w:t>
      </w:r>
      <w:r w:rsidR="004956B1" w:rsidRPr="00114E16">
        <w:rPr>
          <w:rFonts w:ascii="Times New Roman" w:hAnsi="Times New Roman" w:cs="Times New Roman"/>
          <w:color w:val="000000" w:themeColor="text1"/>
        </w:rPr>
        <w:t>.</w:t>
      </w:r>
    </w:p>
    <w:p w14:paraId="78E105C1" w14:textId="3A78F458" w:rsidR="00BB79E2" w:rsidRPr="00114E16" w:rsidRDefault="00BB79E2" w:rsidP="00BB79E2">
      <w:pPr>
        <w:spacing w:line="480" w:lineRule="auto"/>
        <w:ind w:firstLine="720"/>
        <w:rPr>
          <w:rFonts w:ascii="Times New Roman" w:hAnsi="Times New Roman" w:cs="Times New Roman"/>
          <w:color w:val="000000" w:themeColor="text1"/>
        </w:rPr>
      </w:pPr>
      <w:r w:rsidRPr="00114E16">
        <w:rPr>
          <w:rFonts w:ascii="Times New Roman" w:hAnsi="Times New Roman" w:cs="Times New Roman"/>
          <w:color w:val="000000" w:themeColor="text1"/>
        </w:rPr>
        <w:t xml:space="preserve">Next, a more complex two-profile solution was examined for both cortisol only and alpha amylase only GBTM models. All polynomial estimates were reset to the highest-order theoretically informed polynomial function in each trajectory equation, regardless of whether they were nonsignificant in the final one-profile solution. In both GBTM models, the two-profile </w:t>
      </w:r>
      <w:r w:rsidRPr="00114E16">
        <w:rPr>
          <w:rFonts w:ascii="Times New Roman" w:hAnsi="Times New Roman" w:cs="Times New Roman"/>
          <w:color w:val="000000" w:themeColor="text1"/>
        </w:rPr>
        <w:lastRenderedPageBreak/>
        <w:t>solution</w:t>
      </w:r>
      <w:r w:rsidR="0047436C" w:rsidRPr="00114E16">
        <w:rPr>
          <w:rFonts w:ascii="Times New Roman" w:hAnsi="Times New Roman" w:cs="Times New Roman"/>
          <w:color w:val="000000" w:themeColor="text1"/>
        </w:rPr>
        <w:t xml:space="preserve"> for cortisol only and alpha amylase only were explored, </w:t>
      </w:r>
      <w:r w:rsidRPr="00114E16">
        <w:rPr>
          <w:rFonts w:ascii="Times New Roman" w:hAnsi="Times New Roman" w:cs="Times New Roman"/>
          <w:color w:val="000000" w:themeColor="text1"/>
        </w:rPr>
        <w:t>estimat</w:t>
      </w:r>
      <w:r w:rsidR="0047436C" w:rsidRPr="00114E16">
        <w:rPr>
          <w:rFonts w:ascii="Times New Roman" w:hAnsi="Times New Roman" w:cs="Times New Roman"/>
          <w:color w:val="000000" w:themeColor="text1"/>
        </w:rPr>
        <w:t>ing</w:t>
      </w:r>
      <w:r w:rsidRPr="00114E16">
        <w:rPr>
          <w:rFonts w:ascii="Times New Roman" w:hAnsi="Times New Roman" w:cs="Times New Roman"/>
          <w:color w:val="000000" w:themeColor="text1"/>
        </w:rPr>
        <w:t xml:space="preserve"> two response trajector</w:t>
      </w:r>
      <w:r w:rsidR="0047436C" w:rsidRPr="00114E16">
        <w:rPr>
          <w:rFonts w:ascii="Times New Roman" w:hAnsi="Times New Roman" w:cs="Times New Roman"/>
          <w:color w:val="000000" w:themeColor="text1"/>
        </w:rPr>
        <w:t>ies</w:t>
      </w:r>
      <w:r w:rsidRPr="00114E16">
        <w:rPr>
          <w:rFonts w:ascii="Times New Roman" w:hAnsi="Times New Roman" w:cs="Times New Roman"/>
          <w:color w:val="000000" w:themeColor="text1"/>
        </w:rPr>
        <w:t xml:space="preserve"> </w:t>
      </w:r>
      <w:r w:rsidR="0047436C" w:rsidRPr="00114E16">
        <w:rPr>
          <w:rFonts w:ascii="Times New Roman" w:hAnsi="Times New Roman" w:cs="Times New Roman"/>
          <w:color w:val="000000" w:themeColor="text1"/>
        </w:rPr>
        <w:t xml:space="preserve">for each biological index </w:t>
      </w:r>
      <w:r w:rsidRPr="00114E16">
        <w:rPr>
          <w:rFonts w:ascii="Times New Roman" w:hAnsi="Times New Roman" w:cs="Times New Roman"/>
          <w:color w:val="000000" w:themeColor="text1"/>
        </w:rPr>
        <w:t>(e.g., Low Profile, High Profile)</w:t>
      </w:r>
      <w:r w:rsidR="0047436C" w:rsidRPr="00114E16">
        <w:rPr>
          <w:rFonts w:ascii="Times New Roman" w:hAnsi="Times New Roman" w:cs="Times New Roman"/>
          <w:color w:val="000000" w:themeColor="text1"/>
        </w:rPr>
        <w:t xml:space="preserve">. </w:t>
      </w:r>
      <w:r w:rsidRPr="00114E16">
        <w:rPr>
          <w:rFonts w:ascii="Times New Roman" w:hAnsi="Times New Roman" w:cs="Times New Roman"/>
          <w:color w:val="000000" w:themeColor="text1"/>
        </w:rPr>
        <w:t xml:space="preserve"> In our MTM models, two </w:t>
      </w:r>
      <w:r w:rsidR="00CD1090" w:rsidRPr="00114E16">
        <w:rPr>
          <w:rFonts w:ascii="Times New Roman" w:hAnsi="Times New Roman" w:cs="Times New Roman"/>
          <w:color w:val="000000" w:themeColor="text1"/>
        </w:rPr>
        <w:t xml:space="preserve">concurrent </w:t>
      </w:r>
      <w:r w:rsidRPr="00114E16">
        <w:rPr>
          <w:rFonts w:ascii="Times New Roman" w:hAnsi="Times New Roman" w:cs="Times New Roman"/>
          <w:color w:val="000000" w:themeColor="text1"/>
        </w:rPr>
        <w:t>cortisol–alpha amylase trajectory profiles</w:t>
      </w:r>
      <w:r w:rsidR="005A4FC3" w:rsidRPr="00114E16">
        <w:rPr>
          <w:rFonts w:ascii="Times New Roman" w:hAnsi="Times New Roman" w:cs="Times New Roman"/>
          <w:color w:val="000000" w:themeColor="text1"/>
        </w:rPr>
        <w:t xml:space="preserve"> were estimated</w:t>
      </w:r>
      <w:r w:rsidR="00CD1090" w:rsidRPr="00114E16">
        <w:rPr>
          <w:rFonts w:ascii="Times New Roman" w:hAnsi="Times New Roman" w:cs="Times New Roman"/>
          <w:color w:val="000000" w:themeColor="text1"/>
        </w:rPr>
        <w:t xml:space="preserve">. </w:t>
      </w:r>
      <w:r w:rsidR="005A4FC3" w:rsidRPr="00114E16">
        <w:rPr>
          <w:rFonts w:ascii="Times New Roman" w:hAnsi="Times New Roman" w:cs="Times New Roman"/>
          <w:color w:val="000000" w:themeColor="text1"/>
        </w:rPr>
        <w:t>Each profile</w:t>
      </w:r>
      <w:r w:rsidRPr="00114E16">
        <w:rPr>
          <w:rFonts w:ascii="Times New Roman" w:hAnsi="Times New Roman" w:cs="Times New Roman"/>
          <w:color w:val="000000" w:themeColor="text1"/>
        </w:rPr>
        <w:t xml:space="preserve"> contain</w:t>
      </w:r>
      <w:r w:rsidR="005A4FC3" w:rsidRPr="00114E16">
        <w:rPr>
          <w:rFonts w:ascii="Times New Roman" w:hAnsi="Times New Roman" w:cs="Times New Roman"/>
          <w:color w:val="000000" w:themeColor="text1"/>
        </w:rPr>
        <w:t>ed</w:t>
      </w:r>
      <w:r w:rsidRPr="00114E16">
        <w:rPr>
          <w:rFonts w:ascii="Times New Roman" w:hAnsi="Times New Roman" w:cs="Times New Roman"/>
          <w:color w:val="000000" w:themeColor="text1"/>
        </w:rPr>
        <w:t xml:space="preserve"> </w:t>
      </w:r>
      <w:r w:rsidR="005A4FC3" w:rsidRPr="00114E16">
        <w:rPr>
          <w:rFonts w:ascii="Times New Roman" w:hAnsi="Times New Roman" w:cs="Times New Roman"/>
          <w:color w:val="000000" w:themeColor="text1"/>
        </w:rPr>
        <w:t xml:space="preserve">one </w:t>
      </w:r>
      <w:r w:rsidRPr="00114E16">
        <w:rPr>
          <w:rFonts w:ascii="Times New Roman" w:hAnsi="Times New Roman" w:cs="Times New Roman"/>
          <w:color w:val="000000" w:themeColor="text1"/>
        </w:rPr>
        <w:t xml:space="preserve">unique cortisol and </w:t>
      </w:r>
      <w:r w:rsidR="005A4FC3" w:rsidRPr="00114E16">
        <w:rPr>
          <w:rFonts w:ascii="Times New Roman" w:hAnsi="Times New Roman" w:cs="Times New Roman"/>
          <w:color w:val="000000" w:themeColor="text1"/>
        </w:rPr>
        <w:t xml:space="preserve">one unique </w:t>
      </w:r>
      <w:r w:rsidRPr="00114E16">
        <w:rPr>
          <w:rFonts w:ascii="Times New Roman" w:hAnsi="Times New Roman" w:cs="Times New Roman"/>
          <w:color w:val="000000" w:themeColor="text1"/>
        </w:rPr>
        <w:t>alpha amylase trajector</w:t>
      </w:r>
      <w:r w:rsidR="005A4FC3" w:rsidRPr="00114E16">
        <w:rPr>
          <w:rFonts w:ascii="Times New Roman" w:hAnsi="Times New Roman" w:cs="Times New Roman"/>
          <w:color w:val="000000" w:themeColor="text1"/>
        </w:rPr>
        <w:t>y</w:t>
      </w:r>
      <w:r w:rsidRPr="00114E16">
        <w:rPr>
          <w:rFonts w:ascii="Times New Roman" w:hAnsi="Times New Roman" w:cs="Times New Roman"/>
          <w:color w:val="000000" w:themeColor="text1"/>
        </w:rPr>
        <w:t xml:space="preserve"> (e.g., high cortisol–low alpha amylase; low cortisol–high alpha amylase). Nonsignificant polynomial estimates from each trajectory equation were then trimmed as before until a </w:t>
      </w:r>
      <w:r w:rsidRPr="00114E16">
        <w:rPr>
          <w:rFonts w:ascii="Times New Roman" w:eastAsia="Times New Roman" w:hAnsi="Times New Roman" w:cs="Times New Roman"/>
          <w:color w:val="000000" w:themeColor="text1"/>
        </w:rPr>
        <w:t xml:space="preserve">solution containing only significant polynomial parameter estimates for each identified </w:t>
      </w:r>
      <w:r w:rsidRPr="00114E16">
        <w:rPr>
          <w:rFonts w:ascii="Times New Roman" w:hAnsi="Times New Roman" w:cs="Times New Roman"/>
          <w:color w:val="000000" w:themeColor="text1"/>
        </w:rPr>
        <w:t>trajectory was obtained. After recording the [2log</w:t>
      </w:r>
      <w:r w:rsidRPr="00114E16">
        <w:rPr>
          <w:rFonts w:ascii="Times New Roman" w:hAnsi="Times New Roman" w:cs="Times New Roman"/>
          <w:color w:val="000000" w:themeColor="text1"/>
          <w:vertAlign w:val="subscript"/>
        </w:rPr>
        <w:t>e</w:t>
      </w:r>
      <w:r w:rsidRPr="00114E16">
        <w:rPr>
          <w:rFonts w:ascii="Times New Roman" w:hAnsi="Times New Roman" w:cs="Times New Roman"/>
          <w:color w:val="000000" w:themeColor="text1"/>
        </w:rPr>
        <w:t>(B</w:t>
      </w:r>
      <w:r w:rsidRPr="00114E16">
        <w:rPr>
          <w:rFonts w:ascii="Times New Roman" w:hAnsi="Times New Roman" w:cs="Times New Roman"/>
          <w:color w:val="000000" w:themeColor="text1"/>
          <w:vertAlign w:val="subscript"/>
        </w:rPr>
        <w:t>10</w:t>
      </w:r>
      <w:r w:rsidRPr="00114E16">
        <w:rPr>
          <w:rFonts w:ascii="Times New Roman" w:hAnsi="Times New Roman" w:cs="Times New Roman"/>
          <w:color w:val="000000" w:themeColor="text1"/>
        </w:rPr>
        <w:t>)] for the new two-profile solution, we compared</w:t>
      </w:r>
      <w:r w:rsidR="005A4FC3" w:rsidRPr="00114E16">
        <w:rPr>
          <w:rFonts w:ascii="Times New Roman" w:hAnsi="Times New Roman" w:cs="Times New Roman"/>
          <w:color w:val="000000" w:themeColor="text1"/>
        </w:rPr>
        <w:t xml:space="preserve"> the</w:t>
      </w:r>
      <w:r w:rsidRPr="00114E16">
        <w:rPr>
          <w:rFonts w:ascii="Times New Roman" w:hAnsi="Times New Roman" w:cs="Times New Roman"/>
          <w:color w:val="000000" w:themeColor="text1"/>
        </w:rPr>
        <w:t xml:space="preserve"> [2log</w:t>
      </w:r>
      <w:r w:rsidRPr="00114E16">
        <w:rPr>
          <w:rFonts w:ascii="Times New Roman" w:hAnsi="Times New Roman" w:cs="Times New Roman"/>
          <w:color w:val="000000" w:themeColor="text1"/>
          <w:vertAlign w:val="subscript"/>
        </w:rPr>
        <w:t>e</w:t>
      </w:r>
      <w:r w:rsidRPr="00114E16">
        <w:rPr>
          <w:rFonts w:ascii="Times New Roman" w:hAnsi="Times New Roman" w:cs="Times New Roman"/>
          <w:color w:val="000000" w:themeColor="text1"/>
        </w:rPr>
        <w:t>(B</w:t>
      </w:r>
      <w:r w:rsidRPr="00114E16">
        <w:rPr>
          <w:rFonts w:ascii="Times New Roman" w:hAnsi="Times New Roman" w:cs="Times New Roman"/>
          <w:color w:val="000000" w:themeColor="text1"/>
          <w:vertAlign w:val="subscript"/>
        </w:rPr>
        <w:t>10</w:t>
      </w:r>
      <w:r w:rsidRPr="00114E16">
        <w:rPr>
          <w:rFonts w:ascii="Times New Roman" w:hAnsi="Times New Roman" w:cs="Times New Roman"/>
          <w:color w:val="000000" w:themeColor="text1"/>
        </w:rPr>
        <w:t>)] obtained from the two-profile solution to the one-profile solution. Values</w:t>
      </w:r>
      <w:r w:rsidR="00CD1090" w:rsidRPr="00114E16">
        <w:rPr>
          <w:rFonts w:ascii="Times New Roman" w:hAnsi="Times New Roman" w:cs="Times New Roman"/>
          <w:color w:val="000000" w:themeColor="text1"/>
        </w:rPr>
        <w:t xml:space="preserve"> equal to or</w:t>
      </w:r>
      <w:r w:rsidRPr="00114E16">
        <w:rPr>
          <w:rFonts w:ascii="Times New Roman" w:hAnsi="Times New Roman" w:cs="Times New Roman"/>
          <w:color w:val="000000" w:themeColor="text1"/>
        </w:rPr>
        <w:t xml:space="preserve"> above ten resulting from this </w:t>
      </w:r>
      <w:r w:rsidR="005A4FC3" w:rsidRPr="00114E16">
        <w:rPr>
          <w:rFonts w:ascii="Times New Roman" w:hAnsi="Times New Roman" w:cs="Times New Roman"/>
          <w:color w:val="000000" w:themeColor="text1"/>
        </w:rPr>
        <w:t>comparison</w:t>
      </w:r>
      <w:r w:rsidRPr="00114E16">
        <w:rPr>
          <w:rFonts w:ascii="Times New Roman" w:hAnsi="Times New Roman" w:cs="Times New Roman"/>
          <w:color w:val="000000" w:themeColor="text1"/>
        </w:rPr>
        <w:t xml:space="preserve"> provide</w:t>
      </w:r>
      <w:r w:rsidR="00CD1090" w:rsidRPr="00114E16">
        <w:rPr>
          <w:rFonts w:ascii="Times New Roman" w:hAnsi="Times New Roman" w:cs="Times New Roman"/>
          <w:color w:val="000000" w:themeColor="text1"/>
        </w:rPr>
        <w:t>d</w:t>
      </w:r>
      <w:r w:rsidRPr="00114E16">
        <w:rPr>
          <w:rFonts w:ascii="Times New Roman" w:hAnsi="Times New Roman" w:cs="Times New Roman"/>
          <w:color w:val="000000" w:themeColor="text1"/>
        </w:rPr>
        <w:t xml:space="preserve"> strong evidence that the more complex solution </w:t>
      </w:r>
      <w:r w:rsidR="00CD1090" w:rsidRPr="00114E16">
        <w:rPr>
          <w:rFonts w:ascii="Times New Roman" w:hAnsi="Times New Roman" w:cs="Times New Roman"/>
          <w:color w:val="000000" w:themeColor="text1"/>
        </w:rPr>
        <w:t>was</w:t>
      </w:r>
      <w:r w:rsidRPr="00114E16">
        <w:rPr>
          <w:rFonts w:ascii="Times New Roman" w:hAnsi="Times New Roman" w:cs="Times New Roman"/>
          <w:color w:val="000000" w:themeColor="text1"/>
        </w:rPr>
        <w:t xml:space="preserve"> a better fit to the data (Nagin, 2005). </w:t>
      </w:r>
      <w:r w:rsidR="005A4FC3" w:rsidRPr="00114E16">
        <w:rPr>
          <w:rFonts w:ascii="Times New Roman" w:hAnsi="Times New Roman" w:cs="Times New Roman"/>
          <w:color w:val="000000" w:themeColor="text1"/>
        </w:rPr>
        <w:t xml:space="preserve">This process was repeated </w:t>
      </w:r>
      <w:r w:rsidR="00CD1090" w:rsidRPr="00114E16">
        <w:rPr>
          <w:rFonts w:ascii="Times New Roman" w:hAnsi="Times New Roman" w:cs="Times New Roman"/>
          <w:color w:val="000000" w:themeColor="text1"/>
        </w:rPr>
        <w:t>when testing</w:t>
      </w:r>
      <w:r w:rsidR="005A4FC3" w:rsidRPr="00114E16">
        <w:rPr>
          <w:rFonts w:ascii="Times New Roman" w:hAnsi="Times New Roman" w:cs="Times New Roman"/>
          <w:color w:val="000000" w:themeColor="text1"/>
        </w:rPr>
        <w:t xml:space="preserve"> more complex three- and four-profile solutions</w:t>
      </w:r>
      <w:r w:rsidR="0026593E" w:rsidRPr="00114E16">
        <w:rPr>
          <w:rFonts w:ascii="Times New Roman" w:hAnsi="Times New Roman" w:cs="Times New Roman"/>
          <w:color w:val="000000" w:themeColor="text1"/>
        </w:rPr>
        <w:t>.</w:t>
      </w:r>
    </w:p>
    <w:p w14:paraId="4DB5E7B0" w14:textId="4D4299A7" w:rsidR="005A4FC3" w:rsidRPr="00114E16" w:rsidRDefault="005A4FC3" w:rsidP="005A4FC3">
      <w:pPr>
        <w:spacing w:line="480" w:lineRule="auto"/>
        <w:ind w:firstLine="720"/>
        <w:rPr>
          <w:rFonts w:ascii="Times New Roman" w:eastAsia="Calibri" w:hAnsi="Times New Roman" w:cs="Times New Roman"/>
          <w:color w:val="000000" w:themeColor="text1"/>
        </w:rPr>
      </w:pPr>
      <w:r w:rsidRPr="00114E16">
        <w:rPr>
          <w:rFonts w:ascii="Times New Roman" w:hAnsi="Times New Roman" w:cs="Times New Roman"/>
          <w:color w:val="000000" w:themeColor="text1"/>
        </w:rPr>
        <w:t>Given our sample size (</w:t>
      </w:r>
      <w:r w:rsidRPr="00114E16">
        <w:rPr>
          <w:rFonts w:ascii="Times New Roman" w:hAnsi="Times New Roman" w:cs="Times New Roman"/>
          <w:i/>
          <w:color w:val="000000" w:themeColor="text1"/>
        </w:rPr>
        <w:t>N</w:t>
      </w:r>
      <w:r w:rsidRPr="00114E16">
        <w:rPr>
          <w:rFonts w:ascii="Times New Roman" w:hAnsi="Times New Roman" w:cs="Times New Roman"/>
          <w:color w:val="000000" w:themeColor="text1"/>
        </w:rPr>
        <w:t xml:space="preserve">=112) and recommendations from PROC TRAJ procedure developers </w:t>
      </w:r>
      <w:r w:rsidRPr="00114E16">
        <w:rPr>
          <w:rFonts w:ascii="Times New Roman" w:hAnsi="Times New Roman" w:cs="Times New Roman"/>
          <w:color w:val="000000" w:themeColor="text1"/>
        </w:rPr>
        <w:fldChar w:fldCharType="begin" w:fldLock="1"/>
      </w:r>
      <w:r w:rsidRPr="00114E16">
        <w:rPr>
          <w:rFonts w:ascii="Times New Roman" w:hAnsi="Times New Roman" w:cs="Times New Roman"/>
          <w:color w:val="000000" w:themeColor="text1"/>
        </w:rPr>
        <w:instrText>ADDIN CSL_CITATION {"citationItems":[{"id":"ITEM-1","itemData":{"ISBN":"9780674016866","author":[{"dropping-particle":"","family":"Nagin","given":"Daniel S.","non-dropping-particle":"","parse-names":false,"suffix":""}],"id":"ITEM-1","issued":{"date-parts":[["2005"]]},"publisher":"Harvard University Press","title":"Group-Based Modeling of Development","type":"book"},"uris":["http://www.mendeley.com/documents/?uuid=97a770aa-d1c0-40d0-a393-61d0fd36477b"]}],"mendeley":{"formattedCitation":"(Nagin, 2005)","manualFormatting":"(N &gt; 100; Nagin, 2005)","plainTextFormattedCitation":"(Nagin, 2005)","previouslyFormattedCitation":"(Nagin, 2005)"},"properties":{"noteIndex":0},"schema":"https://github.com/citation-style-language/schema/raw/master/csl-citation.json"}</w:instrText>
      </w:r>
      <w:r w:rsidRPr="00114E16">
        <w:rPr>
          <w:rFonts w:ascii="Times New Roman" w:hAnsi="Times New Roman" w:cs="Times New Roman"/>
          <w:color w:val="000000" w:themeColor="text1"/>
        </w:rPr>
        <w:fldChar w:fldCharType="separate"/>
      </w:r>
      <w:r w:rsidRPr="00114E16">
        <w:rPr>
          <w:rFonts w:ascii="Times New Roman" w:hAnsi="Times New Roman" w:cs="Times New Roman"/>
          <w:noProof/>
          <w:color w:val="000000" w:themeColor="text1"/>
        </w:rPr>
        <w:t>(</w:t>
      </w:r>
      <w:r w:rsidRPr="00114E16">
        <w:rPr>
          <w:rFonts w:ascii="Times New Roman" w:hAnsi="Times New Roman" w:cs="Times New Roman"/>
          <w:i/>
          <w:noProof/>
          <w:color w:val="000000" w:themeColor="text1"/>
        </w:rPr>
        <w:t xml:space="preserve">N </w:t>
      </w:r>
      <w:r w:rsidRPr="00114E16">
        <w:rPr>
          <w:rFonts w:ascii="Times New Roman" w:hAnsi="Times New Roman" w:cs="Times New Roman"/>
          <w:noProof/>
          <w:color w:val="000000" w:themeColor="text1"/>
        </w:rPr>
        <w:t>&gt; 100; Nagin, 2005)</w:t>
      </w:r>
      <w:r w:rsidRPr="00114E16">
        <w:rPr>
          <w:rFonts w:ascii="Times New Roman" w:hAnsi="Times New Roman" w:cs="Times New Roman"/>
          <w:color w:val="000000" w:themeColor="text1"/>
        </w:rPr>
        <w:fldChar w:fldCharType="end"/>
      </w:r>
      <w:r w:rsidRPr="00114E16">
        <w:rPr>
          <w:rFonts w:ascii="Times New Roman" w:hAnsi="Times New Roman" w:cs="Times New Roman"/>
          <w:color w:val="000000" w:themeColor="text1"/>
        </w:rPr>
        <w:t>, we limited GBTM and MTM model specification to two</w:t>
      </w:r>
      <w:r w:rsidR="0026593E" w:rsidRPr="00114E16">
        <w:rPr>
          <w:rFonts w:ascii="Times New Roman" w:hAnsi="Times New Roman" w:cs="Times New Roman"/>
          <w:color w:val="000000" w:themeColor="text1"/>
        </w:rPr>
        <w:t>-</w:t>
      </w:r>
      <w:r w:rsidRPr="00114E16">
        <w:rPr>
          <w:rFonts w:ascii="Times New Roman" w:hAnsi="Times New Roman" w:cs="Times New Roman"/>
          <w:color w:val="000000" w:themeColor="text1"/>
        </w:rPr>
        <w:t>(see main document for further justification) and four</w:t>
      </w:r>
      <w:r w:rsidR="0026593E" w:rsidRPr="00114E16">
        <w:rPr>
          <w:rFonts w:ascii="Times New Roman" w:hAnsi="Times New Roman" w:cs="Times New Roman"/>
          <w:color w:val="000000" w:themeColor="text1"/>
        </w:rPr>
        <w:t>-</w:t>
      </w:r>
      <w:r w:rsidRPr="00114E16">
        <w:rPr>
          <w:rFonts w:ascii="Times New Roman" w:hAnsi="Times New Roman" w:cs="Times New Roman"/>
          <w:color w:val="000000" w:themeColor="text1"/>
        </w:rPr>
        <w:t>profile</w:t>
      </w:r>
      <w:r w:rsidR="0026593E" w:rsidRPr="00114E16">
        <w:rPr>
          <w:rFonts w:ascii="Times New Roman" w:hAnsi="Times New Roman" w:cs="Times New Roman"/>
          <w:color w:val="000000" w:themeColor="text1"/>
        </w:rPr>
        <w:t xml:space="preserve"> solutions</w:t>
      </w:r>
      <w:r w:rsidRPr="00114E16">
        <w:rPr>
          <w:rFonts w:ascii="Times New Roman" w:hAnsi="Times New Roman" w:cs="Times New Roman"/>
          <w:color w:val="000000" w:themeColor="text1"/>
        </w:rPr>
        <w:t xml:space="preserve">, respectively. </w:t>
      </w:r>
      <w:r w:rsidR="0026593E" w:rsidRPr="00114E16">
        <w:rPr>
          <w:rFonts w:ascii="Times New Roman" w:hAnsi="Times New Roman" w:cs="Times New Roman"/>
          <w:color w:val="000000" w:themeColor="text1"/>
        </w:rPr>
        <w:t xml:space="preserve">After the final GBTM and MTM models were </w:t>
      </w:r>
      <w:r w:rsidRPr="00114E16">
        <w:rPr>
          <w:rFonts w:ascii="Times New Roman" w:hAnsi="Times New Roman" w:cs="Times New Roman"/>
          <w:color w:val="000000" w:themeColor="text1"/>
        </w:rPr>
        <w:t>specifi</w:t>
      </w:r>
      <w:r w:rsidR="0026593E" w:rsidRPr="00114E16">
        <w:rPr>
          <w:rFonts w:ascii="Times New Roman" w:hAnsi="Times New Roman" w:cs="Times New Roman"/>
          <w:color w:val="000000" w:themeColor="text1"/>
        </w:rPr>
        <w:t>ed</w:t>
      </w:r>
      <w:r w:rsidRPr="00114E16">
        <w:rPr>
          <w:rFonts w:ascii="Times New Roman" w:hAnsi="Times New Roman" w:cs="Times New Roman"/>
          <w:color w:val="000000" w:themeColor="text1"/>
        </w:rPr>
        <w:t>, we utilized average posterior probability (</w:t>
      </w:r>
      <w:proofErr w:type="spellStart"/>
      <w:r w:rsidRPr="00114E16">
        <w:rPr>
          <w:rFonts w:ascii="Times New Roman" w:hAnsi="Times New Roman" w:cs="Times New Roman"/>
          <w:i/>
          <w:color w:val="000000" w:themeColor="text1"/>
        </w:rPr>
        <w:t>AvePP</w:t>
      </w:r>
      <w:r w:rsidRPr="00114E16">
        <w:rPr>
          <w:rFonts w:ascii="Times New Roman" w:hAnsi="Times New Roman" w:cs="Times New Roman"/>
          <w:i/>
          <w:color w:val="000000" w:themeColor="text1"/>
          <w:vertAlign w:val="subscript"/>
        </w:rPr>
        <w:t>j</w:t>
      </w:r>
      <w:proofErr w:type="spellEnd"/>
      <w:r w:rsidRPr="00114E16">
        <w:rPr>
          <w:rFonts w:ascii="Times New Roman" w:hAnsi="Times New Roman" w:cs="Times New Roman"/>
          <w:i/>
          <w:color w:val="000000" w:themeColor="text1"/>
          <w:vertAlign w:val="subscript"/>
        </w:rPr>
        <w:t xml:space="preserve"> </w:t>
      </w:r>
      <w:r w:rsidRPr="00114E16">
        <w:rPr>
          <w:rFonts w:ascii="Times New Roman" w:hAnsi="Times New Roman" w:cs="Times New Roman"/>
          <w:color w:val="000000" w:themeColor="text1"/>
        </w:rPr>
        <w:t>&gt; 0.70), odds of correct classification (</w:t>
      </w:r>
      <w:proofErr w:type="spellStart"/>
      <w:r w:rsidRPr="00114E16">
        <w:rPr>
          <w:rFonts w:ascii="Times New Roman" w:hAnsi="Times New Roman" w:cs="Times New Roman"/>
          <w:i/>
          <w:color w:val="000000" w:themeColor="text1"/>
        </w:rPr>
        <w:t>OCC</w:t>
      </w:r>
      <w:r w:rsidRPr="00114E16">
        <w:rPr>
          <w:rFonts w:ascii="Times New Roman" w:hAnsi="Times New Roman" w:cs="Times New Roman"/>
          <w:i/>
          <w:color w:val="000000" w:themeColor="text1"/>
          <w:vertAlign w:val="subscript"/>
        </w:rPr>
        <w:t>j</w:t>
      </w:r>
      <w:proofErr w:type="spellEnd"/>
      <w:r w:rsidRPr="00114E16">
        <w:rPr>
          <w:rFonts w:ascii="Times New Roman" w:hAnsi="Times New Roman" w:cs="Times New Roman"/>
          <w:i/>
          <w:color w:val="000000" w:themeColor="text1"/>
          <w:vertAlign w:val="subscript"/>
        </w:rPr>
        <w:t xml:space="preserve"> </w:t>
      </w:r>
      <w:r w:rsidRPr="00114E16">
        <w:rPr>
          <w:rFonts w:ascii="Times New Roman" w:hAnsi="Times New Roman" w:cs="Times New Roman"/>
          <w:color w:val="000000" w:themeColor="text1"/>
        </w:rPr>
        <w:t>&gt; 5.00), and ratio of the probability of subgroup assignment to the proportion of adolescents assigned to subgroups ([</w:t>
      </w:r>
      <w:proofErr w:type="spellStart"/>
      <w:r w:rsidRPr="00114E16">
        <w:rPr>
          <w:rFonts w:ascii="Times New Roman" w:hAnsi="Times New Roman" w:cs="Times New Roman"/>
          <w:i/>
          <w:color w:val="000000" w:themeColor="text1"/>
        </w:rPr>
        <w:t>Prob</w:t>
      </w:r>
      <w:r w:rsidRPr="00114E16">
        <w:rPr>
          <w:rFonts w:ascii="Times New Roman" w:hAnsi="Times New Roman" w:cs="Times New Roman"/>
          <w:i/>
          <w:color w:val="000000" w:themeColor="text1"/>
          <w:vertAlign w:val="subscript"/>
        </w:rPr>
        <w:t>j</w:t>
      </w:r>
      <w:proofErr w:type="spellEnd"/>
      <w:r w:rsidRPr="00114E16">
        <w:rPr>
          <w:rFonts w:ascii="Times New Roman" w:hAnsi="Times New Roman" w:cs="Times New Roman"/>
          <w:color w:val="000000" w:themeColor="text1"/>
        </w:rPr>
        <w:t>/</w:t>
      </w:r>
      <w:proofErr w:type="spellStart"/>
      <w:r w:rsidRPr="00114E16">
        <w:rPr>
          <w:rFonts w:ascii="Times New Roman" w:hAnsi="Times New Roman" w:cs="Times New Roman"/>
          <w:i/>
          <w:color w:val="000000" w:themeColor="text1"/>
        </w:rPr>
        <w:t>Prop</w:t>
      </w:r>
      <w:r w:rsidRPr="00114E16">
        <w:rPr>
          <w:rFonts w:ascii="Times New Roman" w:hAnsi="Times New Roman" w:cs="Times New Roman"/>
          <w:i/>
          <w:color w:val="000000" w:themeColor="text1"/>
          <w:vertAlign w:val="subscript"/>
        </w:rPr>
        <w:t>j</w:t>
      </w:r>
      <w:proofErr w:type="spellEnd"/>
      <w:r w:rsidRPr="00114E16">
        <w:rPr>
          <w:rFonts w:ascii="Times New Roman" w:hAnsi="Times New Roman" w:cs="Times New Roman"/>
          <w:color w:val="000000" w:themeColor="text1"/>
        </w:rPr>
        <w:t>] ≈ 1) as statistical guideposts for evaluating the overall adequacy of the final models. After adequacy evaluation, Wald tests comparing different aspects of the identified trajectories (e.g., intercepts, polynomial estimates) were used to distinguish the profiles</w:t>
      </w:r>
      <w:r w:rsidR="00CD1090" w:rsidRPr="00114E16">
        <w:rPr>
          <w:rFonts w:ascii="Times New Roman" w:hAnsi="Times New Roman" w:cs="Times New Roman"/>
          <w:color w:val="000000" w:themeColor="text1"/>
        </w:rPr>
        <w:t>.</w:t>
      </w:r>
      <w:r w:rsidRPr="00114E16">
        <w:rPr>
          <w:rFonts w:ascii="Times New Roman" w:hAnsi="Times New Roman" w:cs="Times New Roman"/>
          <w:color w:val="000000" w:themeColor="text1"/>
        </w:rPr>
        <w:t xml:space="preserve"> At times, GBTM trajectory distinction analyses can reveal two profiles’ trajectories to be </w:t>
      </w:r>
      <w:r w:rsidR="0026593E" w:rsidRPr="00114E16">
        <w:rPr>
          <w:rFonts w:ascii="Times New Roman" w:hAnsi="Times New Roman" w:cs="Times New Roman"/>
          <w:color w:val="000000" w:themeColor="text1"/>
        </w:rPr>
        <w:t>non-significantly different</w:t>
      </w:r>
      <w:r w:rsidRPr="00114E16">
        <w:rPr>
          <w:rFonts w:ascii="Times New Roman" w:hAnsi="Times New Roman" w:cs="Times New Roman"/>
          <w:color w:val="000000" w:themeColor="text1"/>
        </w:rPr>
        <w:t xml:space="preserve"> in some </w:t>
      </w:r>
      <w:proofErr w:type="gramStart"/>
      <w:r w:rsidRPr="00114E16">
        <w:rPr>
          <w:rFonts w:ascii="Times New Roman" w:hAnsi="Times New Roman" w:cs="Times New Roman"/>
          <w:color w:val="000000" w:themeColor="text1"/>
        </w:rPr>
        <w:t>aspects</w:t>
      </w:r>
      <w:proofErr w:type="gramEnd"/>
      <w:r w:rsidRPr="00114E16">
        <w:rPr>
          <w:rFonts w:ascii="Times New Roman" w:hAnsi="Times New Roman" w:cs="Times New Roman"/>
          <w:color w:val="000000" w:themeColor="text1"/>
        </w:rPr>
        <w:t xml:space="preserve"> (e.g., baseline) and </w:t>
      </w:r>
      <w:r w:rsidR="0026593E" w:rsidRPr="00114E16">
        <w:rPr>
          <w:rFonts w:ascii="Times New Roman" w:hAnsi="Times New Roman" w:cs="Times New Roman"/>
          <w:color w:val="000000" w:themeColor="text1"/>
        </w:rPr>
        <w:t>significantly different</w:t>
      </w:r>
      <w:r w:rsidRPr="00114E16">
        <w:rPr>
          <w:rFonts w:ascii="Times New Roman" w:hAnsi="Times New Roman" w:cs="Times New Roman"/>
          <w:color w:val="000000" w:themeColor="text1"/>
        </w:rPr>
        <w:t xml:space="preserve"> in others (e.g., reactivity). </w:t>
      </w:r>
      <w:proofErr w:type="gramStart"/>
      <w:r w:rsidRPr="00114E16">
        <w:rPr>
          <w:rFonts w:ascii="Times New Roman" w:hAnsi="Times New Roman" w:cs="Times New Roman"/>
          <w:color w:val="000000" w:themeColor="text1"/>
        </w:rPr>
        <w:t>If and when</w:t>
      </w:r>
      <w:proofErr w:type="gramEnd"/>
      <w:r w:rsidRPr="00114E16">
        <w:rPr>
          <w:rFonts w:ascii="Times New Roman" w:hAnsi="Times New Roman" w:cs="Times New Roman"/>
          <w:color w:val="000000" w:themeColor="text1"/>
        </w:rPr>
        <w:t xml:space="preserve"> this occurred, we relied on the differing aspect to label </w:t>
      </w:r>
      <w:r w:rsidR="0026593E" w:rsidRPr="00114E16">
        <w:rPr>
          <w:rFonts w:ascii="Times New Roman" w:hAnsi="Times New Roman" w:cs="Times New Roman"/>
          <w:color w:val="000000" w:themeColor="text1"/>
        </w:rPr>
        <w:t>our GBTM</w:t>
      </w:r>
      <w:r w:rsidRPr="00114E16">
        <w:rPr>
          <w:rFonts w:ascii="Times New Roman" w:hAnsi="Times New Roman" w:cs="Times New Roman"/>
          <w:color w:val="000000" w:themeColor="text1"/>
        </w:rPr>
        <w:t xml:space="preserve"> profiles. </w:t>
      </w:r>
    </w:p>
    <w:p w14:paraId="31BB36AF" w14:textId="38330CAE" w:rsidR="0026593E" w:rsidRPr="00114E16" w:rsidRDefault="0026593E" w:rsidP="0026593E">
      <w:pPr>
        <w:spacing w:line="480" w:lineRule="auto"/>
        <w:rPr>
          <w:rFonts w:ascii="Times New Roman" w:hAnsi="Times New Roman" w:cs="Times New Roman"/>
          <w:b/>
          <w:iCs/>
          <w:color w:val="000000" w:themeColor="text1"/>
        </w:rPr>
      </w:pPr>
      <w:r w:rsidRPr="00114E16">
        <w:rPr>
          <w:rFonts w:ascii="Times New Roman" w:hAnsi="Times New Roman" w:cs="Times New Roman"/>
          <w:b/>
          <w:iCs/>
          <w:color w:val="000000" w:themeColor="text1"/>
        </w:rPr>
        <w:lastRenderedPageBreak/>
        <w:t>Results</w:t>
      </w:r>
    </w:p>
    <w:p w14:paraId="6A316662" w14:textId="197A45AE" w:rsidR="0026593E" w:rsidRPr="00114E16" w:rsidRDefault="0026593E" w:rsidP="0026593E">
      <w:pPr>
        <w:spacing w:line="480" w:lineRule="auto"/>
        <w:rPr>
          <w:rFonts w:ascii="Times New Roman" w:hAnsi="Times New Roman" w:cs="Times New Roman"/>
          <w:b/>
          <w:i/>
          <w:color w:val="000000" w:themeColor="text1"/>
        </w:rPr>
      </w:pPr>
      <w:r w:rsidRPr="00114E16">
        <w:rPr>
          <w:rFonts w:ascii="Times New Roman" w:hAnsi="Times New Roman" w:cs="Times New Roman"/>
          <w:b/>
          <w:i/>
          <w:color w:val="000000" w:themeColor="text1"/>
        </w:rPr>
        <w:t xml:space="preserve">Profiles of Pretest HPA–SAM Co-Activation </w:t>
      </w:r>
    </w:p>
    <w:p w14:paraId="0431A2D5" w14:textId="47CED098" w:rsidR="0026593E" w:rsidRPr="00114E16" w:rsidRDefault="0026593E" w:rsidP="0026593E">
      <w:pPr>
        <w:spacing w:line="480" w:lineRule="auto"/>
        <w:ind w:firstLine="720"/>
        <w:rPr>
          <w:rFonts w:ascii="Times New Roman" w:hAnsi="Times New Roman" w:cs="Times New Roman"/>
          <w:color w:val="000000" w:themeColor="text1"/>
        </w:rPr>
      </w:pPr>
      <w:r w:rsidRPr="00114E16">
        <w:rPr>
          <w:rFonts w:ascii="Times New Roman" w:hAnsi="Times New Roman" w:cs="Times New Roman"/>
          <w:color w:val="000000" w:themeColor="text1"/>
        </w:rPr>
        <w:t>Table S1 displays parameter estimates, adequacy indices, and trajectory distinction analysis results (i.e., differing subscripts) for our MTM analysis of pretest cortisol and alpha-amylase levels. As expected, results obtained from MTM specification supported a four-profile solution (Figure S1): two- to one-profile comparison [2log</w:t>
      </w:r>
      <w:r w:rsidRPr="00114E16">
        <w:rPr>
          <w:rFonts w:ascii="Times New Roman" w:hAnsi="Times New Roman" w:cs="Times New Roman"/>
          <w:color w:val="000000" w:themeColor="text1"/>
          <w:vertAlign w:val="subscript"/>
        </w:rPr>
        <w:t>e</w:t>
      </w:r>
      <w:r w:rsidRPr="00114E16">
        <w:rPr>
          <w:rFonts w:ascii="Times New Roman" w:hAnsi="Times New Roman" w:cs="Times New Roman"/>
          <w:color w:val="000000" w:themeColor="text1"/>
        </w:rPr>
        <w:t>(B</w:t>
      </w:r>
      <w:proofErr w:type="gramStart"/>
      <w:r w:rsidRPr="00114E16">
        <w:rPr>
          <w:rFonts w:ascii="Times New Roman" w:hAnsi="Times New Roman" w:cs="Times New Roman"/>
          <w:color w:val="000000" w:themeColor="text1"/>
          <w:vertAlign w:val="subscript"/>
        </w:rPr>
        <w:t>10</w:t>
      </w:r>
      <w:r w:rsidRPr="00114E16">
        <w:rPr>
          <w:rFonts w:ascii="Times New Roman" w:hAnsi="Times New Roman" w:cs="Times New Roman"/>
          <w:color w:val="000000" w:themeColor="text1"/>
        </w:rPr>
        <w:t>)=</w:t>
      </w:r>
      <w:proofErr w:type="gramEnd"/>
      <w:r w:rsidRPr="00114E16">
        <w:rPr>
          <w:rFonts w:ascii="Times New Roman" w:hAnsi="Times New Roman" w:cs="Times New Roman"/>
          <w:color w:val="000000" w:themeColor="text1"/>
        </w:rPr>
        <w:t>319.68], three- to two-profile comparison [2log</w:t>
      </w:r>
      <w:r w:rsidRPr="00114E16">
        <w:rPr>
          <w:rFonts w:ascii="Times New Roman" w:hAnsi="Times New Roman" w:cs="Times New Roman"/>
          <w:color w:val="000000" w:themeColor="text1"/>
          <w:vertAlign w:val="subscript"/>
        </w:rPr>
        <w:t>e</w:t>
      </w:r>
      <w:r w:rsidRPr="00114E16">
        <w:rPr>
          <w:rFonts w:ascii="Times New Roman" w:hAnsi="Times New Roman" w:cs="Times New Roman"/>
          <w:color w:val="000000" w:themeColor="text1"/>
        </w:rPr>
        <w:t>(B</w:t>
      </w:r>
      <w:r w:rsidRPr="00114E16">
        <w:rPr>
          <w:rFonts w:ascii="Times New Roman" w:hAnsi="Times New Roman" w:cs="Times New Roman"/>
          <w:color w:val="000000" w:themeColor="text1"/>
          <w:vertAlign w:val="subscript"/>
        </w:rPr>
        <w:t>10</w:t>
      </w:r>
      <w:r w:rsidRPr="00114E16">
        <w:rPr>
          <w:rFonts w:ascii="Times New Roman" w:hAnsi="Times New Roman" w:cs="Times New Roman"/>
          <w:color w:val="000000" w:themeColor="text1"/>
        </w:rPr>
        <w:t>)=250.38], four- to three-profile comparison [2log</w:t>
      </w:r>
      <w:r w:rsidRPr="00114E16">
        <w:rPr>
          <w:rFonts w:ascii="Times New Roman" w:hAnsi="Times New Roman" w:cs="Times New Roman"/>
          <w:color w:val="000000" w:themeColor="text1"/>
          <w:vertAlign w:val="subscript"/>
        </w:rPr>
        <w:t>e</w:t>
      </w:r>
      <w:r w:rsidRPr="00114E16">
        <w:rPr>
          <w:rFonts w:ascii="Times New Roman" w:hAnsi="Times New Roman" w:cs="Times New Roman"/>
          <w:color w:val="000000" w:themeColor="text1"/>
        </w:rPr>
        <w:t>(B</w:t>
      </w:r>
      <w:r w:rsidRPr="00114E16">
        <w:rPr>
          <w:rFonts w:ascii="Times New Roman" w:hAnsi="Times New Roman" w:cs="Times New Roman"/>
          <w:color w:val="000000" w:themeColor="text1"/>
          <w:vertAlign w:val="subscript"/>
        </w:rPr>
        <w:t>10</w:t>
      </w:r>
      <w:r w:rsidRPr="00114E16">
        <w:rPr>
          <w:rFonts w:ascii="Times New Roman" w:hAnsi="Times New Roman" w:cs="Times New Roman"/>
          <w:color w:val="000000" w:themeColor="text1"/>
        </w:rPr>
        <w:t xml:space="preserve">)=64.96]. As per </w:t>
      </w:r>
      <w:r w:rsidRPr="00114E16">
        <w:rPr>
          <w:rFonts w:ascii="Times New Roman" w:hAnsi="Times New Roman" w:cs="Times New Roman"/>
          <w:color w:val="000000" w:themeColor="text1"/>
        </w:rPr>
        <w:fldChar w:fldCharType="begin" w:fldLock="1"/>
      </w:r>
      <w:r w:rsidRPr="00114E16">
        <w:rPr>
          <w:rFonts w:ascii="Times New Roman" w:hAnsi="Times New Roman" w:cs="Times New Roman"/>
          <w:color w:val="000000" w:themeColor="text1"/>
        </w:rPr>
        <w:instrText>ADDIN CSL_CITATION {"citationItems":[{"id":"ITEM-1","itemData":{"ISBN":"9780674016866","author":[{"dropping-particle":"","family":"Nagin","given":"Daniel S.","non-dropping-particle":"","parse-names":false,"suffix":""}],"id":"ITEM-1","issued":{"date-parts":[["2005"]]},"publisher":"Harvard University Press","title":"Group-Based Modeling of Development","type":"book"},"uris":["http://www.mendeley.com/documents/?uuid=97a770aa-d1c0-40d0-a393-61d0fd36477b"]}],"mendeley":{"formattedCitation":"(Nagin, 2005)","manualFormatting":"Nagin (2005)","plainTextFormattedCitation":"(Nagin, 2005)","previouslyFormattedCitation":"(Nagin, 2005)"},"properties":{"noteIndex":0},"schema":"https://github.com/citation-style-language/schema/raw/master/csl-citation.json"}</w:instrText>
      </w:r>
      <w:r w:rsidRPr="00114E16">
        <w:rPr>
          <w:rFonts w:ascii="Times New Roman" w:hAnsi="Times New Roman" w:cs="Times New Roman"/>
          <w:color w:val="000000" w:themeColor="text1"/>
        </w:rPr>
        <w:fldChar w:fldCharType="separate"/>
      </w:r>
      <w:r w:rsidRPr="00114E16">
        <w:rPr>
          <w:rFonts w:ascii="Times New Roman" w:hAnsi="Times New Roman" w:cs="Times New Roman"/>
          <w:noProof/>
          <w:color w:val="000000" w:themeColor="text1"/>
        </w:rPr>
        <w:t>Nagin (2005)</w:t>
      </w:r>
      <w:r w:rsidRPr="00114E16">
        <w:rPr>
          <w:rFonts w:ascii="Times New Roman" w:hAnsi="Times New Roman" w:cs="Times New Roman"/>
          <w:color w:val="000000" w:themeColor="text1"/>
        </w:rPr>
        <w:fldChar w:fldCharType="end"/>
      </w:r>
      <w:r w:rsidRPr="00114E16">
        <w:rPr>
          <w:rFonts w:ascii="Times New Roman" w:hAnsi="Times New Roman" w:cs="Times New Roman"/>
          <w:color w:val="000000" w:themeColor="text1"/>
        </w:rPr>
        <w:t xml:space="preserve">, a systematic examination of model adequacy indices suggested that the final four-profile solution fit the data well. Our trajectory distinction analyses revealed significant differences that helped characterize the profiles and went on to inform our labeling conventions (Table S1). </w:t>
      </w:r>
      <w:r w:rsidR="004956B1" w:rsidRPr="00114E16">
        <w:rPr>
          <w:rFonts w:ascii="Times New Roman" w:hAnsi="Times New Roman" w:cs="Times New Roman"/>
          <w:color w:val="000000" w:themeColor="text1"/>
        </w:rPr>
        <w:t>T</w:t>
      </w:r>
      <w:r w:rsidRPr="00114E16">
        <w:rPr>
          <w:rFonts w:ascii="Times New Roman" w:hAnsi="Times New Roman" w:cs="Times New Roman"/>
          <w:color w:val="000000" w:themeColor="text1"/>
        </w:rPr>
        <w:t>wo profiles emerged whose HPA-SAM trajectories reflected symmetric co-activation patterns. The Symmetrical HPA–SAM Co-activation No. 1 profile (</w:t>
      </w:r>
      <w:r w:rsidRPr="00114E16">
        <w:rPr>
          <w:rFonts w:ascii="Times New Roman" w:hAnsi="Times New Roman" w:cs="Times New Roman"/>
          <w:i/>
          <w:color w:val="000000" w:themeColor="text1"/>
        </w:rPr>
        <w:t>n</w:t>
      </w:r>
      <w:r w:rsidRPr="00114E16">
        <w:rPr>
          <w:rFonts w:ascii="Times New Roman" w:hAnsi="Times New Roman" w:cs="Times New Roman"/>
          <w:color w:val="000000" w:themeColor="text1"/>
        </w:rPr>
        <w:t>=24) displayed trajectories characterized by the lowest cortisol baseline levels in the sample and lack of cortisol reactivity (i.e., linear declining slope). This profile also displayed relatively low alpha-amylase baseline levels and less pronounced alpha-amylase reactivity (i.e., quartic slope). The Symmetrical HPA–SAM Co-activation No. 2 (</w:t>
      </w:r>
      <w:r w:rsidRPr="00114E16">
        <w:rPr>
          <w:rFonts w:ascii="Times New Roman" w:hAnsi="Times New Roman" w:cs="Times New Roman"/>
          <w:i/>
          <w:color w:val="000000" w:themeColor="text1"/>
        </w:rPr>
        <w:t>n</w:t>
      </w:r>
      <w:r w:rsidRPr="00114E16">
        <w:rPr>
          <w:rFonts w:ascii="Times New Roman" w:hAnsi="Times New Roman" w:cs="Times New Roman"/>
          <w:color w:val="000000" w:themeColor="text1"/>
        </w:rPr>
        <w:t xml:space="preserve">=12) profile displayed trajectories characterized by the relatively highest cortisol baseline levels in the sample and relatively more pronounced cortisol reactivity (i.e., quadratic slope). This profile also displayed relatively high alpha-amylase baseline levels and more pronounced alpha-amylase reactivity (i.e., quartic slope). </w:t>
      </w:r>
      <w:r w:rsidR="004956B1" w:rsidRPr="00114E16">
        <w:rPr>
          <w:rFonts w:ascii="Times New Roman" w:hAnsi="Times New Roman" w:cs="Times New Roman"/>
          <w:color w:val="000000" w:themeColor="text1"/>
        </w:rPr>
        <w:t>T</w:t>
      </w:r>
      <w:r w:rsidRPr="00114E16">
        <w:rPr>
          <w:rFonts w:ascii="Times New Roman" w:hAnsi="Times New Roman" w:cs="Times New Roman"/>
          <w:color w:val="000000" w:themeColor="text1"/>
        </w:rPr>
        <w:t>wo profiles emerged whose HPA-SAM trajectories reflected asymmetric co-activation patterns. The Asymmetrical HPA–SAM Co-activation No. 1 (</w:t>
      </w:r>
      <w:r w:rsidRPr="00114E16">
        <w:rPr>
          <w:rFonts w:ascii="Times New Roman" w:hAnsi="Times New Roman" w:cs="Times New Roman"/>
          <w:i/>
          <w:color w:val="000000" w:themeColor="text1"/>
        </w:rPr>
        <w:t>n</w:t>
      </w:r>
      <w:r w:rsidRPr="00114E16">
        <w:rPr>
          <w:rFonts w:ascii="Times New Roman" w:hAnsi="Times New Roman" w:cs="Times New Roman"/>
          <w:color w:val="000000" w:themeColor="text1"/>
        </w:rPr>
        <w:t xml:space="preserve">=30) profile displayed trajectories characterized by relatively low cortisol baseline levels, but also pronounced cortisol reactivity (i.e., quadratic slope). This profile also displayed relatively low alpha-amylase baseline levels and less </w:t>
      </w:r>
      <w:r w:rsidRPr="00114E16">
        <w:rPr>
          <w:rFonts w:ascii="Times New Roman" w:hAnsi="Times New Roman" w:cs="Times New Roman"/>
          <w:color w:val="000000" w:themeColor="text1"/>
        </w:rPr>
        <w:lastRenderedPageBreak/>
        <w:t>pronounced alpha-amylase reactivity (i.e., cubic slope).  The Asymmetrical HPA–SAM Co-activation No. 2 (</w:t>
      </w:r>
      <w:r w:rsidRPr="00114E16">
        <w:rPr>
          <w:rFonts w:ascii="Times New Roman" w:hAnsi="Times New Roman" w:cs="Times New Roman"/>
          <w:i/>
          <w:color w:val="000000" w:themeColor="text1"/>
        </w:rPr>
        <w:t>n</w:t>
      </w:r>
      <w:r w:rsidRPr="00114E16">
        <w:rPr>
          <w:rFonts w:ascii="Times New Roman" w:hAnsi="Times New Roman" w:cs="Times New Roman"/>
          <w:color w:val="000000" w:themeColor="text1"/>
        </w:rPr>
        <w:t>=46) profile displayed trajectories characterized by relatively low cortisol baseline levels and lack of cortisol reactivity (i.e., linear declining slope). This profile also displayed the relatively highest alpha-amylase baseline levels in the sample and more pronounced alpha-amylase reactivity (i.e., quartic slope).</w:t>
      </w:r>
    </w:p>
    <w:p w14:paraId="7F408810" w14:textId="77777777" w:rsidR="0026593E" w:rsidRPr="00114E16" w:rsidRDefault="0026593E" w:rsidP="0026593E">
      <w:pPr>
        <w:autoSpaceDE w:val="0"/>
        <w:autoSpaceDN w:val="0"/>
        <w:adjustRightInd w:val="0"/>
        <w:spacing w:line="480" w:lineRule="auto"/>
        <w:rPr>
          <w:rFonts w:ascii="Times New Roman" w:hAnsi="Times New Roman" w:cs="Times New Roman"/>
          <w:b/>
          <w:i/>
          <w:iCs/>
          <w:color w:val="000000" w:themeColor="text1"/>
        </w:rPr>
      </w:pPr>
      <w:r w:rsidRPr="00114E16">
        <w:rPr>
          <w:rFonts w:ascii="Times New Roman" w:hAnsi="Times New Roman" w:cs="Times New Roman"/>
          <w:b/>
          <w:i/>
          <w:iCs/>
          <w:color w:val="000000" w:themeColor="text1"/>
        </w:rPr>
        <w:t xml:space="preserve">Correlates of Pretest HPA–SAM Co-Activation Profile Membership </w:t>
      </w:r>
    </w:p>
    <w:p w14:paraId="69B0C0FA" w14:textId="3AABAC32" w:rsidR="0026593E" w:rsidRPr="00114E16" w:rsidRDefault="0026593E" w:rsidP="0026593E">
      <w:pPr>
        <w:pStyle w:val="Default"/>
        <w:spacing w:line="480" w:lineRule="auto"/>
        <w:ind w:firstLine="720"/>
        <w:rPr>
          <w:b/>
          <w:i/>
          <w:iCs/>
          <w:color w:val="000000" w:themeColor="text1"/>
        </w:rPr>
      </w:pPr>
      <w:r w:rsidRPr="00114E16">
        <w:rPr>
          <w:color w:val="000000" w:themeColor="text1"/>
        </w:rPr>
        <w:t>There were no significant differences among the four HPA–SAM Co-activation profiles with respect to our primary (youth age, sex) and secondary variables (cohort, pubertal status, medication use, saliva sample timing: child age (</w:t>
      </w:r>
      <w:r w:rsidRPr="00114E16">
        <w:rPr>
          <w:i/>
          <w:color w:val="000000" w:themeColor="text1"/>
        </w:rPr>
        <w:t>F</w:t>
      </w:r>
      <w:r w:rsidRPr="00114E16">
        <w:rPr>
          <w:color w:val="000000" w:themeColor="text1"/>
        </w:rPr>
        <w:t xml:space="preserve">(3,99)=0.85, </w:t>
      </w:r>
      <w:r w:rsidRPr="00114E16">
        <w:rPr>
          <w:i/>
          <w:color w:val="000000" w:themeColor="text1"/>
        </w:rPr>
        <w:t>p</w:t>
      </w:r>
      <w:r w:rsidRPr="00114E16">
        <w:rPr>
          <w:color w:val="000000" w:themeColor="text1"/>
        </w:rPr>
        <w:t>&gt;.25), sex (χ</w:t>
      </w:r>
      <w:r w:rsidRPr="00114E16">
        <w:rPr>
          <w:color w:val="000000" w:themeColor="text1"/>
          <w:vertAlign w:val="superscript"/>
        </w:rPr>
        <w:t>2</w:t>
      </w:r>
      <w:r w:rsidRPr="00114E16">
        <w:rPr>
          <w:color w:val="000000" w:themeColor="text1"/>
        </w:rPr>
        <w:t xml:space="preserve">(3)=1.51, </w:t>
      </w:r>
      <w:r w:rsidRPr="00114E16">
        <w:rPr>
          <w:i/>
          <w:color w:val="000000" w:themeColor="text1"/>
        </w:rPr>
        <w:t>p</w:t>
      </w:r>
      <w:r w:rsidRPr="00114E16">
        <w:rPr>
          <w:color w:val="000000" w:themeColor="text1"/>
        </w:rPr>
        <w:t>&gt;.25), cohort (χ</w:t>
      </w:r>
      <w:r w:rsidRPr="00114E16">
        <w:rPr>
          <w:color w:val="000000" w:themeColor="text1"/>
          <w:vertAlign w:val="superscript"/>
        </w:rPr>
        <w:t>2</w:t>
      </w:r>
      <w:r w:rsidRPr="00114E16">
        <w:rPr>
          <w:color w:val="000000" w:themeColor="text1"/>
        </w:rPr>
        <w:t xml:space="preserve">(3)=5.30, </w:t>
      </w:r>
      <w:r w:rsidRPr="00114E16">
        <w:rPr>
          <w:i/>
          <w:color w:val="000000" w:themeColor="text1"/>
        </w:rPr>
        <w:t>p</w:t>
      </w:r>
      <w:r w:rsidRPr="00114E16">
        <w:rPr>
          <w:color w:val="000000" w:themeColor="text1"/>
        </w:rPr>
        <w:t>=.15), pubertal status (</w:t>
      </w:r>
      <w:r w:rsidRPr="00114E16">
        <w:rPr>
          <w:i/>
          <w:color w:val="000000" w:themeColor="text1"/>
        </w:rPr>
        <w:t>F</w:t>
      </w:r>
      <w:r w:rsidRPr="00114E16">
        <w:rPr>
          <w:color w:val="000000" w:themeColor="text1"/>
        </w:rPr>
        <w:t xml:space="preserve">(3,89)=0.39, </w:t>
      </w:r>
      <w:r w:rsidRPr="00114E16">
        <w:rPr>
          <w:i/>
          <w:color w:val="000000" w:themeColor="text1"/>
        </w:rPr>
        <w:t>p</w:t>
      </w:r>
      <w:r w:rsidRPr="00114E16">
        <w:rPr>
          <w:color w:val="000000" w:themeColor="text1"/>
        </w:rPr>
        <w:t>&gt;.25), medication use (χ</w:t>
      </w:r>
      <w:r w:rsidRPr="00114E16">
        <w:rPr>
          <w:color w:val="000000" w:themeColor="text1"/>
          <w:vertAlign w:val="superscript"/>
        </w:rPr>
        <w:t>2</w:t>
      </w:r>
      <w:r w:rsidRPr="00114E16">
        <w:rPr>
          <w:color w:val="000000" w:themeColor="text1"/>
        </w:rPr>
        <w:t xml:space="preserve">(3)=1.51, </w:t>
      </w:r>
      <w:r w:rsidRPr="00114E16">
        <w:rPr>
          <w:i/>
          <w:color w:val="000000" w:themeColor="text1"/>
        </w:rPr>
        <w:t>p</w:t>
      </w:r>
      <w:r w:rsidRPr="00114E16">
        <w:rPr>
          <w:color w:val="000000" w:themeColor="text1"/>
        </w:rPr>
        <w:t>&gt;.25), and saliva sample timing (</w:t>
      </w:r>
      <w:r w:rsidRPr="00114E16">
        <w:rPr>
          <w:i/>
          <w:color w:val="000000" w:themeColor="text1"/>
        </w:rPr>
        <w:t>F</w:t>
      </w:r>
      <w:r w:rsidRPr="00114E16">
        <w:rPr>
          <w:color w:val="000000" w:themeColor="text1"/>
        </w:rPr>
        <w:t xml:space="preserve">(3,98)=1.094, </w:t>
      </w:r>
      <w:r w:rsidRPr="00114E16">
        <w:rPr>
          <w:i/>
          <w:color w:val="000000" w:themeColor="text1"/>
        </w:rPr>
        <w:t>p</w:t>
      </w:r>
      <w:r w:rsidRPr="00114E16">
        <w:rPr>
          <w:color w:val="000000" w:themeColor="text1"/>
        </w:rPr>
        <w:t>&gt;.25). Child age and sex were retained and controlled for in all MANCOVA analyses. Covariance matrices between youth subgroups were assumed equal for the purposes of MANCOVA (</w:t>
      </w:r>
      <w:r w:rsidRPr="00114E16">
        <w:rPr>
          <w:i/>
          <w:color w:val="000000" w:themeColor="text1"/>
        </w:rPr>
        <w:t>Box’s M</w:t>
      </w:r>
      <w:r w:rsidRPr="00114E16">
        <w:rPr>
          <w:color w:val="000000" w:themeColor="text1"/>
        </w:rPr>
        <w:t xml:space="preserve">=38.34, </w:t>
      </w:r>
      <w:r w:rsidRPr="00114E16">
        <w:rPr>
          <w:i/>
          <w:color w:val="000000" w:themeColor="text1"/>
        </w:rPr>
        <w:t>p</w:t>
      </w:r>
      <w:r w:rsidRPr="00114E16">
        <w:rPr>
          <w:color w:val="000000" w:themeColor="text1"/>
        </w:rPr>
        <w:t xml:space="preserve">&gt;.25).  </w:t>
      </w:r>
    </w:p>
    <w:p w14:paraId="3CE817B4" w14:textId="77777777" w:rsidR="0026593E" w:rsidRPr="00114E16" w:rsidRDefault="0026593E" w:rsidP="0026593E">
      <w:pPr>
        <w:pStyle w:val="Default"/>
        <w:spacing w:line="480" w:lineRule="auto"/>
        <w:ind w:firstLine="720"/>
        <w:rPr>
          <w:color w:val="000000" w:themeColor="text1"/>
        </w:rPr>
      </w:pPr>
      <w:r w:rsidRPr="00114E16">
        <w:rPr>
          <w:color w:val="000000" w:themeColor="text1"/>
        </w:rPr>
        <w:t xml:space="preserve">The association between HPA–SAM profile membership and our focal correlates was significant; Wilk’s Lambda=0.79, </w:t>
      </w:r>
      <w:proofErr w:type="gramStart"/>
      <w:r w:rsidRPr="00114E16">
        <w:rPr>
          <w:i/>
          <w:color w:val="000000" w:themeColor="text1"/>
        </w:rPr>
        <w:t>F</w:t>
      </w:r>
      <w:r w:rsidRPr="00114E16">
        <w:rPr>
          <w:color w:val="000000" w:themeColor="text1"/>
        </w:rPr>
        <w:t>(</w:t>
      </w:r>
      <w:proofErr w:type="gramEnd"/>
      <w:r w:rsidRPr="00114E16">
        <w:rPr>
          <w:color w:val="000000" w:themeColor="text1"/>
        </w:rPr>
        <w:t xml:space="preserve">12,219.89)=0.93, </w:t>
      </w:r>
      <w:r w:rsidRPr="00114E16">
        <w:rPr>
          <w:i/>
          <w:color w:val="000000" w:themeColor="text1"/>
        </w:rPr>
        <w:t>p</w:t>
      </w:r>
      <w:r w:rsidRPr="00114E16">
        <w:rPr>
          <w:color w:val="000000" w:themeColor="text1"/>
        </w:rPr>
        <w:t xml:space="preserve">=.05. A series of Levene’s </w:t>
      </w:r>
      <w:r w:rsidRPr="00114E16">
        <w:rPr>
          <w:i/>
          <w:color w:val="000000" w:themeColor="text1"/>
        </w:rPr>
        <w:t>F</w:t>
      </w:r>
      <w:r w:rsidRPr="00114E16">
        <w:rPr>
          <w:color w:val="000000" w:themeColor="text1"/>
        </w:rPr>
        <w:t xml:space="preserve"> tests suggested that the homogeneity of variance assumption was satisfied: stressful life events (</w:t>
      </w:r>
      <w:proofErr w:type="gramStart"/>
      <w:r w:rsidRPr="00114E16">
        <w:rPr>
          <w:i/>
          <w:color w:val="000000" w:themeColor="text1"/>
        </w:rPr>
        <w:t>F</w:t>
      </w:r>
      <w:r w:rsidRPr="00114E16">
        <w:rPr>
          <w:color w:val="000000" w:themeColor="text1"/>
        </w:rPr>
        <w:t>(</w:t>
      </w:r>
      <w:proofErr w:type="gramEnd"/>
      <w:r w:rsidRPr="00114E16">
        <w:rPr>
          <w:color w:val="000000" w:themeColor="text1"/>
        </w:rPr>
        <w:t xml:space="preserve">3,88)=3.71, </w:t>
      </w:r>
      <w:r w:rsidRPr="00114E16">
        <w:rPr>
          <w:i/>
          <w:color w:val="000000" w:themeColor="text1"/>
        </w:rPr>
        <w:t>p</w:t>
      </w:r>
      <w:r w:rsidRPr="00114E16">
        <w:rPr>
          <w:color w:val="000000" w:themeColor="text1"/>
        </w:rPr>
        <w:t>=.01)</w:t>
      </w:r>
      <w:r w:rsidRPr="00114E16">
        <w:rPr>
          <w:rStyle w:val="FootnoteReference"/>
          <w:color w:val="000000" w:themeColor="text1"/>
        </w:rPr>
        <w:footnoteReference w:id="1"/>
      </w:r>
      <w:r w:rsidRPr="00114E16">
        <w:rPr>
          <w:color w:val="000000" w:themeColor="text1"/>
        </w:rPr>
        <w:t>, posttraumatic stress (</w:t>
      </w:r>
      <w:r w:rsidRPr="00114E16">
        <w:rPr>
          <w:i/>
          <w:color w:val="000000" w:themeColor="text1"/>
        </w:rPr>
        <w:t>F</w:t>
      </w:r>
      <w:r w:rsidRPr="00114E16">
        <w:rPr>
          <w:color w:val="000000" w:themeColor="text1"/>
        </w:rPr>
        <w:t xml:space="preserve">(3,88)=3.04, </w:t>
      </w:r>
      <w:r w:rsidRPr="00114E16">
        <w:rPr>
          <w:i/>
          <w:color w:val="000000" w:themeColor="text1"/>
        </w:rPr>
        <w:t>p</w:t>
      </w:r>
      <w:r w:rsidRPr="00114E16">
        <w:rPr>
          <w:color w:val="000000" w:themeColor="text1"/>
        </w:rPr>
        <w:t>=.03)</w:t>
      </w:r>
      <w:r w:rsidRPr="00114E16">
        <w:rPr>
          <w:color w:val="000000" w:themeColor="text1"/>
          <w:vertAlign w:val="superscript"/>
        </w:rPr>
        <w:t>1</w:t>
      </w:r>
      <w:r w:rsidRPr="00114E16">
        <w:rPr>
          <w:color w:val="000000" w:themeColor="text1"/>
        </w:rPr>
        <w:t>, parent-reported internalizing problems (</w:t>
      </w:r>
      <w:r w:rsidRPr="00114E16">
        <w:rPr>
          <w:i/>
          <w:color w:val="000000" w:themeColor="text1"/>
        </w:rPr>
        <w:t>F</w:t>
      </w:r>
      <w:r w:rsidRPr="00114E16">
        <w:rPr>
          <w:color w:val="000000" w:themeColor="text1"/>
        </w:rPr>
        <w:t xml:space="preserve">(3,88)=1.33, </w:t>
      </w:r>
      <w:r w:rsidRPr="00114E16">
        <w:rPr>
          <w:i/>
          <w:color w:val="000000" w:themeColor="text1"/>
        </w:rPr>
        <w:t>p</w:t>
      </w:r>
      <w:r w:rsidRPr="00114E16">
        <w:rPr>
          <w:color w:val="000000" w:themeColor="text1"/>
        </w:rPr>
        <w:t>&gt;.25), parent-reported externalizing problems (</w:t>
      </w:r>
      <w:r w:rsidRPr="00114E16">
        <w:rPr>
          <w:i/>
          <w:color w:val="000000" w:themeColor="text1"/>
        </w:rPr>
        <w:t>F</w:t>
      </w:r>
      <w:r w:rsidRPr="00114E16">
        <w:rPr>
          <w:color w:val="000000" w:themeColor="text1"/>
        </w:rPr>
        <w:t xml:space="preserve">(3,88)=0.41, </w:t>
      </w:r>
      <w:r w:rsidRPr="00114E16">
        <w:rPr>
          <w:i/>
          <w:color w:val="000000" w:themeColor="text1"/>
        </w:rPr>
        <w:t>p</w:t>
      </w:r>
      <w:r w:rsidRPr="00114E16">
        <w:rPr>
          <w:color w:val="000000" w:themeColor="text1"/>
        </w:rPr>
        <w:t xml:space="preserve">&gt;.25). Omnibus tests obtained from our follow-up ANCOVAs revealed significant associations between HPA–SAM profile membership and three of four focal correlates: stressful life events </w:t>
      </w:r>
      <w:r w:rsidRPr="00114E16">
        <w:rPr>
          <w:color w:val="000000" w:themeColor="text1"/>
        </w:rPr>
        <w:lastRenderedPageBreak/>
        <w:t>(</w:t>
      </w:r>
      <w:proofErr w:type="gramStart"/>
      <w:r w:rsidRPr="00114E16">
        <w:rPr>
          <w:i/>
          <w:color w:val="000000" w:themeColor="text1"/>
        </w:rPr>
        <w:t>F</w:t>
      </w:r>
      <w:r w:rsidRPr="00114E16">
        <w:rPr>
          <w:color w:val="000000" w:themeColor="text1"/>
        </w:rPr>
        <w:t>(</w:t>
      </w:r>
      <w:proofErr w:type="gramEnd"/>
      <w:r w:rsidRPr="00114E16">
        <w:rPr>
          <w:color w:val="000000" w:themeColor="text1"/>
        </w:rPr>
        <w:t xml:space="preserve">3,86)=2.96, </w:t>
      </w:r>
      <w:r w:rsidRPr="00114E16">
        <w:rPr>
          <w:i/>
          <w:color w:val="000000" w:themeColor="text1"/>
        </w:rPr>
        <w:t>p</w:t>
      </w:r>
      <w:r w:rsidRPr="00114E16">
        <w:rPr>
          <w:color w:val="000000" w:themeColor="text1"/>
        </w:rPr>
        <w:t>=.04), posttraumatic stress (</w:t>
      </w:r>
      <w:r w:rsidRPr="00114E16">
        <w:rPr>
          <w:i/>
          <w:color w:val="000000" w:themeColor="text1"/>
        </w:rPr>
        <w:t>F</w:t>
      </w:r>
      <w:r w:rsidRPr="00114E16">
        <w:rPr>
          <w:color w:val="000000" w:themeColor="text1"/>
        </w:rPr>
        <w:t xml:space="preserve">(3,86)=3.13, </w:t>
      </w:r>
      <w:r w:rsidRPr="00114E16">
        <w:rPr>
          <w:i/>
          <w:color w:val="000000" w:themeColor="text1"/>
        </w:rPr>
        <w:t>p</w:t>
      </w:r>
      <w:r w:rsidRPr="00114E16">
        <w:rPr>
          <w:color w:val="000000" w:themeColor="text1"/>
        </w:rPr>
        <w:t>=.03), parent-reported internalizing problems (</w:t>
      </w:r>
      <w:r w:rsidRPr="00114E16">
        <w:rPr>
          <w:i/>
          <w:color w:val="000000" w:themeColor="text1"/>
        </w:rPr>
        <w:t>F</w:t>
      </w:r>
      <w:r w:rsidRPr="00114E16">
        <w:rPr>
          <w:color w:val="000000" w:themeColor="text1"/>
        </w:rPr>
        <w:t xml:space="preserve">(3,86)=1.86, </w:t>
      </w:r>
      <w:r w:rsidRPr="00114E16">
        <w:rPr>
          <w:i/>
          <w:color w:val="000000" w:themeColor="text1"/>
        </w:rPr>
        <w:t>p</w:t>
      </w:r>
      <w:r w:rsidRPr="00114E16">
        <w:rPr>
          <w:color w:val="000000" w:themeColor="text1"/>
        </w:rPr>
        <w:t>=.14)</w:t>
      </w:r>
      <w:r w:rsidRPr="00114E16">
        <w:rPr>
          <w:rStyle w:val="FootnoteReference"/>
          <w:color w:val="000000" w:themeColor="text1"/>
        </w:rPr>
        <w:footnoteReference w:id="2"/>
      </w:r>
      <w:r w:rsidRPr="00114E16">
        <w:rPr>
          <w:color w:val="000000" w:themeColor="text1"/>
        </w:rPr>
        <w:t>, parent-reported externalizing problems (</w:t>
      </w:r>
      <w:r w:rsidRPr="00114E16">
        <w:rPr>
          <w:i/>
          <w:color w:val="000000" w:themeColor="text1"/>
        </w:rPr>
        <w:t>F</w:t>
      </w:r>
      <w:r w:rsidRPr="00114E16">
        <w:rPr>
          <w:color w:val="000000" w:themeColor="text1"/>
        </w:rPr>
        <w:t xml:space="preserve">(3,88)=2.94, </w:t>
      </w:r>
      <w:r w:rsidRPr="00114E16">
        <w:rPr>
          <w:i/>
          <w:color w:val="000000" w:themeColor="text1"/>
        </w:rPr>
        <w:t>p</w:t>
      </w:r>
      <w:r w:rsidRPr="00114E16">
        <w:rPr>
          <w:color w:val="000000" w:themeColor="text1"/>
        </w:rPr>
        <w:t>=.04).</w:t>
      </w:r>
    </w:p>
    <w:p w14:paraId="64785036" w14:textId="73235569" w:rsidR="00144849" w:rsidRPr="00114E16" w:rsidRDefault="0026593E" w:rsidP="00A030FA">
      <w:pPr>
        <w:spacing w:line="480" w:lineRule="auto"/>
        <w:ind w:firstLine="720"/>
        <w:rPr>
          <w:rFonts w:ascii="Times New Roman" w:hAnsi="Times New Roman" w:cs="Times New Roman"/>
          <w:color w:val="000000" w:themeColor="text1"/>
        </w:rPr>
        <w:sectPr w:rsidR="00144849" w:rsidRPr="00114E16" w:rsidSect="00D27C41">
          <w:pgSz w:w="12240" w:h="15840"/>
          <w:pgMar w:top="1440" w:right="1440" w:bottom="1440" w:left="1440" w:header="720" w:footer="720" w:gutter="0"/>
          <w:cols w:space="720"/>
          <w:docGrid w:linePitch="360"/>
        </w:sectPr>
      </w:pPr>
      <w:r w:rsidRPr="00114E16">
        <w:rPr>
          <w:rFonts w:ascii="Times New Roman" w:hAnsi="Times New Roman" w:cs="Times New Roman"/>
          <w:color w:val="000000" w:themeColor="text1"/>
        </w:rPr>
        <w:t xml:space="preserve">Estimated marginal means, standard errors bars, and the results of Fisher’s LSD tests comparing profile mean estimates are depicted in Figure S2. Relative to those with Symmetric HPA–SAM Co-activation profiles, youth with Asymmetric HPA–SAM Co-activation profiles generally presented with </w:t>
      </w:r>
      <w:r w:rsidR="00CD1090" w:rsidRPr="00114E16">
        <w:rPr>
          <w:rFonts w:ascii="Times New Roman" w:hAnsi="Times New Roman" w:cs="Times New Roman"/>
          <w:color w:val="000000" w:themeColor="text1"/>
        </w:rPr>
        <w:t xml:space="preserve">greater </w:t>
      </w:r>
      <w:r w:rsidR="007B1C9C" w:rsidRPr="00114E16">
        <w:rPr>
          <w:rFonts w:ascii="Times New Roman" w:hAnsi="Times New Roman" w:cs="Times New Roman"/>
          <w:color w:val="000000" w:themeColor="text1"/>
        </w:rPr>
        <w:t xml:space="preserve">parent-reported </w:t>
      </w:r>
      <w:r w:rsidR="00CD1090" w:rsidRPr="00114E16">
        <w:rPr>
          <w:rFonts w:ascii="Times New Roman" w:hAnsi="Times New Roman" w:cs="Times New Roman"/>
          <w:color w:val="000000" w:themeColor="text1"/>
        </w:rPr>
        <w:t>stress exposure, traumatic</w:t>
      </w:r>
      <w:r w:rsidR="007B1C9C" w:rsidRPr="00114E16">
        <w:rPr>
          <w:rFonts w:ascii="Times New Roman" w:hAnsi="Times New Roman" w:cs="Times New Roman"/>
          <w:color w:val="000000" w:themeColor="text1"/>
        </w:rPr>
        <w:t xml:space="preserve"> stress symptoms, as well as</w:t>
      </w:r>
      <w:r w:rsidR="00CD1090" w:rsidRPr="00114E16">
        <w:rPr>
          <w:rFonts w:ascii="Times New Roman" w:hAnsi="Times New Roman" w:cs="Times New Roman"/>
          <w:color w:val="000000" w:themeColor="text1"/>
        </w:rPr>
        <w:t xml:space="preserve"> internalizing and externalizing </w:t>
      </w:r>
      <w:r w:rsidR="007B1C9C" w:rsidRPr="00114E16">
        <w:rPr>
          <w:rFonts w:ascii="Times New Roman" w:hAnsi="Times New Roman" w:cs="Times New Roman"/>
          <w:color w:val="000000" w:themeColor="text1"/>
        </w:rPr>
        <w:t>symptoms.</w:t>
      </w:r>
    </w:p>
    <w:p w14:paraId="7FA132D5" w14:textId="29594D18" w:rsidR="00144849" w:rsidRPr="00114E16" w:rsidRDefault="00144849" w:rsidP="00144849">
      <w:pPr>
        <w:spacing w:line="480" w:lineRule="auto"/>
        <w:outlineLvl w:val="0"/>
        <w:rPr>
          <w:rFonts w:ascii="Times New Roman" w:eastAsia="Times New Roman" w:hAnsi="Times New Roman" w:cs="Times New Roman"/>
          <w:b/>
          <w:bCs/>
          <w:color w:val="000000" w:themeColor="text1"/>
          <w:sz w:val="22"/>
          <w:szCs w:val="22"/>
        </w:rPr>
      </w:pPr>
      <w:r w:rsidRPr="00114E16">
        <w:rPr>
          <w:rFonts w:ascii="Times New Roman" w:eastAsia="Times New Roman" w:hAnsi="Times New Roman" w:cs="Times New Roman"/>
          <w:b/>
          <w:bCs/>
          <w:color w:val="000000" w:themeColor="text1"/>
          <w:sz w:val="22"/>
          <w:szCs w:val="22"/>
        </w:rPr>
        <w:lastRenderedPageBreak/>
        <w:t>Table S1</w:t>
      </w:r>
    </w:p>
    <w:p w14:paraId="66281069" w14:textId="77777777" w:rsidR="00144849" w:rsidRPr="00114E16" w:rsidRDefault="00144849" w:rsidP="00144849">
      <w:pPr>
        <w:spacing w:line="480" w:lineRule="auto"/>
        <w:rPr>
          <w:rFonts w:ascii="Times New Roman" w:eastAsia="Times New Roman" w:hAnsi="Times New Roman" w:cs="Times New Roman"/>
          <w:i/>
          <w:color w:val="000000" w:themeColor="text1"/>
          <w:sz w:val="22"/>
          <w:szCs w:val="22"/>
        </w:rPr>
      </w:pPr>
      <w:r w:rsidRPr="00114E16">
        <w:rPr>
          <w:rFonts w:ascii="Times New Roman" w:eastAsia="Times New Roman" w:hAnsi="Times New Roman" w:cs="Times New Roman"/>
          <w:i/>
          <w:color w:val="000000" w:themeColor="text1"/>
          <w:sz w:val="22"/>
          <w:szCs w:val="22"/>
        </w:rPr>
        <w:t xml:space="preserve">Parameter Estimates (Standard Errors) and Model Adequacy Indices for Final HPA–SAM Multitrajectory Modeling Pretest Four-Group Solution </w:t>
      </w:r>
    </w:p>
    <w:tbl>
      <w:tblPr>
        <w:tblStyle w:val="TableGrid"/>
        <w:tblW w:w="12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2430"/>
        <w:gridCol w:w="180"/>
        <w:gridCol w:w="180"/>
        <w:gridCol w:w="2250"/>
        <w:gridCol w:w="630"/>
        <w:gridCol w:w="3145"/>
        <w:gridCol w:w="816"/>
        <w:gridCol w:w="816"/>
        <w:gridCol w:w="816"/>
        <w:gridCol w:w="816"/>
        <w:gridCol w:w="817"/>
      </w:tblGrid>
      <w:tr w:rsidR="00114E16" w:rsidRPr="00114E16" w14:paraId="759007F1" w14:textId="77777777" w:rsidTr="005F4639">
        <w:trPr>
          <w:trHeight w:val="20"/>
        </w:trPr>
        <w:tc>
          <w:tcPr>
            <w:tcW w:w="2430" w:type="dxa"/>
            <w:tcBorders>
              <w:top w:val="single" w:sz="4" w:space="0" w:color="auto"/>
              <w:bottom w:val="single" w:sz="4" w:space="0" w:color="auto"/>
            </w:tcBorders>
            <w:tcMar>
              <w:left w:w="0" w:type="dxa"/>
              <w:right w:w="0" w:type="dxa"/>
            </w:tcMar>
            <w:vAlign w:val="center"/>
          </w:tcPr>
          <w:p w14:paraId="2A0A6FE0" w14:textId="77777777" w:rsidR="00144849" w:rsidRPr="00114E16" w:rsidRDefault="00144849" w:rsidP="005F4639">
            <w:pPr>
              <w:contextualSpacing/>
              <w:jc w:val="center"/>
              <w:rPr>
                <w:rFonts w:ascii="Times New Roman" w:hAnsi="Times New Roman" w:cs="Times New Roman"/>
                <w:color w:val="000000" w:themeColor="text1"/>
                <w:sz w:val="22"/>
                <w:szCs w:val="22"/>
              </w:rPr>
            </w:pPr>
          </w:p>
        </w:tc>
        <w:tc>
          <w:tcPr>
            <w:tcW w:w="2610" w:type="dxa"/>
            <w:gridSpan w:val="3"/>
            <w:tcBorders>
              <w:top w:val="single" w:sz="4" w:space="0" w:color="auto"/>
              <w:bottom w:val="single" w:sz="4" w:space="0" w:color="auto"/>
            </w:tcBorders>
            <w:tcMar>
              <w:left w:w="0" w:type="dxa"/>
              <w:right w:w="0" w:type="dxa"/>
            </w:tcMar>
            <w:vAlign w:val="center"/>
          </w:tcPr>
          <w:p w14:paraId="6D72B525" w14:textId="77777777" w:rsidR="00144849" w:rsidRPr="00114E16" w:rsidRDefault="00144849" w:rsidP="005F4639">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 xml:space="preserve"> Salivary Cortisol</w:t>
            </w:r>
          </w:p>
        </w:tc>
        <w:tc>
          <w:tcPr>
            <w:tcW w:w="3775" w:type="dxa"/>
            <w:gridSpan w:val="2"/>
            <w:tcBorders>
              <w:top w:val="single" w:sz="4" w:space="0" w:color="auto"/>
              <w:bottom w:val="single" w:sz="4" w:space="0" w:color="auto"/>
            </w:tcBorders>
            <w:tcMar>
              <w:left w:w="0" w:type="dxa"/>
              <w:right w:w="0" w:type="dxa"/>
            </w:tcMar>
            <w:vAlign w:val="center"/>
          </w:tcPr>
          <w:p w14:paraId="649C454D" w14:textId="77777777" w:rsidR="00144849" w:rsidRPr="00114E16" w:rsidRDefault="00144849" w:rsidP="005F4639">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Salivary Alpha-Amylase</w:t>
            </w:r>
          </w:p>
        </w:tc>
        <w:tc>
          <w:tcPr>
            <w:tcW w:w="816" w:type="dxa"/>
            <w:tcBorders>
              <w:top w:val="single" w:sz="4" w:space="0" w:color="auto"/>
              <w:bottom w:val="single" w:sz="4" w:space="0" w:color="auto"/>
            </w:tcBorders>
            <w:tcMar>
              <w:left w:w="0" w:type="dxa"/>
              <w:right w:w="0" w:type="dxa"/>
            </w:tcMar>
            <w:vAlign w:val="center"/>
          </w:tcPr>
          <w:p w14:paraId="5A1B745C" w14:textId="77777777" w:rsidR="00144849" w:rsidRPr="00114E16" w:rsidRDefault="00144849" w:rsidP="005F4639">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i/>
                <w:color w:val="000000" w:themeColor="text1"/>
                <w:sz w:val="22"/>
                <w:szCs w:val="22"/>
              </w:rPr>
              <w:t>AvePP</w:t>
            </w:r>
            <w:r w:rsidRPr="00114E16">
              <w:rPr>
                <w:rFonts w:ascii="Times New Roman" w:hAnsi="Times New Roman" w:cs="Times New Roman"/>
                <w:i/>
                <w:color w:val="000000" w:themeColor="text1"/>
                <w:sz w:val="22"/>
                <w:szCs w:val="22"/>
                <w:vertAlign w:val="subscript"/>
              </w:rPr>
              <w:t>j</w:t>
            </w:r>
          </w:p>
        </w:tc>
        <w:tc>
          <w:tcPr>
            <w:tcW w:w="816" w:type="dxa"/>
            <w:tcBorders>
              <w:top w:val="single" w:sz="4" w:space="0" w:color="auto"/>
              <w:bottom w:val="single" w:sz="4" w:space="0" w:color="auto"/>
            </w:tcBorders>
            <w:tcMar>
              <w:left w:w="0" w:type="dxa"/>
              <w:right w:w="0" w:type="dxa"/>
            </w:tcMar>
            <w:vAlign w:val="center"/>
          </w:tcPr>
          <w:p w14:paraId="6A4BE202" w14:textId="77777777" w:rsidR="00144849" w:rsidRPr="00114E16" w:rsidRDefault="00144849" w:rsidP="005F4639">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i/>
                <w:color w:val="000000" w:themeColor="text1"/>
                <w:sz w:val="22"/>
                <w:szCs w:val="22"/>
              </w:rPr>
              <w:t>OCC</w:t>
            </w:r>
            <w:r w:rsidRPr="00114E16">
              <w:rPr>
                <w:rFonts w:ascii="Times New Roman" w:hAnsi="Times New Roman" w:cs="Times New Roman"/>
                <w:i/>
                <w:color w:val="000000" w:themeColor="text1"/>
                <w:sz w:val="22"/>
                <w:szCs w:val="22"/>
                <w:vertAlign w:val="subscript"/>
              </w:rPr>
              <w:t>j</w:t>
            </w:r>
          </w:p>
        </w:tc>
        <w:tc>
          <w:tcPr>
            <w:tcW w:w="816" w:type="dxa"/>
            <w:tcBorders>
              <w:top w:val="single" w:sz="4" w:space="0" w:color="auto"/>
              <w:bottom w:val="single" w:sz="4" w:space="0" w:color="auto"/>
            </w:tcBorders>
            <w:tcMar>
              <w:left w:w="0" w:type="dxa"/>
              <w:right w:w="0" w:type="dxa"/>
            </w:tcMar>
            <w:vAlign w:val="center"/>
          </w:tcPr>
          <w:p w14:paraId="7C2A58D7" w14:textId="77777777" w:rsidR="00144849" w:rsidRPr="00114E16" w:rsidRDefault="00144849" w:rsidP="005F4639">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i/>
                <w:color w:val="000000" w:themeColor="text1"/>
                <w:sz w:val="22"/>
                <w:szCs w:val="22"/>
              </w:rPr>
              <w:t>Prob</w:t>
            </w:r>
            <w:r w:rsidRPr="00114E16">
              <w:rPr>
                <w:rFonts w:ascii="Times New Roman" w:hAnsi="Times New Roman" w:cs="Times New Roman"/>
                <w:i/>
                <w:color w:val="000000" w:themeColor="text1"/>
                <w:sz w:val="22"/>
                <w:szCs w:val="22"/>
                <w:vertAlign w:val="subscript"/>
              </w:rPr>
              <w:t>j</w:t>
            </w:r>
          </w:p>
        </w:tc>
        <w:tc>
          <w:tcPr>
            <w:tcW w:w="816" w:type="dxa"/>
            <w:tcBorders>
              <w:top w:val="single" w:sz="4" w:space="0" w:color="auto"/>
              <w:bottom w:val="single" w:sz="4" w:space="0" w:color="auto"/>
            </w:tcBorders>
            <w:tcMar>
              <w:left w:w="0" w:type="dxa"/>
              <w:right w:w="0" w:type="dxa"/>
            </w:tcMar>
            <w:vAlign w:val="center"/>
          </w:tcPr>
          <w:p w14:paraId="7F9F2271" w14:textId="77777777" w:rsidR="00144849" w:rsidRPr="00114E16" w:rsidRDefault="00144849" w:rsidP="005F4639">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i/>
                <w:color w:val="000000" w:themeColor="text1"/>
                <w:sz w:val="22"/>
                <w:szCs w:val="22"/>
              </w:rPr>
              <w:t>Prop</w:t>
            </w:r>
            <w:r w:rsidRPr="00114E16">
              <w:rPr>
                <w:rFonts w:ascii="Times New Roman" w:hAnsi="Times New Roman" w:cs="Times New Roman"/>
                <w:i/>
                <w:color w:val="000000" w:themeColor="text1"/>
                <w:sz w:val="22"/>
                <w:szCs w:val="22"/>
                <w:vertAlign w:val="subscript"/>
              </w:rPr>
              <w:t>j</w:t>
            </w:r>
          </w:p>
        </w:tc>
        <w:tc>
          <w:tcPr>
            <w:tcW w:w="817" w:type="dxa"/>
            <w:tcBorders>
              <w:top w:val="single" w:sz="4" w:space="0" w:color="auto"/>
              <w:bottom w:val="single" w:sz="4" w:space="0" w:color="auto"/>
            </w:tcBorders>
            <w:vAlign w:val="center"/>
          </w:tcPr>
          <w:p w14:paraId="16F95073" w14:textId="77777777" w:rsidR="00144849" w:rsidRPr="00114E16" w:rsidRDefault="00144849" w:rsidP="005F4639">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i/>
                <w:color w:val="000000" w:themeColor="text1"/>
                <w:sz w:val="22"/>
                <w:szCs w:val="22"/>
              </w:rPr>
              <w:t>Ratio</w:t>
            </w:r>
          </w:p>
        </w:tc>
      </w:tr>
      <w:tr w:rsidR="00114E16" w:rsidRPr="00114E16" w14:paraId="79D3C528" w14:textId="77777777" w:rsidTr="005F4639">
        <w:trPr>
          <w:trHeight w:val="20"/>
        </w:trPr>
        <w:tc>
          <w:tcPr>
            <w:tcW w:w="5040" w:type="dxa"/>
            <w:gridSpan w:val="4"/>
            <w:tcBorders>
              <w:top w:val="single" w:sz="4" w:space="0" w:color="auto"/>
            </w:tcBorders>
            <w:tcMar>
              <w:left w:w="0" w:type="dxa"/>
              <w:right w:w="0" w:type="dxa"/>
            </w:tcMar>
            <w:vAlign w:val="center"/>
          </w:tcPr>
          <w:p w14:paraId="318DA349" w14:textId="044F1443" w:rsidR="00144849" w:rsidRPr="00114E16" w:rsidRDefault="00E02206" w:rsidP="005F4639">
            <w:pPr>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Symmetrical No.</w:t>
            </w:r>
            <w:r w:rsidR="00C25C14" w:rsidRPr="00114E16">
              <w:rPr>
                <w:rFonts w:ascii="Times New Roman" w:hAnsi="Times New Roman" w:cs="Times New Roman"/>
                <w:color w:val="000000" w:themeColor="text1"/>
                <w:sz w:val="22"/>
                <w:szCs w:val="22"/>
              </w:rPr>
              <w:t>1 (</w:t>
            </w:r>
            <w:r w:rsidR="00144849" w:rsidRPr="00114E16">
              <w:rPr>
                <w:rFonts w:ascii="Times New Roman" w:hAnsi="Times New Roman" w:cs="Times New Roman"/>
                <w:i/>
                <w:color w:val="000000" w:themeColor="text1"/>
                <w:sz w:val="22"/>
                <w:szCs w:val="22"/>
              </w:rPr>
              <w:t>n</w:t>
            </w:r>
            <w:r w:rsidR="00144849" w:rsidRPr="00114E16">
              <w:rPr>
                <w:rFonts w:ascii="Times New Roman" w:hAnsi="Times New Roman" w:cs="Times New Roman"/>
                <w:color w:val="000000" w:themeColor="text1"/>
                <w:sz w:val="22"/>
                <w:szCs w:val="22"/>
              </w:rPr>
              <w:t>=24)</w:t>
            </w:r>
          </w:p>
        </w:tc>
        <w:tc>
          <w:tcPr>
            <w:tcW w:w="3775" w:type="dxa"/>
            <w:gridSpan w:val="2"/>
            <w:tcBorders>
              <w:top w:val="single" w:sz="4" w:space="0" w:color="auto"/>
            </w:tcBorders>
            <w:tcMar>
              <w:left w:w="0" w:type="dxa"/>
              <w:right w:w="0" w:type="dxa"/>
            </w:tcMar>
            <w:vAlign w:val="center"/>
          </w:tcPr>
          <w:p w14:paraId="21BDEF61" w14:textId="77777777" w:rsidR="00144849" w:rsidRPr="00114E16" w:rsidRDefault="00144849" w:rsidP="005F4639">
            <w:pPr>
              <w:contextualSpacing/>
              <w:rPr>
                <w:rFonts w:ascii="Times New Roman" w:hAnsi="Times New Roman" w:cs="Times New Roman"/>
                <w:color w:val="000000" w:themeColor="text1"/>
                <w:sz w:val="22"/>
                <w:szCs w:val="22"/>
              </w:rPr>
            </w:pPr>
          </w:p>
        </w:tc>
        <w:tc>
          <w:tcPr>
            <w:tcW w:w="816" w:type="dxa"/>
            <w:tcBorders>
              <w:top w:val="single" w:sz="4" w:space="0" w:color="auto"/>
            </w:tcBorders>
            <w:tcMar>
              <w:left w:w="0" w:type="dxa"/>
              <w:right w:w="0" w:type="dxa"/>
            </w:tcMar>
            <w:vAlign w:val="center"/>
          </w:tcPr>
          <w:p w14:paraId="0E951723" w14:textId="77777777" w:rsidR="00144849" w:rsidRPr="00114E16" w:rsidRDefault="00144849" w:rsidP="005F4639">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.975</w:t>
            </w:r>
          </w:p>
        </w:tc>
        <w:tc>
          <w:tcPr>
            <w:tcW w:w="816" w:type="dxa"/>
            <w:tcBorders>
              <w:top w:val="single" w:sz="4" w:space="0" w:color="auto"/>
            </w:tcBorders>
            <w:tcMar>
              <w:left w:w="0" w:type="dxa"/>
              <w:right w:w="0" w:type="dxa"/>
            </w:tcMar>
            <w:vAlign w:val="center"/>
          </w:tcPr>
          <w:p w14:paraId="08A5445A" w14:textId="77777777" w:rsidR="00144849" w:rsidRPr="00114E16" w:rsidRDefault="00144849" w:rsidP="005F4639">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208.000</w:t>
            </w:r>
          </w:p>
        </w:tc>
        <w:tc>
          <w:tcPr>
            <w:tcW w:w="816" w:type="dxa"/>
            <w:tcBorders>
              <w:top w:val="single" w:sz="4" w:space="0" w:color="auto"/>
            </w:tcBorders>
            <w:tcMar>
              <w:left w:w="0" w:type="dxa"/>
              <w:right w:w="0" w:type="dxa"/>
            </w:tcMar>
            <w:vAlign w:val="center"/>
          </w:tcPr>
          <w:p w14:paraId="473BF1BC" w14:textId="77777777" w:rsidR="00144849" w:rsidRPr="00114E16" w:rsidRDefault="00144849" w:rsidP="005F4639">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.229</w:t>
            </w:r>
          </w:p>
        </w:tc>
        <w:tc>
          <w:tcPr>
            <w:tcW w:w="816" w:type="dxa"/>
            <w:tcBorders>
              <w:top w:val="single" w:sz="4" w:space="0" w:color="auto"/>
            </w:tcBorders>
            <w:tcMar>
              <w:left w:w="0" w:type="dxa"/>
              <w:right w:w="0" w:type="dxa"/>
            </w:tcMar>
            <w:vAlign w:val="center"/>
          </w:tcPr>
          <w:p w14:paraId="61B5863F" w14:textId="77777777" w:rsidR="00144849" w:rsidRPr="00114E16" w:rsidRDefault="00144849" w:rsidP="005F4639">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.214</w:t>
            </w:r>
          </w:p>
        </w:tc>
        <w:tc>
          <w:tcPr>
            <w:tcW w:w="817" w:type="dxa"/>
            <w:tcBorders>
              <w:top w:val="single" w:sz="4" w:space="0" w:color="auto"/>
            </w:tcBorders>
            <w:vAlign w:val="center"/>
          </w:tcPr>
          <w:p w14:paraId="0BEC0DA2" w14:textId="77777777" w:rsidR="00144849" w:rsidRPr="00114E16" w:rsidRDefault="00144849" w:rsidP="005F4639">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1.070</w:t>
            </w:r>
          </w:p>
        </w:tc>
      </w:tr>
      <w:tr w:rsidR="00114E16" w:rsidRPr="00114E16" w14:paraId="1AEADDD7" w14:textId="77777777" w:rsidTr="005F4639">
        <w:trPr>
          <w:trHeight w:val="20"/>
        </w:trPr>
        <w:tc>
          <w:tcPr>
            <w:tcW w:w="2790" w:type="dxa"/>
            <w:gridSpan w:val="3"/>
            <w:tcMar>
              <w:left w:w="0" w:type="dxa"/>
              <w:right w:w="0" w:type="dxa"/>
            </w:tcMar>
            <w:vAlign w:val="center"/>
          </w:tcPr>
          <w:p w14:paraId="4C3F9068" w14:textId="77777777" w:rsidR="00144849" w:rsidRPr="00114E16" w:rsidRDefault="00144849" w:rsidP="005F4639">
            <w:pPr>
              <w:ind w:left="180"/>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Intercept</w:t>
            </w:r>
          </w:p>
        </w:tc>
        <w:tc>
          <w:tcPr>
            <w:tcW w:w="2880" w:type="dxa"/>
            <w:gridSpan w:val="2"/>
            <w:tcMar>
              <w:left w:w="0" w:type="dxa"/>
              <w:right w:w="0" w:type="dxa"/>
            </w:tcMar>
            <w:vAlign w:val="center"/>
          </w:tcPr>
          <w:p w14:paraId="3D93CFCE" w14:textId="77777777" w:rsidR="00144849" w:rsidRPr="00114E16" w:rsidRDefault="00144849" w:rsidP="005F4639">
            <w:pPr>
              <w:tabs>
                <w:tab w:val="decimal" w:pos="36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 xml:space="preserve"> 0.458* (0.009)</w:t>
            </w:r>
            <w:r w:rsidRPr="00114E16">
              <w:rPr>
                <w:rFonts w:ascii="Times New Roman" w:hAnsi="Times New Roman" w:cs="Times New Roman"/>
                <w:color w:val="000000" w:themeColor="text1"/>
                <w:sz w:val="22"/>
                <w:szCs w:val="22"/>
                <w:vertAlign w:val="superscript"/>
              </w:rPr>
              <w:t xml:space="preserve"> A</w:t>
            </w:r>
            <w:r w:rsidRPr="00114E16">
              <w:rPr>
                <w:rFonts w:ascii="Times New Roman" w:hAnsi="Times New Roman" w:cs="Times New Roman"/>
                <w:color w:val="000000" w:themeColor="text1"/>
                <w:sz w:val="22"/>
                <w:szCs w:val="22"/>
              </w:rPr>
              <w:t xml:space="preserve"> </w:t>
            </w:r>
          </w:p>
        </w:tc>
        <w:tc>
          <w:tcPr>
            <w:tcW w:w="3145" w:type="dxa"/>
            <w:tcMar>
              <w:left w:w="0" w:type="dxa"/>
              <w:right w:w="0" w:type="dxa"/>
            </w:tcMar>
            <w:vAlign w:val="center"/>
          </w:tcPr>
          <w:p w14:paraId="6A97EC7F" w14:textId="77777777" w:rsidR="00144849" w:rsidRPr="00114E16" w:rsidRDefault="00144849" w:rsidP="005F4639">
            <w:pPr>
              <w:tabs>
                <w:tab w:val="decimal" w:pos="63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2.747* (0.088)</w:t>
            </w:r>
            <w:r w:rsidRPr="00114E16">
              <w:rPr>
                <w:rFonts w:ascii="Times New Roman" w:hAnsi="Times New Roman" w:cs="Times New Roman"/>
                <w:color w:val="000000" w:themeColor="text1"/>
                <w:sz w:val="22"/>
                <w:szCs w:val="22"/>
                <w:vertAlign w:val="superscript"/>
              </w:rPr>
              <w:t xml:space="preserve"> A</w:t>
            </w:r>
            <w:r w:rsidRPr="00114E16">
              <w:rPr>
                <w:rFonts w:ascii="Times New Roman" w:hAnsi="Times New Roman" w:cs="Times New Roman"/>
                <w:color w:val="000000" w:themeColor="text1"/>
                <w:sz w:val="22"/>
                <w:szCs w:val="22"/>
              </w:rPr>
              <w:t xml:space="preserve"> </w:t>
            </w:r>
          </w:p>
        </w:tc>
        <w:tc>
          <w:tcPr>
            <w:tcW w:w="816" w:type="dxa"/>
            <w:tcMar>
              <w:left w:w="0" w:type="dxa"/>
              <w:right w:w="0" w:type="dxa"/>
            </w:tcMar>
            <w:vAlign w:val="center"/>
          </w:tcPr>
          <w:p w14:paraId="6158BC18" w14:textId="77777777" w:rsidR="00144849" w:rsidRPr="00114E16" w:rsidRDefault="00144849" w:rsidP="005F4639">
            <w:pPr>
              <w:tabs>
                <w:tab w:val="decimal" w:pos="239"/>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2434DD81" w14:textId="77777777" w:rsidR="00144849" w:rsidRPr="00114E16" w:rsidRDefault="00144849" w:rsidP="005F4639">
            <w:pPr>
              <w:tabs>
                <w:tab w:val="decimal" w:pos="313"/>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1B227036" w14:textId="77777777" w:rsidR="00144849" w:rsidRPr="00114E16" w:rsidRDefault="00144849" w:rsidP="005F4639">
            <w:pPr>
              <w:tabs>
                <w:tab w:val="decimal" w:pos="207"/>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13379300"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c>
          <w:tcPr>
            <w:tcW w:w="817" w:type="dxa"/>
            <w:vAlign w:val="center"/>
          </w:tcPr>
          <w:p w14:paraId="560F1022"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r>
      <w:tr w:rsidR="00114E16" w:rsidRPr="00114E16" w14:paraId="2845CDD0" w14:textId="77777777" w:rsidTr="005F4639">
        <w:trPr>
          <w:trHeight w:val="20"/>
        </w:trPr>
        <w:tc>
          <w:tcPr>
            <w:tcW w:w="2790" w:type="dxa"/>
            <w:gridSpan w:val="3"/>
            <w:tcMar>
              <w:left w:w="0" w:type="dxa"/>
              <w:right w:w="0" w:type="dxa"/>
            </w:tcMar>
            <w:vAlign w:val="center"/>
          </w:tcPr>
          <w:p w14:paraId="3F4D53C0" w14:textId="77777777" w:rsidR="00144849" w:rsidRPr="00114E16" w:rsidRDefault="00144849" w:rsidP="005F4639">
            <w:pPr>
              <w:ind w:left="180"/>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Linear</w:t>
            </w:r>
          </w:p>
        </w:tc>
        <w:tc>
          <w:tcPr>
            <w:tcW w:w="2880" w:type="dxa"/>
            <w:gridSpan w:val="2"/>
            <w:tcMar>
              <w:left w:w="0" w:type="dxa"/>
              <w:right w:w="0" w:type="dxa"/>
            </w:tcMar>
            <w:vAlign w:val="center"/>
          </w:tcPr>
          <w:p w14:paraId="1492D401" w14:textId="77777777" w:rsidR="00144849" w:rsidRPr="00114E16" w:rsidRDefault="00144849" w:rsidP="005F4639">
            <w:pPr>
              <w:tabs>
                <w:tab w:val="decimal" w:pos="36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 xml:space="preserve">-0.001* (0.001) </w:t>
            </w:r>
            <w:r w:rsidRPr="00114E16">
              <w:rPr>
                <w:rFonts w:ascii="Times New Roman" w:hAnsi="Times New Roman" w:cs="Times New Roman"/>
                <w:color w:val="000000" w:themeColor="text1"/>
                <w:sz w:val="22"/>
                <w:szCs w:val="22"/>
                <w:vertAlign w:val="superscript"/>
              </w:rPr>
              <w:t>a</w:t>
            </w:r>
          </w:p>
        </w:tc>
        <w:tc>
          <w:tcPr>
            <w:tcW w:w="3145" w:type="dxa"/>
            <w:tcMar>
              <w:left w:w="0" w:type="dxa"/>
              <w:right w:w="0" w:type="dxa"/>
            </w:tcMar>
            <w:vAlign w:val="center"/>
          </w:tcPr>
          <w:p w14:paraId="5FDBE960" w14:textId="77777777" w:rsidR="00144849" w:rsidRPr="00114E16" w:rsidRDefault="00144849" w:rsidP="005F4639">
            <w:pPr>
              <w:tabs>
                <w:tab w:val="decimal" w:pos="630"/>
              </w:tabs>
              <w:contextualSpacing/>
              <w:rPr>
                <w:rFonts w:ascii="Times New Roman" w:hAnsi="Times New Roman" w:cs="Times New Roman"/>
                <w:color w:val="000000" w:themeColor="text1"/>
                <w:sz w:val="22"/>
                <w:szCs w:val="22"/>
                <w:vertAlign w:val="superscript"/>
              </w:rPr>
            </w:pPr>
            <w:r w:rsidRPr="00114E16">
              <w:rPr>
                <w:rFonts w:ascii="Times New Roman" w:hAnsi="Times New Roman" w:cs="Times New Roman"/>
                <w:color w:val="000000" w:themeColor="text1"/>
                <w:sz w:val="22"/>
                <w:szCs w:val="22"/>
              </w:rPr>
              <w:t>0.088</w:t>
            </w:r>
            <w:proofErr w:type="gramStart"/>
            <w:r w:rsidRPr="00114E16">
              <w:rPr>
                <w:rFonts w:ascii="Times New Roman" w:hAnsi="Times New Roman" w:cs="Times New Roman"/>
                <w:color w:val="000000" w:themeColor="text1"/>
                <w:sz w:val="22"/>
                <w:szCs w:val="22"/>
                <w:vertAlign w:val="superscript"/>
              </w:rPr>
              <w:t xml:space="preserve">* </w:t>
            </w:r>
            <w:r w:rsidRPr="00114E16">
              <w:rPr>
                <w:rFonts w:ascii="Times New Roman" w:hAnsi="Times New Roman" w:cs="Times New Roman"/>
                <w:color w:val="000000" w:themeColor="text1"/>
                <w:sz w:val="22"/>
                <w:szCs w:val="22"/>
              </w:rPr>
              <w:t xml:space="preserve"> (</w:t>
            </w:r>
            <w:proofErr w:type="gramEnd"/>
            <w:r w:rsidRPr="00114E16">
              <w:rPr>
                <w:rFonts w:ascii="Times New Roman" w:hAnsi="Times New Roman" w:cs="Times New Roman"/>
                <w:color w:val="000000" w:themeColor="text1"/>
                <w:sz w:val="22"/>
                <w:szCs w:val="22"/>
              </w:rPr>
              <w:t>0.034)</w:t>
            </w:r>
            <w:r w:rsidRPr="00114E16">
              <w:rPr>
                <w:rFonts w:ascii="Times New Roman" w:hAnsi="Times New Roman" w:cs="Times New Roman"/>
                <w:color w:val="000000" w:themeColor="text1"/>
                <w:sz w:val="22"/>
                <w:szCs w:val="22"/>
                <w:vertAlign w:val="superscript"/>
              </w:rPr>
              <w:t xml:space="preserve"> </w:t>
            </w:r>
          </w:p>
        </w:tc>
        <w:tc>
          <w:tcPr>
            <w:tcW w:w="816" w:type="dxa"/>
            <w:tcMar>
              <w:left w:w="0" w:type="dxa"/>
              <w:right w:w="0" w:type="dxa"/>
            </w:tcMar>
            <w:vAlign w:val="center"/>
          </w:tcPr>
          <w:p w14:paraId="1294FEDD" w14:textId="77777777" w:rsidR="00144849" w:rsidRPr="00114E16" w:rsidRDefault="00144849" w:rsidP="005F4639">
            <w:pPr>
              <w:tabs>
                <w:tab w:val="decimal" w:pos="239"/>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790228D7" w14:textId="77777777" w:rsidR="00144849" w:rsidRPr="00114E16" w:rsidRDefault="00144849" w:rsidP="005F4639">
            <w:pPr>
              <w:tabs>
                <w:tab w:val="decimal" w:pos="313"/>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62E5C806" w14:textId="77777777" w:rsidR="00144849" w:rsidRPr="00114E16" w:rsidRDefault="00144849" w:rsidP="005F4639">
            <w:pPr>
              <w:tabs>
                <w:tab w:val="decimal" w:pos="207"/>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24377B34"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c>
          <w:tcPr>
            <w:tcW w:w="817" w:type="dxa"/>
            <w:vAlign w:val="center"/>
          </w:tcPr>
          <w:p w14:paraId="7F7E3861"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r>
      <w:tr w:rsidR="00114E16" w:rsidRPr="00114E16" w14:paraId="291D2218" w14:textId="77777777" w:rsidTr="005F4639">
        <w:trPr>
          <w:trHeight w:val="20"/>
        </w:trPr>
        <w:tc>
          <w:tcPr>
            <w:tcW w:w="2610" w:type="dxa"/>
            <w:gridSpan w:val="2"/>
            <w:tcMar>
              <w:left w:w="0" w:type="dxa"/>
              <w:right w:w="0" w:type="dxa"/>
            </w:tcMar>
            <w:vAlign w:val="center"/>
          </w:tcPr>
          <w:p w14:paraId="18F55FAF" w14:textId="77777777" w:rsidR="00144849" w:rsidRPr="00114E16" w:rsidRDefault="00144849" w:rsidP="005F4639">
            <w:pPr>
              <w:ind w:left="180"/>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Quadratic</w:t>
            </w:r>
          </w:p>
        </w:tc>
        <w:tc>
          <w:tcPr>
            <w:tcW w:w="3060" w:type="dxa"/>
            <w:gridSpan w:val="3"/>
            <w:tcMar>
              <w:left w:w="0" w:type="dxa"/>
              <w:right w:w="0" w:type="dxa"/>
            </w:tcMar>
            <w:vAlign w:val="center"/>
          </w:tcPr>
          <w:p w14:paraId="18647C1E" w14:textId="77777777" w:rsidR="00144849" w:rsidRPr="00114E16" w:rsidRDefault="00144849" w:rsidP="005F4639">
            <w:pPr>
              <w:tabs>
                <w:tab w:val="decimal" w:pos="36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 xml:space="preserve"> </w:t>
            </w:r>
          </w:p>
        </w:tc>
        <w:tc>
          <w:tcPr>
            <w:tcW w:w="3145" w:type="dxa"/>
            <w:tcMar>
              <w:left w:w="0" w:type="dxa"/>
              <w:right w:w="0" w:type="dxa"/>
            </w:tcMar>
            <w:vAlign w:val="center"/>
          </w:tcPr>
          <w:p w14:paraId="61FA3F92" w14:textId="77777777" w:rsidR="00144849" w:rsidRPr="00114E16" w:rsidRDefault="00144849" w:rsidP="005F4639">
            <w:pPr>
              <w:tabs>
                <w:tab w:val="decimal" w:pos="62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-0.007* (0.003)</w:t>
            </w:r>
          </w:p>
        </w:tc>
        <w:tc>
          <w:tcPr>
            <w:tcW w:w="816" w:type="dxa"/>
            <w:tcMar>
              <w:left w:w="0" w:type="dxa"/>
              <w:right w:w="0" w:type="dxa"/>
            </w:tcMar>
            <w:vAlign w:val="center"/>
          </w:tcPr>
          <w:p w14:paraId="5865B87A" w14:textId="77777777" w:rsidR="00144849" w:rsidRPr="00114E16" w:rsidRDefault="00144849" w:rsidP="005F4639">
            <w:pPr>
              <w:tabs>
                <w:tab w:val="decimal" w:pos="239"/>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51630480" w14:textId="77777777" w:rsidR="00144849" w:rsidRPr="00114E16" w:rsidRDefault="00144849" w:rsidP="005F4639">
            <w:pPr>
              <w:tabs>
                <w:tab w:val="decimal" w:pos="313"/>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5EB076B8" w14:textId="77777777" w:rsidR="00144849" w:rsidRPr="00114E16" w:rsidRDefault="00144849" w:rsidP="005F4639">
            <w:pPr>
              <w:tabs>
                <w:tab w:val="decimal" w:pos="207"/>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32C750FA"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c>
          <w:tcPr>
            <w:tcW w:w="817" w:type="dxa"/>
            <w:vAlign w:val="center"/>
          </w:tcPr>
          <w:p w14:paraId="237A6262"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r>
      <w:tr w:rsidR="00114E16" w:rsidRPr="00114E16" w14:paraId="4C8A5A4B" w14:textId="77777777" w:rsidTr="005F4639">
        <w:trPr>
          <w:trHeight w:val="20"/>
        </w:trPr>
        <w:tc>
          <w:tcPr>
            <w:tcW w:w="2610" w:type="dxa"/>
            <w:gridSpan w:val="2"/>
            <w:tcMar>
              <w:left w:w="0" w:type="dxa"/>
              <w:right w:w="0" w:type="dxa"/>
            </w:tcMar>
            <w:vAlign w:val="center"/>
          </w:tcPr>
          <w:p w14:paraId="5DB1BA0D" w14:textId="77777777" w:rsidR="00144849" w:rsidRPr="00114E16" w:rsidRDefault="00144849" w:rsidP="005F4639">
            <w:pPr>
              <w:ind w:left="180"/>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Cubic</w:t>
            </w:r>
          </w:p>
        </w:tc>
        <w:tc>
          <w:tcPr>
            <w:tcW w:w="3060" w:type="dxa"/>
            <w:gridSpan w:val="3"/>
            <w:tcMar>
              <w:left w:w="0" w:type="dxa"/>
              <w:right w:w="0" w:type="dxa"/>
            </w:tcMar>
            <w:vAlign w:val="center"/>
          </w:tcPr>
          <w:p w14:paraId="063B5B92" w14:textId="77777777" w:rsidR="00144849" w:rsidRPr="00114E16" w:rsidRDefault="00144849" w:rsidP="005F4639">
            <w:pPr>
              <w:tabs>
                <w:tab w:val="decimal" w:pos="360"/>
              </w:tabs>
              <w:contextualSpacing/>
              <w:rPr>
                <w:rFonts w:ascii="Times New Roman" w:hAnsi="Times New Roman" w:cs="Times New Roman"/>
                <w:color w:val="000000" w:themeColor="text1"/>
                <w:sz w:val="22"/>
                <w:szCs w:val="22"/>
              </w:rPr>
            </w:pPr>
          </w:p>
        </w:tc>
        <w:tc>
          <w:tcPr>
            <w:tcW w:w="3145" w:type="dxa"/>
            <w:tcMar>
              <w:left w:w="0" w:type="dxa"/>
              <w:right w:w="0" w:type="dxa"/>
            </w:tcMar>
            <w:vAlign w:val="center"/>
          </w:tcPr>
          <w:p w14:paraId="2E349129" w14:textId="77777777" w:rsidR="00144849" w:rsidRPr="00114E16" w:rsidRDefault="00144849" w:rsidP="005F4639">
            <w:pPr>
              <w:tabs>
                <w:tab w:val="decimal" w:pos="62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0.001* (0.001)</w:t>
            </w:r>
          </w:p>
        </w:tc>
        <w:tc>
          <w:tcPr>
            <w:tcW w:w="816" w:type="dxa"/>
            <w:tcMar>
              <w:left w:w="0" w:type="dxa"/>
              <w:right w:w="0" w:type="dxa"/>
            </w:tcMar>
            <w:vAlign w:val="center"/>
          </w:tcPr>
          <w:p w14:paraId="31B19050" w14:textId="77777777" w:rsidR="00144849" w:rsidRPr="00114E16" w:rsidRDefault="00144849" w:rsidP="005F4639">
            <w:pPr>
              <w:tabs>
                <w:tab w:val="decimal" w:pos="239"/>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03FA0C4E" w14:textId="77777777" w:rsidR="00144849" w:rsidRPr="00114E16" w:rsidRDefault="00144849" w:rsidP="005F4639">
            <w:pPr>
              <w:tabs>
                <w:tab w:val="decimal" w:pos="313"/>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2AB6CB81" w14:textId="77777777" w:rsidR="00144849" w:rsidRPr="00114E16" w:rsidRDefault="00144849" w:rsidP="005F4639">
            <w:pPr>
              <w:tabs>
                <w:tab w:val="decimal" w:pos="207"/>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41A9CC0F"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c>
          <w:tcPr>
            <w:tcW w:w="817" w:type="dxa"/>
            <w:vAlign w:val="center"/>
          </w:tcPr>
          <w:p w14:paraId="2A063E22"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r>
      <w:tr w:rsidR="00114E16" w:rsidRPr="00114E16" w14:paraId="57EF2E21" w14:textId="77777777" w:rsidTr="005F4639">
        <w:trPr>
          <w:trHeight w:val="20"/>
        </w:trPr>
        <w:tc>
          <w:tcPr>
            <w:tcW w:w="2610" w:type="dxa"/>
            <w:gridSpan w:val="2"/>
            <w:tcMar>
              <w:left w:w="0" w:type="dxa"/>
              <w:right w:w="0" w:type="dxa"/>
            </w:tcMar>
            <w:vAlign w:val="center"/>
          </w:tcPr>
          <w:p w14:paraId="72B6D512" w14:textId="77777777" w:rsidR="00144849" w:rsidRPr="00114E16" w:rsidRDefault="00144849" w:rsidP="005F4639">
            <w:pPr>
              <w:ind w:left="180"/>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Quartic</w:t>
            </w:r>
          </w:p>
        </w:tc>
        <w:tc>
          <w:tcPr>
            <w:tcW w:w="3060" w:type="dxa"/>
            <w:gridSpan w:val="3"/>
            <w:tcMar>
              <w:left w:w="0" w:type="dxa"/>
              <w:right w:w="0" w:type="dxa"/>
            </w:tcMar>
            <w:vAlign w:val="center"/>
          </w:tcPr>
          <w:p w14:paraId="6B190DF8" w14:textId="77777777" w:rsidR="00144849" w:rsidRPr="00114E16" w:rsidRDefault="00144849" w:rsidP="005F4639">
            <w:pPr>
              <w:tabs>
                <w:tab w:val="decimal" w:pos="360"/>
              </w:tabs>
              <w:contextualSpacing/>
              <w:rPr>
                <w:rFonts w:ascii="Times New Roman" w:hAnsi="Times New Roman" w:cs="Times New Roman"/>
                <w:color w:val="000000" w:themeColor="text1"/>
                <w:sz w:val="22"/>
                <w:szCs w:val="22"/>
              </w:rPr>
            </w:pPr>
          </w:p>
        </w:tc>
        <w:tc>
          <w:tcPr>
            <w:tcW w:w="3145" w:type="dxa"/>
            <w:tcMar>
              <w:left w:w="0" w:type="dxa"/>
              <w:right w:w="0" w:type="dxa"/>
            </w:tcMar>
            <w:vAlign w:val="center"/>
          </w:tcPr>
          <w:p w14:paraId="3B39DBCE" w14:textId="77777777" w:rsidR="00144849" w:rsidRPr="00114E16" w:rsidRDefault="00144849" w:rsidP="005F4639">
            <w:pPr>
              <w:tabs>
                <w:tab w:val="decimal" w:pos="620"/>
              </w:tabs>
              <w:contextualSpacing/>
              <w:rPr>
                <w:rFonts w:ascii="Times New Roman" w:hAnsi="Times New Roman" w:cs="Times New Roman"/>
                <w:color w:val="000000" w:themeColor="text1"/>
                <w:sz w:val="22"/>
                <w:szCs w:val="22"/>
                <w:vertAlign w:val="superscript"/>
              </w:rPr>
            </w:pPr>
            <w:r w:rsidRPr="00114E16">
              <w:rPr>
                <w:rFonts w:ascii="Times New Roman" w:hAnsi="Times New Roman" w:cs="Times New Roman"/>
                <w:color w:val="000000" w:themeColor="text1"/>
                <w:sz w:val="22"/>
                <w:szCs w:val="22"/>
              </w:rPr>
              <w:t xml:space="preserve">-0.001* (0.001) </w:t>
            </w:r>
            <w:r w:rsidRPr="00114E16">
              <w:rPr>
                <w:rFonts w:ascii="Times New Roman" w:hAnsi="Times New Roman" w:cs="Times New Roman"/>
                <w:color w:val="000000" w:themeColor="text1"/>
                <w:sz w:val="22"/>
                <w:szCs w:val="22"/>
                <w:vertAlign w:val="superscript"/>
              </w:rPr>
              <w:t>a</w:t>
            </w:r>
          </w:p>
        </w:tc>
        <w:tc>
          <w:tcPr>
            <w:tcW w:w="816" w:type="dxa"/>
            <w:tcMar>
              <w:left w:w="0" w:type="dxa"/>
              <w:right w:w="0" w:type="dxa"/>
            </w:tcMar>
            <w:vAlign w:val="center"/>
          </w:tcPr>
          <w:p w14:paraId="35B2394A" w14:textId="77777777" w:rsidR="00144849" w:rsidRPr="00114E16" w:rsidRDefault="00144849" w:rsidP="005F4639">
            <w:pPr>
              <w:tabs>
                <w:tab w:val="decimal" w:pos="239"/>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114CA25A" w14:textId="77777777" w:rsidR="00144849" w:rsidRPr="00114E16" w:rsidRDefault="00144849" w:rsidP="005F4639">
            <w:pPr>
              <w:tabs>
                <w:tab w:val="decimal" w:pos="313"/>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43FD21B3" w14:textId="77777777" w:rsidR="00144849" w:rsidRPr="00114E16" w:rsidRDefault="00144849" w:rsidP="005F4639">
            <w:pPr>
              <w:tabs>
                <w:tab w:val="decimal" w:pos="207"/>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6102A30C"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c>
          <w:tcPr>
            <w:tcW w:w="817" w:type="dxa"/>
            <w:vAlign w:val="center"/>
          </w:tcPr>
          <w:p w14:paraId="3D35E717"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r>
      <w:tr w:rsidR="00114E16" w:rsidRPr="00114E16" w14:paraId="4C880D68" w14:textId="77777777" w:rsidTr="005F4639">
        <w:trPr>
          <w:trHeight w:val="20"/>
        </w:trPr>
        <w:tc>
          <w:tcPr>
            <w:tcW w:w="5040" w:type="dxa"/>
            <w:gridSpan w:val="4"/>
            <w:tcMar>
              <w:top w:w="0" w:type="dxa"/>
              <w:left w:w="0" w:type="dxa"/>
              <w:right w:w="0" w:type="dxa"/>
            </w:tcMar>
            <w:vAlign w:val="center"/>
          </w:tcPr>
          <w:p w14:paraId="0DC97A7D" w14:textId="05C88FF5" w:rsidR="00144849" w:rsidRPr="00114E16" w:rsidRDefault="00E02206" w:rsidP="005F4639">
            <w:pPr>
              <w:tabs>
                <w:tab w:val="decimal" w:pos="271"/>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 xml:space="preserve">Symmetrical No.2 </w:t>
            </w:r>
            <w:r w:rsidR="00144849" w:rsidRPr="00114E16">
              <w:rPr>
                <w:rFonts w:ascii="Times New Roman" w:hAnsi="Times New Roman" w:cs="Times New Roman"/>
                <w:color w:val="000000" w:themeColor="text1"/>
                <w:sz w:val="22"/>
                <w:szCs w:val="22"/>
              </w:rPr>
              <w:t>(</w:t>
            </w:r>
            <w:r w:rsidR="00144849" w:rsidRPr="00114E16">
              <w:rPr>
                <w:rFonts w:ascii="Times New Roman" w:hAnsi="Times New Roman" w:cs="Times New Roman"/>
                <w:i/>
                <w:color w:val="000000" w:themeColor="text1"/>
                <w:sz w:val="22"/>
                <w:szCs w:val="22"/>
              </w:rPr>
              <w:t>n</w:t>
            </w:r>
            <w:r w:rsidR="00144849" w:rsidRPr="00114E16">
              <w:rPr>
                <w:rFonts w:ascii="Times New Roman" w:hAnsi="Times New Roman" w:cs="Times New Roman"/>
                <w:color w:val="000000" w:themeColor="text1"/>
                <w:sz w:val="22"/>
                <w:szCs w:val="22"/>
              </w:rPr>
              <w:t>=12)</w:t>
            </w:r>
          </w:p>
        </w:tc>
        <w:tc>
          <w:tcPr>
            <w:tcW w:w="3775" w:type="dxa"/>
            <w:gridSpan w:val="2"/>
            <w:tcMar>
              <w:top w:w="0" w:type="dxa"/>
              <w:left w:w="0" w:type="dxa"/>
              <w:right w:w="0" w:type="dxa"/>
            </w:tcMar>
            <w:vAlign w:val="center"/>
          </w:tcPr>
          <w:p w14:paraId="056CC05E" w14:textId="77777777" w:rsidR="00144849" w:rsidRPr="00114E16" w:rsidRDefault="00144849" w:rsidP="005F4639">
            <w:pPr>
              <w:tabs>
                <w:tab w:val="decimal" w:pos="255"/>
              </w:tabs>
              <w:contextualSpacing/>
              <w:jc w:val="center"/>
              <w:rPr>
                <w:rFonts w:ascii="Times New Roman" w:hAnsi="Times New Roman" w:cs="Times New Roman"/>
                <w:color w:val="000000" w:themeColor="text1"/>
                <w:sz w:val="22"/>
                <w:szCs w:val="22"/>
              </w:rPr>
            </w:pPr>
          </w:p>
        </w:tc>
        <w:tc>
          <w:tcPr>
            <w:tcW w:w="816" w:type="dxa"/>
            <w:tcMar>
              <w:top w:w="0" w:type="dxa"/>
              <w:left w:w="0" w:type="dxa"/>
              <w:right w:w="0" w:type="dxa"/>
            </w:tcMar>
            <w:vAlign w:val="center"/>
          </w:tcPr>
          <w:p w14:paraId="381C770B" w14:textId="77777777" w:rsidR="00144849" w:rsidRPr="00114E16" w:rsidRDefault="00144849" w:rsidP="005F4639">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.997</w:t>
            </w:r>
          </w:p>
        </w:tc>
        <w:tc>
          <w:tcPr>
            <w:tcW w:w="816" w:type="dxa"/>
            <w:tcMar>
              <w:top w:w="0" w:type="dxa"/>
              <w:left w:w="0" w:type="dxa"/>
              <w:right w:w="0" w:type="dxa"/>
            </w:tcMar>
            <w:vAlign w:val="center"/>
          </w:tcPr>
          <w:p w14:paraId="370FB0DF" w14:textId="77777777" w:rsidR="00144849" w:rsidRPr="00114E16" w:rsidRDefault="00144849" w:rsidP="005F4639">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1772.44</w:t>
            </w:r>
          </w:p>
        </w:tc>
        <w:tc>
          <w:tcPr>
            <w:tcW w:w="816" w:type="dxa"/>
            <w:tcMar>
              <w:top w:w="0" w:type="dxa"/>
              <w:left w:w="0" w:type="dxa"/>
              <w:right w:w="0" w:type="dxa"/>
            </w:tcMar>
            <w:vAlign w:val="center"/>
          </w:tcPr>
          <w:p w14:paraId="7001269D" w14:textId="77777777" w:rsidR="00144849" w:rsidRPr="00114E16" w:rsidRDefault="00144849" w:rsidP="005F4639">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.107</w:t>
            </w:r>
          </w:p>
        </w:tc>
        <w:tc>
          <w:tcPr>
            <w:tcW w:w="816" w:type="dxa"/>
            <w:tcMar>
              <w:top w:w="0" w:type="dxa"/>
              <w:left w:w="0" w:type="dxa"/>
              <w:right w:w="0" w:type="dxa"/>
            </w:tcMar>
            <w:vAlign w:val="center"/>
          </w:tcPr>
          <w:p w14:paraId="77333970" w14:textId="77777777" w:rsidR="00144849" w:rsidRPr="00114E16" w:rsidRDefault="00144849" w:rsidP="005F4639">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.107</w:t>
            </w:r>
          </w:p>
        </w:tc>
        <w:tc>
          <w:tcPr>
            <w:tcW w:w="817" w:type="dxa"/>
            <w:tcMar>
              <w:top w:w="0" w:type="dxa"/>
            </w:tcMar>
            <w:vAlign w:val="center"/>
          </w:tcPr>
          <w:p w14:paraId="032F66D1" w14:textId="77777777" w:rsidR="00144849" w:rsidRPr="00114E16" w:rsidRDefault="00144849" w:rsidP="005F4639">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1.000</w:t>
            </w:r>
          </w:p>
        </w:tc>
      </w:tr>
      <w:tr w:rsidR="00114E16" w:rsidRPr="00114E16" w14:paraId="06201E12" w14:textId="77777777" w:rsidTr="005F4639">
        <w:trPr>
          <w:trHeight w:val="20"/>
        </w:trPr>
        <w:tc>
          <w:tcPr>
            <w:tcW w:w="2790" w:type="dxa"/>
            <w:gridSpan w:val="3"/>
            <w:tcMar>
              <w:left w:w="0" w:type="dxa"/>
              <w:right w:w="0" w:type="dxa"/>
            </w:tcMar>
            <w:vAlign w:val="center"/>
          </w:tcPr>
          <w:p w14:paraId="1A773271" w14:textId="77777777" w:rsidR="00144849" w:rsidRPr="00114E16" w:rsidRDefault="00144849" w:rsidP="005F4639">
            <w:pPr>
              <w:ind w:left="180"/>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Intercept</w:t>
            </w:r>
          </w:p>
        </w:tc>
        <w:tc>
          <w:tcPr>
            <w:tcW w:w="2880" w:type="dxa"/>
            <w:gridSpan w:val="2"/>
            <w:tcMar>
              <w:left w:w="0" w:type="dxa"/>
              <w:right w:w="0" w:type="dxa"/>
            </w:tcMar>
            <w:vAlign w:val="center"/>
          </w:tcPr>
          <w:p w14:paraId="69D6D37E" w14:textId="77777777" w:rsidR="00144849" w:rsidRPr="00114E16" w:rsidRDefault="00144849" w:rsidP="005F4639">
            <w:pPr>
              <w:tabs>
                <w:tab w:val="decimal" w:pos="36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 xml:space="preserve"> 0.644* (0.016)</w:t>
            </w:r>
            <w:r w:rsidRPr="00114E16">
              <w:rPr>
                <w:rFonts w:ascii="Times New Roman" w:hAnsi="Times New Roman" w:cs="Times New Roman"/>
                <w:color w:val="000000" w:themeColor="text1"/>
                <w:sz w:val="22"/>
                <w:szCs w:val="22"/>
                <w:vertAlign w:val="superscript"/>
              </w:rPr>
              <w:t xml:space="preserve"> C</w:t>
            </w:r>
          </w:p>
        </w:tc>
        <w:tc>
          <w:tcPr>
            <w:tcW w:w="3145" w:type="dxa"/>
            <w:tcMar>
              <w:left w:w="0" w:type="dxa"/>
              <w:right w:w="0" w:type="dxa"/>
            </w:tcMar>
            <w:vAlign w:val="center"/>
          </w:tcPr>
          <w:p w14:paraId="717C7CAF" w14:textId="77777777" w:rsidR="00144849" w:rsidRPr="00114E16" w:rsidRDefault="00144849" w:rsidP="005F4639">
            <w:pPr>
              <w:tabs>
                <w:tab w:val="decimal" w:pos="63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3.006* (0.120)</w:t>
            </w:r>
            <w:r w:rsidRPr="00114E16">
              <w:rPr>
                <w:rFonts w:ascii="Times New Roman" w:hAnsi="Times New Roman" w:cs="Times New Roman"/>
                <w:color w:val="000000" w:themeColor="text1"/>
                <w:sz w:val="22"/>
                <w:szCs w:val="22"/>
                <w:vertAlign w:val="superscript"/>
              </w:rPr>
              <w:t xml:space="preserve"> B</w:t>
            </w:r>
          </w:p>
        </w:tc>
        <w:tc>
          <w:tcPr>
            <w:tcW w:w="816" w:type="dxa"/>
            <w:tcMar>
              <w:left w:w="0" w:type="dxa"/>
              <w:right w:w="0" w:type="dxa"/>
            </w:tcMar>
            <w:vAlign w:val="center"/>
          </w:tcPr>
          <w:p w14:paraId="4FC845B3" w14:textId="77777777" w:rsidR="00144849" w:rsidRPr="00114E16" w:rsidRDefault="00144849" w:rsidP="005F4639">
            <w:pPr>
              <w:tabs>
                <w:tab w:val="decimal" w:pos="239"/>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5126D53E" w14:textId="77777777" w:rsidR="00144849" w:rsidRPr="00114E16" w:rsidRDefault="00144849" w:rsidP="005F4639">
            <w:pPr>
              <w:tabs>
                <w:tab w:val="decimal" w:pos="313"/>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59CF96F8" w14:textId="77777777" w:rsidR="00144849" w:rsidRPr="00114E16" w:rsidRDefault="00144849" w:rsidP="005F4639">
            <w:pPr>
              <w:tabs>
                <w:tab w:val="decimal" w:pos="207"/>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0BDF9412"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c>
          <w:tcPr>
            <w:tcW w:w="817" w:type="dxa"/>
            <w:vAlign w:val="center"/>
          </w:tcPr>
          <w:p w14:paraId="1B402034"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r>
      <w:tr w:rsidR="00114E16" w:rsidRPr="00114E16" w14:paraId="141D71D3" w14:textId="77777777" w:rsidTr="005F4639">
        <w:trPr>
          <w:trHeight w:val="20"/>
        </w:trPr>
        <w:tc>
          <w:tcPr>
            <w:tcW w:w="2790" w:type="dxa"/>
            <w:gridSpan w:val="3"/>
            <w:tcMar>
              <w:left w:w="0" w:type="dxa"/>
              <w:right w:w="0" w:type="dxa"/>
            </w:tcMar>
            <w:vAlign w:val="center"/>
          </w:tcPr>
          <w:p w14:paraId="192E4E57" w14:textId="77777777" w:rsidR="00144849" w:rsidRPr="00114E16" w:rsidRDefault="00144849" w:rsidP="005F4639">
            <w:pPr>
              <w:ind w:left="180"/>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Linear</w:t>
            </w:r>
          </w:p>
        </w:tc>
        <w:tc>
          <w:tcPr>
            <w:tcW w:w="2880" w:type="dxa"/>
            <w:gridSpan w:val="2"/>
            <w:tcMar>
              <w:left w:w="0" w:type="dxa"/>
              <w:right w:w="0" w:type="dxa"/>
            </w:tcMar>
            <w:vAlign w:val="center"/>
          </w:tcPr>
          <w:p w14:paraId="2080231E" w14:textId="77777777" w:rsidR="00144849" w:rsidRPr="00114E16" w:rsidRDefault="00144849" w:rsidP="005F4639">
            <w:pPr>
              <w:tabs>
                <w:tab w:val="decimal" w:pos="360"/>
              </w:tabs>
              <w:contextualSpacing/>
              <w:rPr>
                <w:rFonts w:ascii="Times New Roman" w:hAnsi="Times New Roman" w:cs="Times New Roman"/>
                <w:color w:val="000000" w:themeColor="text1"/>
                <w:sz w:val="22"/>
                <w:szCs w:val="22"/>
                <w:vertAlign w:val="superscript"/>
              </w:rPr>
            </w:pPr>
            <w:r w:rsidRPr="00114E16">
              <w:rPr>
                <w:rFonts w:ascii="Times New Roman" w:hAnsi="Times New Roman" w:cs="Times New Roman"/>
                <w:color w:val="000000" w:themeColor="text1"/>
                <w:sz w:val="22"/>
                <w:szCs w:val="22"/>
              </w:rPr>
              <w:t>0.004* (0.001)</w:t>
            </w:r>
            <w:r w:rsidRPr="00114E16">
              <w:rPr>
                <w:rFonts w:ascii="Times New Roman" w:hAnsi="Times New Roman" w:cs="Times New Roman"/>
                <w:color w:val="000000" w:themeColor="text1"/>
                <w:sz w:val="22"/>
                <w:szCs w:val="22"/>
                <w:vertAlign w:val="superscript"/>
              </w:rPr>
              <w:t xml:space="preserve"> </w:t>
            </w:r>
          </w:p>
        </w:tc>
        <w:tc>
          <w:tcPr>
            <w:tcW w:w="3145" w:type="dxa"/>
            <w:tcMar>
              <w:left w:w="0" w:type="dxa"/>
              <w:right w:w="0" w:type="dxa"/>
            </w:tcMar>
            <w:vAlign w:val="center"/>
          </w:tcPr>
          <w:p w14:paraId="6ED0029F" w14:textId="77777777" w:rsidR="00144849" w:rsidRPr="00114E16" w:rsidRDefault="00144849" w:rsidP="005F4639">
            <w:pPr>
              <w:tabs>
                <w:tab w:val="decimal" w:pos="630"/>
              </w:tabs>
              <w:contextualSpacing/>
              <w:rPr>
                <w:rFonts w:ascii="Times New Roman" w:hAnsi="Times New Roman" w:cs="Times New Roman"/>
                <w:color w:val="000000" w:themeColor="text1"/>
                <w:sz w:val="22"/>
                <w:szCs w:val="22"/>
                <w:vertAlign w:val="superscript"/>
              </w:rPr>
            </w:pPr>
            <w:r w:rsidRPr="00114E16">
              <w:rPr>
                <w:rFonts w:ascii="Times New Roman" w:hAnsi="Times New Roman" w:cs="Times New Roman"/>
                <w:color w:val="000000" w:themeColor="text1"/>
                <w:sz w:val="22"/>
                <w:szCs w:val="22"/>
              </w:rPr>
              <w:t xml:space="preserve">0.125* (0.048) </w:t>
            </w:r>
          </w:p>
        </w:tc>
        <w:tc>
          <w:tcPr>
            <w:tcW w:w="816" w:type="dxa"/>
            <w:tcMar>
              <w:left w:w="0" w:type="dxa"/>
              <w:right w:w="0" w:type="dxa"/>
            </w:tcMar>
            <w:vAlign w:val="center"/>
          </w:tcPr>
          <w:p w14:paraId="3D018DF7" w14:textId="77777777" w:rsidR="00144849" w:rsidRPr="00114E16" w:rsidRDefault="00144849" w:rsidP="005F4639">
            <w:pPr>
              <w:tabs>
                <w:tab w:val="decimal" w:pos="239"/>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7FB00E79" w14:textId="77777777" w:rsidR="00144849" w:rsidRPr="00114E16" w:rsidRDefault="00144849" w:rsidP="005F4639">
            <w:pPr>
              <w:tabs>
                <w:tab w:val="decimal" w:pos="313"/>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20283EAE" w14:textId="77777777" w:rsidR="00144849" w:rsidRPr="00114E16" w:rsidRDefault="00144849" w:rsidP="005F4639">
            <w:pPr>
              <w:tabs>
                <w:tab w:val="decimal" w:pos="207"/>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42F96377"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c>
          <w:tcPr>
            <w:tcW w:w="817" w:type="dxa"/>
            <w:vAlign w:val="center"/>
          </w:tcPr>
          <w:p w14:paraId="7469A64B"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r>
      <w:tr w:rsidR="00114E16" w:rsidRPr="00114E16" w14:paraId="6B426F2F" w14:textId="77777777" w:rsidTr="005F4639">
        <w:trPr>
          <w:trHeight w:val="20"/>
        </w:trPr>
        <w:tc>
          <w:tcPr>
            <w:tcW w:w="2790" w:type="dxa"/>
            <w:gridSpan w:val="3"/>
            <w:tcMar>
              <w:left w:w="0" w:type="dxa"/>
              <w:right w:w="0" w:type="dxa"/>
            </w:tcMar>
            <w:vAlign w:val="center"/>
          </w:tcPr>
          <w:p w14:paraId="48A478C1" w14:textId="77777777" w:rsidR="00144849" w:rsidRPr="00114E16" w:rsidRDefault="00144849" w:rsidP="005F4639">
            <w:pPr>
              <w:ind w:left="180"/>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Quadratic</w:t>
            </w:r>
          </w:p>
        </w:tc>
        <w:tc>
          <w:tcPr>
            <w:tcW w:w="2880" w:type="dxa"/>
            <w:gridSpan w:val="2"/>
            <w:tcMar>
              <w:left w:w="0" w:type="dxa"/>
              <w:right w:w="0" w:type="dxa"/>
            </w:tcMar>
            <w:vAlign w:val="center"/>
          </w:tcPr>
          <w:p w14:paraId="68B95A6E" w14:textId="77777777" w:rsidR="00144849" w:rsidRPr="00114E16" w:rsidRDefault="00144849" w:rsidP="005F4639">
            <w:pPr>
              <w:tabs>
                <w:tab w:val="decimal" w:pos="35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-0.001* (0.001)</w:t>
            </w:r>
            <w:r w:rsidRPr="00114E16">
              <w:rPr>
                <w:rFonts w:ascii="Times New Roman" w:hAnsi="Times New Roman" w:cs="Times New Roman"/>
                <w:color w:val="000000" w:themeColor="text1"/>
                <w:sz w:val="22"/>
                <w:szCs w:val="22"/>
                <w:vertAlign w:val="superscript"/>
              </w:rPr>
              <w:t xml:space="preserve"> b</w:t>
            </w:r>
          </w:p>
        </w:tc>
        <w:tc>
          <w:tcPr>
            <w:tcW w:w="3145" w:type="dxa"/>
            <w:tcMar>
              <w:left w:w="0" w:type="dxa"/>
              <w:right w:w="0" w:type="dxa"/>
            </w:tcMar>
            <w:vAlign w:val="center"/>
          </w:tcPr>
          <w:p w14:paraId="29CF1164" w14:textId="77777777" w:rsidR="00144849" w:rsidRPr="00114E16" w:rsidRDefault="00144849" w:rsidP="005F4639">
            <w:pPr>
              <w:tabs>
                <w:tab w:val="decimal" w:pos="63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-0.007* (0.002)</w:t>
            </w:r>
          </w:p>
        </w:tc>
        <w:tc>
          <w:tcPr>
            <w:tcW w:w="816" w:type="dxa"/>
            <w:tcMar>
              <w:left w:w="0" w:type="dxa"/>
              <w:right w:w="0" w:type="dxa"/>
            </w:tcMar>
            <w:vAlign w:val="center"/>
          </w:tcPr>
          <w:p w14:paraId="07DB0498" w14:textId="77777777" w:rsidR="00144849" w:rsidRPr="00114E16" w:rsidRDefault="00144849" w:rsidP="005F4639">
            <w:pPr>
              <w:tabs>
                <w:tab w:val="decimal" w:pos="239"/>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784BF7D5" w14:textId="77777777" w:rsidR="00144849" w:rsidRPr="00114E16" w:rsidRDefault="00144849" w:rsidP="005F4639">
            <w:pPr>
              <w:tabs>
                <w:tab w:val="decimal" w:pos="313"/>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156FA490" w14:textId="77777777" w:rsidR="00144849" w:rsidRPr="00114E16" w:rsidRDefault="00144849" w:rsidP="005F4639">
            <w:pPr>
              <w:tabs>
                <w:tab w:val="decimal" w:pos="207"/>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7708D74A"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c>
          <w:tcPr>
            <w:tcW w:w="817" w:type="dxa"/>
            <w:vAlign w:val="center"/>
          </w:tcPr>
          <w:p w14:paraId="29382DD1"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r>
      <w:tr w:rsidR="00114E16" w:rsidRPr="00114E16" w14:paraId="7A2DDC5D" w14:textId="77777777" w:rsidTr="005F4639">
        <w:trPr>
          <w:trHeight w:val="20"/>
        </w:trPr>
        <w:tc>
          <w:tcPr>
            <w:tcW w:w="2610" w:type="dxa"/>
            <w:gridSpan w:val="2"/>
            <w:tcMar>
              <w:left w:w="0" w:type="dxa"/>
              <w:right w:w="0" w:type="dxa"/>
            </w:tcMar>
            <w:vAlign w:val="center"/>
          </w:tcPr>
          <w:p w14:paraId="6EB04A1E" w14:textId="77777777" w:rsidR="00144849" w:rsidRPr="00114E16" w:rsidRDefault="00144849" w:rsidP="005F4639">
            <w:pPr>
              <w:ind w:left="180"/>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Cubic</w:t>
            </w:r>
          </w:p>
        </w:tc>
        <w:tc>
          <w:tcPr>
            <w:tcW w:w="3060" w:type="dxa"/>
            <w:gridSpan w:val="3"/>
            <w:tcMar>
              <w:left w:w="0" w:type="dxa"/>
              <w:right w:w="0" w:type="dxa"/>
            </w:tcMar>
            <w:vAlign w:val="center"/>
          </w:tcPr>
          <w:p w14:paraId="7C185E66" w14:textId="77777777" w:rsidR="00144849" w:rsidRPr="00114E16" w:rsidRDefault="00144849" w:rsidP="005F4639">
            <w:pPr>
              <w:tabs>
                <w:tab w:val="decimal" w:pos="350"/>
              </w:tabs>
              <w:contextualSpacing/>
              <w:rPr>
                <w:rFonts w:ascii="Times New Roman" w:hAnsi="Times New Roman" w:cs="Times New Roman"/>
                <w:color w:val="000000" w:themeColor="text1"/>
                <w:sz w:val="22"/>
                <w:szCs w:val="22"/>
              </w:rPr>
            </w:pPr>
          </w:p>
        </w:tc>
        <w:tc>
          <w:tcPr>
            <w:tcW w:w="3145" w:type="dxa"/>
            <w:tcMar>
              <w:left w:w="0" w:type="dxa"/>
              <w:right w:w="0" w:type="dxa"/>
            </w:tcMar>
            <w:vAlign w:val="center"/>
          </w:tcPr>
          <w:p w14:paraId="4DEA78D9" w14:textId="77777777" w:rsidR="00144849" w:rsidRPr="00114E16" w:rsidRDefault="00144849" w:rsidP="005F4639">
            <w:pPr>
              <w:tabs>
                <w:tab w:val="decimal" w:pos="62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0.001</w:t>
            </w:r>
            <w:r w:rsidRPr="00114E16">
              <w:rPr>
                <w:rFonts w:ascii="Times New Roman" w:hAnsi="Times New Roman" w:cs="Times New Roman"/>
                <w:color w:val="000000" w:themeColor="text1"/>
                <w:sz w:val="22"/>
                <w:szCs w:val="22"/>
                <w:vertAlign w:val="superscript"/>
              </w:rPr>
              <w:t>†</w:t>
            </w:r>
            <w:r w:rsidRPr="00114E16">
              <w:rPr>
                <w:rFonts w:ascii="Times New Roman" w:hAnsi="Times New Roman" w:cs="Times New Roman"/>
                <w:color w:val="000000" w:themeColor="text1"/>
                <w:sz w:val="22"/>
                <w:szCs w:val="22"/>
              </w:rPr>
              <w:t xml:space="preserve"> (0.001)</w:t>
            </w:r>
          </w:p>
        </w:tc>
        <w:tc>
          <w:tcPr>
            <w:tcW w:w="816" w:type="dxa"/>
            <w:tcMar>
              <w:left w:w="0" w:type="dxa"/>
              <w:right w:w="0" w:type="dxa"/>
            </w:tcMar>
            <w:vAlign w:val="center"/>
          </w:tcPr>
          <w:p w14:paraId="372AF82C" w14:textId="77777777" w:rsidR="00144849" w:rsidRPr="00114E16" w:rsidRDefault="00144849" w:rsidP="005F4639">
            <w:pPr>
              <w:tabs>
                <w:tab w:val="decimal" w:pos="239"/>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067F7393" w14:textId="77777777" w:rsidR="00144849" w:rsidRPr="00114E16" w:rsidRDefault="00144849" w:rsidP="005F4639">
            <w:pPr>
              <w:tabs>
                <w:tab w:val="decimal" w:pos="313"/>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62817BBB" w14:textId="77777777" w:rsidR="00144849" w:rsidRPr="00114E16" w:rsidRDefault="00144849" w:rsidP="005F4639">
            <w:pPr>
              <w:tabs>
                <w:tab w:val="decimal" w:pos="207"/>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1C74B104"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c>
          <w:tcPr>
            <w:tcW w:w="817" w:type="dxa"/>
            <w:vAlign w:val="center"/>
          </w:tcPr>
          <w:p w14:paraId="43B7B880"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r>
      <w:tr w:rsidR="00114E16" w:rsidRPr="00114E16" w14:paraId="3643DEE2" w14:textId="77777777" w:rsidTr="005F4639">
        <w:trPr>
          <w:trHeight w:val="20"/>
        </w:trPr>
        <w:tc>
          <w:tcPr>
            <w:tcW w:w="2610" w:type="dxa"/>
            <w:gridSpan w:val="2"/>
            <w:tcMar>
              <w:left w:w="0" w:type="dxa"/>
              <w:right w:w="0" w:type="dxa"/>
            </w:tcMar>
            <w:vAlign w:val="center"/>
          </w:tcPr>
          <w:p w14:paraId="4C6BE222" w14:textId="77777777" w:rsidR="00144849" w:rsidRPr="00114E16" w:rsidRDefault="00144849" w:rsidP="005F4639">
            <w:pPr>
              <w:ind w:left="180"/>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Quartic</w:t>
            </w:r>
          </w:p>
        </w:tc>
        <w:tc>
          <w:tcPr>
            <w:tcW w:w="3060" w:type="dxa"/>
            <w:gridSpan w:val="3"/>
            <w:tcMar>
              <w:left w:w="0" w:type="dxa"/>
              <w:right w:w="0" w:type="dxa"/>
            </w:tcMar>
            <w:vAlign w:val="center"/>
          </w:tcPr>
          <w:p w14:paraId="61CF000D" w14:textId="77777777" w:rsidR="00144849" w:rsidRPr="00114E16" w:rsidRDefault="00144849" w:rsidP="005F4639">
            <w:pPr>
              <w:tabs>
                <w:tab w:val="decimal" w:pos="350"/>
              </w:tabs>
              <w:contextualSpacing/>
              <w:rPr>
                <w:rFonts w:ascii="Times New Roman" w:hAnsi="Times New Roman" w:cs="Times New Roman"/>
                <w:color w:val="000000" w:themeColor="text1"/>
                <w:sz w:val="22"/>
                <w:szCs w:val="22"/>
              </w:rPr>
            </w:pPr>
          </w:p>
        </w:tc>
        <w:tc>
          <w:tcPr>
            <w:tcW w:w="3145" w:type="dxa"/>
            <w:tcMar>
              <w:left w:w="0" w:type="dxa"/>
              <w:right w:w="0" w:type="dxa"/>
            </w:tcMar>
            <w:vAlign w:val="center"/>
          </w:tcPr>
          <w:p w14:paraId="5D41DA6C" w14:textId="77777777" w:rsidR="00144849" w:rsidRPr="00114E16" w:rsidRDefault="00144849" w:rsidP="005F4639">
            <w:pPr>
              <w:tabs>
                <w:tab w:val="decimal" w:pos="62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-0.001</w:t>
            </w:r>
            <w:proofErr w:type="gramStart"/>
            <w:r w:rsidRPr="00114E16">
              <w:rPr>
                <w:rFonts w:ascii="Times New Roman" w:hAnsi="Times New Roman" w:cs="Times New Roman"/>
                <w:color w:val="000000" w:themeColor="text1"/>
                <w:sz w:val="22"/>
                <w:szCs w:val="22"/>
                <w:vertAlign w:val="superscript"/>
              </w:rPr>
              <w:t xml:space="preserve">† </w:t>
            </w:r>
            <w:r w:rsidRPr="00114E16">
              <w:rPr>
                <w:rFonts w:ascii="Times New Roman" w:hAnsi="Times New Roman" w:cs="Times New Roman"/>
                <w:color w:val="000000" w:themeColor="text1"/>
                <w:sz w:val="22"/>
                <w:szCs w:val="22"/>
              </w:rPr>
              <w:t xml:space="preserve"> (</w:t>
            </w:r>
            <w:proofErr w:type="gramEnd"/>
            <w:r w:rsidRPr="00114E16">
              <w:rPr>
                <w:rFonts w:ascii="Times New Roman" w:hAnsi="Times New Roman" w:cs="Times New Roman"/>
                <w:color w:val="000000" w:themeColor="text1"/>
                <w:sz w:val="22"/>
                <w:szCs w:val="22"/>
              </w:rPr>
              <w:t xml:space="preserve">0.001) </w:t>
            </w:r>
            <w:r w:rsidRPr="00114E16">
              <w:rPr>
                <w:rFonts w:ascii="Times New Roman" w:hAnsi="Times New Roman" w:cs="Times New Roman"/>
                <w:color w:val="000000" w:themeColor="text1"/>
                <w:sz w:val="22"/>
                <w:szCs w:val="22"/>
                <w:vertAlign w:val="superscript"/>
              </w:rPr>
              <w:t>b</w:t>
            </w:r>
          </w:p>
        </w:tc>
        <w:tc>
          <w:tcPr>
            <w:tcW w:w="816" w:type="dxa"/>
            <w:tcMar>
              <w:left w:w="0" w:type="dxa"/>
              <w:right w:w="0" w:type="dxa"/>
            </w:tcMar>
            <w:vAlign w:val="center"/>
          </w:tcPr>
          <w:p w14:paraId="42654A0F" w14:textId="77777777" w:rsidR="00144849" w:rsidRPr="00114E16" w:rsidRDefault="00144849" w:rsidP="005F4639">
            <w:pPr>
              <w:tabs>
                <w:tab w:val="decimal" w:pos="239"/>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42D6FFB6" w14:textId="77777777" w:rsidR="00144849" w:rsidRPr="00114E16" w:rsidRDefault="00144849" w:rsidP="005F4639">
            <w:pPr>
              <w:tabs>
                <w:tab w:val="decimal" w:pos="313"/>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4D1CAFED" w14:textId="77777777" w:rsidR="00144849" w:rsidRPr="00114E16" w:rsidRDefault="00144849" w:rsidP="005F4639">
            <w:pPr>
              <w:tabs>
                <w:tab w:val="decimal" w:pos="207"/>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6095E386"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c>
          <w:tcPr>
            <w:tcW w:w="817" w:type="dxa"/>
            <w:vAlign w:val="center"/>
          </w:tcPr>
          <w:p w14:paraId="71467002"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r>
      <w:tr w:rsidR="00114E16" w:rsidRPr="00114E16" w14:paraId="6819F448" w14:textId="77777777" w:rsidTr="00E7236F">
        <w:trPr>
          <w:trHeight w:val="20"/>
        </w:trPr>
        <w:tc>
          <w:tcPr>
            <w:tcW w:w="5670" w:type="dxa"/>
            <w:gridSpan w:val="5"/>
            <w:tcMar>
              <w:left w:w="0" w:type="dxa"/>
              <w:right w:w="0" w:type="dxa"/>
            </w:tcMar>
            <w:vAlign w:val="center"/>
          </w:tcPr>
          <w:p w14:paraId="7F3D6DF7" w14:textId="1403FFC7" w:rsidR="00C25C14" w:rsidRPr="00114E16" w:rsidRDefault="00C25C14" w:rsidP="00E7236F">
            <w:pPr>
              <w:tabs>
                <w:tab w:val="decimal" w:pos="35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Asymmetrical No.1 (</w:t>
            </w:r>
            <w:r w:rsidRPr="00114E16">
              <w:rPr>
                <w:rFonts w:ascii="Times New Roman" w:hAnsi="Times New Roman" w:cs="Times New Roman"/>
                <w:i/>
                <w:color w:val="000000" w:themeColor="text1"/>
                <w:sz w:val="22"/>
                <w:szCs w:val="22"/>
              </w:rPr>
              <w:t>n</w:t>
            </w:r>
            <w:r w:rsidRPr="00114E16">
              <w:rPr>
                <w:rFonts w:ascii="Times New Roman" w:hAnsi="Times New Roman" w:cs="Times New Roman"/>
                <w:color w:val="000000" w:themeColor="text1"/>
                <w:sz w:val="22"/>
                <w:szCs w:val="22"/>
              </w:rPr>
              <w:t>=30)</w:t>
            </w:r>
          </w:p>
        </w:tc>
        <w:tc>
          <w:tcPr>
            <w:tcW w:w="3145" w:type="dxa"/>
            <w:tcMar>
              <w:left w:w="0" w:type="dxa"/>
              <w:right w:w="0" w:type="dxa"/>
            </w:tcMar>
            <w:vAlign w:val="center"/>
          </w:tcPr>
          <w:p w14:paraId="72B09C08" w14:textId="77777777" w:rsidR="00C25C14" w:rsidRPr="00114E16" w:rsidRDefault="00C25C14" w:rsidP="00E7236F">
            <w:pPr>
              <w:tabs>
                <w:tab w:val="decimal" w:pos="620"/>
              </w:tabs>
              <w:contextualSpacing/>
              <w:rPr>
                <w:rFonts w:ascii="Times New Roman" w:hAnsi="Times New Roman" w:cs="Times New Roman"/>
                <w:color w:val="000000" w:themeColor="text1"/>
                <w:sz w:val="22"/>
                <w:szCs w:val="22"/>
              </w:rPr>
            </w:pPr>
          </w:p>
        </w:tc>
        <w:tc>
          <w:tcPr>
            <w:tcW w:w="816" w:type="dxa"/>
            <w:tcMar>
              <w:left w:w="0" w:type="dxa"/>
              <w:right w:w="0" w:type="dxa"/>
            </w:tcMar>
            <w:vAlign w:val="center"/>
          </w:tcPr>
          <w:p w14:paraId="7C5ED01F" w14:textId="77777777" w:rsidR="00C25C14" w:rsidRPr="00114E16" w:rsidRDefault="00C25C14" w:rsidP="00E7236F">
            <w:pPr>
              <w:tabs>
                <w:tab w:val="decimal" w:pos="239"/>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5C6320C8" w14:textId="77777777" w:rsidR="00C25C14" w:rsidRPr="00114E16" w:rsidRDefault="00C25C14" w:rsidP="00E7236F">
            <w:pPr>
              <w:tabs>
                <w:tab w:val="decimal" w:pos="313"/>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61ED8BAB" w14:textId="77777777" w:rsidR="00C25C14" w:rsidRPr="00114E16" w:rsidRDefault="00C25C14" w:rsidP="00E7236F">
            <w:pPr>
              <w:tabs>
                <w:tab w:val="decimal" w:pos="207"/>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7114185A" w14:textId="77777777" w:rsidR="00C25C14" w:rsidRPr="00114E16" w:rsidRDefault="00C25C14" w:rsidP="00E7236F">
            <w:pPr>
              <w:tabs>
                <w:tab w:val="decimal" w:pos="281"/>
              </w:tabs>
              <w:contextualSpacing/>
              <w:jc w:val="center"/>
              <w:rPr>
                <w:rFonts w:ascii="Times New Roman" w:hAnsi="Times New Roman" w:cs="Times New Roman"/>
                <w:color w:val="000000" w:themeColor="text1"/>
                <w:sz w:val="22"/>
                <w:szCs w:val="22"/>
              </w:rPr>
            </w:pPr>
          </w:p>
        </w:tc>
        <w:tc>
          <w:tcPr>
            <w:tcW w:w="817" w:type="dxa"/>
            <w:vAlign w:val="center"/>
          </w:tcPr>
          <w:p w14:paraId="2AF730DA" w14:textId="77777777" w:rsidR="00C25C14" w:rsidRPr="00114E16" w:rsidRDefault="00C25C14" w:rsidP="00E7236F">
            <w:pPr>
              <w:tabs>
                <w:tab w:val="decimal" w:pos="281"/>
              </w:tabs>
              <w:contextualSpacing/>
              <w:jc w:val="center"/>
              <w:rPr>
                <w:rFonts w:ascii="Times New Roman" w:hAnsi="Times New Roman" w:cs="Times New Roman"/>
                <w:color w:val="000000" w:themeColor="text1"/>
                <w:sz w:val="22"/>
                <w:szCs w:val="22"/>
              </w:rPr>
            </w:pPr>
          </w:p>
        </w:tc>
      </w:tr>
      <w:tr w:rsidR="00114E16" w:rsidRPr="00114E16" w14:paraId="65A1DB34" w14:textId="77777777" w:rsidTr="00E7236F">
        <w:trPr>
          <w:trHeight w:val="20"/>
        </w:trPr>
        <w:tc>
          <w:tcPr>
            <w:tcW w:w="2790" w:type="dxa"/>
            <w:gridSpan w:val="3"/>
            <w:tcMar>
              <w:left w:w="0" w:type="dxa"/>
              <w:right w:w="0" w:type="dxa"/>
            </w:tcMar>
            <w:vAlign w:val="center"/>
          </w:tcPr>
          <w:p w14:paraId="46BD6D3C" w14:textId="77777777" w:rsidR="00C25C14" w:rsidRPr="00114E16" w:rsidRDefault="00C25C14" w:rsidP="00E7236F">
            <w:pPr>
              <w:ind w:left="180"/>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Intercept</w:t>
            </w:r>
          </w:p>
        </w:tc>
        <w:tc>
          <w:tcPr>
            <w:tcW w:w="2880" w:type="dxa"/>
            <w:gridSpan w:val="2"/>
            <w:tcMar>
              <w:left w:w="0" w:type="dxa"/>
              <w:right w:w="0" w:type="dxa"/>
            </w:tcMar>
            <w:vAlign w:val="center"/>
          </w:tcPr>
          <w:p w14:paraId="6C147308" w14:textId="77777777" w:rsidR="00C25C14" w:rsidRPr="00114E16" w:rsidRDefault="00C25C14" w:rsidP="00E7236F">
            <w:pPr>
              <w:tabs>
                <w:tab w:val="decimal" w:pos="36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 xml:space="preserve"> 0.513* (0.011)</w:t>
            </w:r>
            <w:r w:rsidRPr="00114E16">
              <w:rPr>
                <w:rFonts w:ascii="Times New Roman" w:hAnsi="Times New Roman" w:cs="Times New Roman"/>
                <w:color w:val="000000" w:themeColor="text1"/>
                <w:sz w:val="22"/>
                <w:szCs w:val="22"/>
                <w:vertAlign w:val="superscript"/>
              </w:rPr>
              <w:t xml:space="preserve"> B</w:t>
            </w:r>
          </w:p>
        </w:tc>
        <w:tc>
          <w:tcPr>
            <w:tcW w:w="3145" w:type="dxa"/>
            <w:tcMar>
              <w:left w:w="0" w:type="dxa"/>
              <w:right w:w="0" w:type="dxa"/>
            </w:tcMar>
            <w:vAlign w:val="center"/>
          </w:tcPr>
          <w:p w14:paraId="678DEABF" w14:textId="77777777" w:rsidR="00C25C14" w:rsidRPr="00114E16" w:rsidRDefault="00C25C14" w:rsidP="00E7236F">
            <w:pPr>
              <w:tabs>
                <w:tab w:val="decimal" w:pos="63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2.691* (0.081)</w:t>
            </w:r>
            <w:r w:rsidRPr="00114E16">
              <w:rPr>
                <w:rFonts w:ascii="Times New Roman" w:hAnsi="Times New Roman" w:cs="Times New Roman"/>
                <w:color w:val="000000" w:themeColor="text1"/>
                <w:sz w:val="22"/>
                <w:szCs w:val="22"/>
                <w:vertAlign w:val="superscript"/>
              </w:rPr>
              <w:t xml:space="preserve"> A</w:t>
            </w:r>
          </w:p>
        </w:tc>
        <w:tc>
          <w:tcPr>
            <w:tcW w:w="816" w:type="dxa"/>
            <w:tcMar>
              <w:left w:w="0" w:type="dxa"/>
              <w:right w:w="0" w:type="dxa"/>
            </w:tcMar>
            <w:vAlign w:val="center"/>
          </w:tcPr>
          <w:p w14:paraId="4A739081" w14:textId="77777777" w:rsidR="00C25C14" w:rsidRPr="00114E16" w:rsidRDefault="00C25C14" w:rsidP="00E7236F">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.930</w:t>
            </w:r>
          </w:p>
        </w:tc>
        <w:tc>
          <w:tcPr>
            <w:tcW w:w="816" w:type="dxa"/>
            <w:tcMar>
              <w:left w:w="0" w:type="dxa"/>
              <w:right w:w="0" w:type="dxa"/>
            </w:tcMar>
            <w:vAlign w:val="center"/>
          </w:tcPr>
          <w:p w14:paraId="4E7B8D03" w14:textId="77777777" w:rsidR="00C25C14" w:rsidRPr="00114E16" w:rsidRDefault="00C25C14" w:rsidP="00E7236F">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70.857</w:t>
            </w:r>
          </w:p>
        </w:tc>
        <w:tc>
          <w:tcPr>
            <w:tcW w:w="816" w:type="dxa"/>
            <w:tcMar>
              <w:left w:w="0" w:type="dxa"/>
              <w:right w:w="0" w:type="dxa"/>
            </w:tcMar>
            <w:vAlign w:val="center"/>
          </w:tcPr>
          <w:p w14:paraId="74DD985C" w14:textId="77777777" w:rsidR="00C25C14" w:rsidRPr="00114E16" w:rsidRDefault="00C25C14" w:rsidP="00E7236F">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.268</w:t>
            </w:r>
          </w:p>
        </w:tc>
        <w:tc>
          <w:tcPr>
            <w:tcW w:w="816" w:type="dxa"/>
            <w:tcMar>
              <w:left w:w="0" w:type="dxa"/>
              <w:right w:w="0" w:type="dxa"/>
            </w:tcMar>
            <w:vAlign w:val="center"/>
          </w:tcPr>
          <w:p w14:paraId="742AED51" w14:textId="77777777" w:rsidR="00C25C14" w:rsidRPr="00114E16" w:rsidRDefault="00C25C14" w:rsidP="00E7236F">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.268</w:t>
            </w:r>
          </w:p>
        </w:tc>
        <w:tc>
          <w:tcPr>
            <w:tcW w:w="817" w:type="dxa"/>
            <w:vAlign w:val="center"/>
          </w:tcPr>
          <w:p w14:paraId="2DDF2BD8" w14:textId="77777777" w:rsidR="00C25C14" w:rsidRPr="00114E16" w:rsidRDefault="00C25C14" w:rsidP="00E7236F">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1.000</w:t>
            </w:r>
          </w:p>
        </w:tc>
      </w:tr>
      <w:tr w:rsidR="00114E16" w:rsidRPr="00114E16" w14:paraId="0145E6FA" w14:textId="77777777" w:rsidTr="00E7236F">
        <w:trPr>
          <w:trHeight w:val="20"/>
        </w:trPr>
        <w:tc>
          <w:tcPr>
            <w:tcW w:w="2790" w:type="dxa"/>
            <w:gridSpan w:val="3"/>
            <w:tcMar>
              <w:left w:w="0" w:type="dxa"/>
              <w:right w:w="0" w:type="dxa"/>
            </w:tcMar>
            <w:vAlign w:val="center"/>
          </w:tcPr>
          <w:p w14:paraId="0D633CA6" w14:textId="77777777" w:rsidR="00C25C14" w:rsidRPr="00114E16" w:rsidRDefault="00C25C14" w:rsidP="00E7236F">
            <w:pPr>
              <w:ind w:left="180"/>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Linear</w:t>
            </w:r>
          </w:p>
        </w:tc>
        <w:tc>
          <w:tcPr>
            <w:tcW w:w="2880" w:type="dxa"/>
            <w:gridSpan w:val="2"/>
            <w:tcMar>
              <w:left w:w="0" w:type="dxa"/>
              <w:right w:w="0" w:type="dxa"/>
            </w:tcMar>
            <w:vAlign w:val="center"/>
          </w:tcPr>
          <w:p w14:paraId="331A6F37" w14:textId="77777777" w:rsidR="00C25C14" w:rsidRPr="00114E16" w:rsidRDefault="00C25C14" w:rsidP="00E7236F">
            <w:pPr>
              <w:tabs>
                <w:tab w:val="decimal" w:pos="360"/>
              </w:tabs>
              <w:contextualSpacing/>
              <w:rPr>
                <w:rFonts w:ascii="Times New Roman" w:hAnsi="Times New Roman" w:cs="Times New Roman"/>
                <w:color w:val="000000" w:themeColor="text1"/>
                <w:sz w:val="22"/>
                <w:szCs w:val="22"/>
                <w:vertAlign w:val="superscript"/>
              </w:rPr>
            </w:pPr>
            <w:r w:rsidRPr="00114E16">
              <w:rPr>
                <w:rFonts w:ascii="Times New Roman" w:hAnsi="Times New Roman" w:cs="Times New Roman"/>
                <w:color w:val="000000" w:themeColor="text1"/>
                <w:sz w:val="22"/>
                <w:szCs w:val="22"/>
              </w:rPr>
              <w:t>0.002* (0.001)</w:t>
            </w:r>
            <w:r w:rsidRPr="00114E16">
              <w:rPr>
                <w:rFonts w:ascii="Times New Roman" w:hAnsi="Times New Roman" w:cs="Times New Roman"/>
                <w:color w:val="000000" w:themeColor="text1"/>
                <w:sz w:val="22"/>
                <w:szCs w:val="22"/>
                <w:vertAlign w:val="superscript"/>
              </w:rPr>
              <w:t xml:space="preserve"> </w:t>
            </w:r>
          </w:p>
        </w:tc>
        <w:tc>
          <w:tcPr>
            <w:tcW w:w="3145" w:type="dxa"/>
            <w:tcMar>
              <w:left w:w="0" w:type="dxa"/>
              <w:right w:w="0" w:type="dxa"/>
            </w:tcMar>
            <w:vAlign w:val="center"/>
          </w:tcPr>
          <w:p w14:paraId="182972B1" w14:textId="77777777" w:rsidR="00C25C14" w:rsidRPr="00114E16" w:rsidRDefault="00C25C14" w:rsidP="00E7236F">
            <w:pPr>
              <w:tabs>
                <w:tab w:val="decimal" w:pos="63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 xml:space="preserve">0.049* (0.013) </w:t>
            </w:r>
          </w:p>
        </w:tc>
        <w:tc>
          <w:tcPr>
            <w:tcW w:w="816" w:type="dxa"/>
            <w:tcMar>
              <w:left w:w="0" w:type="dxa"/>
              <w:right w:w="0" w:type="dxa"/>
            </w:tcMar>
            <w:vAlign w:val="center"/>
          </w:tcPr>
          <w:p w14:paraId="09219E63" w14:textId="77777777" w:rsidR="00C25C14" w:rsidRPr="00114E16" w:rsidRDefault="00C25C14" w:rsidP="00E7236F">
            <w:pPr>
              <w:tabs>
                <w:tab w:val="decimal" w:pos="239"/>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69C5E446" w14:textId="77777777" w:rsidR="00C25C14" w:rsidRPr="00114E16" w:rsidRDefault="00C25C14" w:rsidP="00E7236F">
            <w:pPr>
              <w:tabs>
                <w:tab w:val="decimal" w:pos="313"/>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67D346FD" w14:textId="77777777" w:rsidR="00C25C14" w:rsidRPr="00114E16" w:rsidRDefault="00C25C14" w:rsidP="00E7236F">
            <w:pPr>
              <w:tabs>
                <w:tab w:val="decimal" w:pos="207"/>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2F5757E4" w14:textId="77777777" w:rsidR="00C25C14" w:rsidRPr="00114E16" w:rsidRDefault="00C25C14" w:rsidP="00E7236F">
            <w:pPr>
              <w:tabs>
                <w:tab w:val="decimal" w:pos="281"/>
              </w:tabs>
              <w:contextualSpacing/>
              <w:jc w:val="center"/>
              <w:rPr>
                <w:rFonts w:ascii="Times New Roman" w:hAnsi="Times New Roman" w:cs="Times New Roman"/>
                <w:color w:val="000000" w:themeColor="text1"/>
                <w:sz w:val="22"/>
                <w:szCs w:val="22"/>
              </w:rPr>
            </w:pPr>
          </w:p>
        </w:tc>
        <w:tc>
          <w:tcPr>
            <w:tcW w:w="817" w:type="dxa"/>
            <w:vAlign w:val="center"/>
          </w:tcPr>
          <w:p w14:paraId="44D38298" w14:textId="77777777" w:rsidR="00C25C14" w:rsidRPr="00114E16" w:rsidRDefault="00C25C14" w:rsidP="00E7236F">
            <w:pPr>
              <w:tabs>
                <w:tab w:val="decimal" w:pos="281"/>
              </w:tabs>
              <w:contextualSpacing/>
              <w:jc w:val="center"/>
              <w:rPr>
                <w:rFonts w:ascii="Times New Roman" w:hAnsi="Times New Roman" w:cs="Times New Roman"/>
                <w:color w:val="000000" w:themeColor="text1"/>
                <w:sz w:val="22"/>
                <w:szCs w:val="22"/>
              </w:rPr>
            </w:pPr>
          </w:p>
        </w:tc>
      </w:tr>
      <w:tr w:rsidR="00114E16" w:rsidRPr="00114E16" w14:paraId="232FCA61" w14:textId="77777777" w:rsidTr="00E7236F">
        <w:trPr>
          <w:trHeight w:val="20"/>
        </w:trPr>
        <w:tc>
          <w:tcPr>
            <w:tcW w:w="2790" w:type="dxa"/>
            <w:gridSpan w:val="3"/>
            <w:tcMar>
              <w:left w:w="0" w:type="dxa"/>
              <w:right w:w="0" w:type="dxa"/>
            </w:tcMar>
            <w:vAlign w:val="center"/>
          </w:tcPr>
          <w:p w14:paraId="71BAAB8E" w14:textId="77777777" w:rsidR="00C25C14" w:rsidRPr="00114E16" w:rsidRDefault="00C25C14" w:rsidP="00E7236F">
            <w:pPr>
              <w:ind w:left="180"/>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Quadratic</w:t>
            </w:r>
          </w:p>
        </w:tc>
        <w:tc>
          <w:tcPr>
            <w:tcW w:w="2880" w:type="dxa"/>
            <w:gridSpan w:val="2"/>
            <w:tcMar>
              <w:left w:w="0" w:type="dxa"/>
              <w:right w:w="0" w:type="dxa"/>
            </w:tcMar>
            <w:vAlign w:val="center"/>
          </w:tcPr>
          <w:p w14:paraId="21546345" w14:textId="69E734D6" w:rsidR="00C25C14" w:rsidRPr="00114E16" w:rsidRDefault="00C25C14" w:rsidP="00E7236F">
            <w:pPr>
              <w:tabs>
                <w:tab w:val="decimal" w:pos="35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-0.001* (0.001)</w:t>
            </w:r>
            <w:r w:rsidRPr="00114E16">
              <w:rPr>
                <w:rFonts w:ascii="Times New Roman" w:hAnsi="Times New Roman" w:cs="Times New Roman"/>
                <w:color w:val="000000" w:themeColor="text1"/>
                <w:sz w:val="22"/>
                <w:szCs w:val="22"/>
                <w:vertAlign w:val="superscript"/>
              </w:rPr>
              <w:t xml:space="preserve"> </w:t>
            </w:r>
            <w:r w:rsidR="00500A1F" w:rsidRPr="00114E16">
              <w:rPr>
                <w:rFonts w:ascii="Times New Roman" w:hAnsi="Times New Roman" w:cs="Times New Roman"/>
                <w:color w:val="000000" w:themeColor="text1"/>
                <w:sz w:val="22"/>
                <w:szCs w:val="22"/>
                <w:vertAlign w:val="superscript"/>
              </w:rPr>
              <w:t>b</w:t>
            </w:r>
          </w:p>
        </w:tc>
        <w:tc>
          <w:tcPr>
            <w:tcW w:w="3145" w:type="dxa"/>
            <w:tcMar>
              <w:left w:w="0" w:type="dxa"/>
              <w:right w:w="0" w:type="dxa"/>
            </w:tcMar>
            <w:vAlign w:val="center"/>
          </w:tcPr>
          <w:p w14:paraId="3D7116AC" w14:textId="77777777" w:rsidR="00C25C14" w:rsidRPr="00114E16" w:rsidRDefault="00C25C14" w:rsidP="00E7236F">
            <w:pPr>
              <w:tabs>
                <w:tab w:val="decimal" w:pos="630"/>
              </w:tabs>
              <w:contextualSpacing/>
              <w:rPr>
                <w:rFonts w:ascii="Times New Roman" w:hAnsi="Times New Roman" w:cs="Times New Roman"/>
                <w:color w:val="000000" w:themeColor="text1"/>
                <w:sz w:val="22"/>
                <w:szCs w:val="22"/>
                <w:vertAlign w:val="superscript"/>
              </w:rPr>
            </w:pPr>
            <w:r w:rsidRPr="00114E16">
              <w:rPr>
                <w:rFonts w:ascii="Times New Roman" w:hAnsi="Times New Roman" w:cs="Times New Roman"/>
                <w:color w:val="000000" w:themeColor="text1"/>
                <w:sz w:val="22"/>
                <w:szCs w:val="22"/>
              </w:rPr>
              <w:t>-0.002* (0.001)</w:t>
            </w:r>
          </w:p>
        </w:tc>
        <w:tc>
          <w:tcPr>
            <w:tcW w:w="816" w:type="dxa"/>
            <w:tcMar>
              <w:left w:w="0" w:type="dxa"/>
              <w:right w:w="0" w:type="dxa"/>
            </w:tcMar>
            <w:vAlign w:val="center"/>
          </w:tcPr>
          <w:p w14:paraId="367F9EB3" w14:textId="77777777" w:rsidR="00C25C14" w:rsidRPr="00114E16" w:rsidRDefault="00C25C14" w:rsidP="00E7236F">
            <w:pPr>
              <w:tabs>
                <w:tab w:val="decimal" w:pos="239"/>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58F8072D" w14:textId="77777777" w:rsidR="00C25C14" w:rsidRPr="00114E16" w:rsidRDefault="00C25C14" w:rsidP="00E7236F">
            <w:pPr>
              <w:tabs>
                <w:tab w:val="decimal" w:pos="313"/>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3E38347F" w14:textId="77777777" w:rsidR="00C25C14" w:rsidRPr="00114E16" w:rsidRDefault="00C25C14" w:rsidP="00E7236F">
            <w:pPr>
              <w:tabs>
                <w:tab w:val="decimal" w:pos="207"/>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0D42BC3D" w14:textId="77777777" w:rsidR="00C25C14" w:rsidRPr="00114E16" w:rsidRDefault="00C25C14" w:rsidP="00E7236F">
            <w:pPr>
              <w:tabs>
                <w:tab w:val="decimal" w:pos="281"/>
              </w:tabs>
              <w:contextualSpacing/>
              <w:jc w:val="center"/>
              <w:rPr>
                <w:rFonts w:ascii="Times New Roman" w:hAnsi="Times New Roman" w:cs="Times New Roman"/>
                <w:color w:val="000000" w:themeColor="text1"/>
                <w:sz w:val="22"/>
                <w:szCs w:val="22"/>
              </w:rPr>
            </w:pPr>
          </w:p>
        </w:tc>
        <w:tc>
          <w:tcPr>
            <w:tcW w:w="817" w:type="dxa"/>
            <w:vAlign w:val="center"/>
          </w:tcPr>
          <w:p w14:paraId="543C2A4E" w14:textId="77777777" w:rsidR="00C25C14" w:rsidRPr="00114E16" w:rsidRDefault="00C25C14" w:rsidP="00E7236F">
            <w:pPr>
              <w:tabs>
                <w:tab w:val="decimal" w:pos="281"/>
              </w:tabs>
              <w:contextualSpacing/>
              <w:jc w:val="center"/>
              <w:rPr>
                <w:rFonts w:ascii="Times New Roman" w:hAnsi="Times New Roman" w:cs="Times New Roman"/>
                <w:color w:val="000000" w:themeColor="text1"/>
                <w:sz w:val="22"/>
                <w:szCs w:val="22"/>
              </w:rPr>
            </w:pPr>
          </w:p>
        </w:tc>
      </w:tr>
      <w:tr w:rsidR="00114E16" w:rsidRPr="00114E16" w14:paraId="48D85365" w14:textId="77777777" w:rsidTr="00C25C14">
        <w:trPr>
          <w:trHeight w:val="20"/>
        </w:trPr>
        <w:tc>
          <w:tcPr>
            <w:tcW w:w="2610" w:type="dxa"/>
            <w:gridSpan w:val="2"/>
            <w:tcMar>
              <w:left w:w="0" w:type="dxa"/>
              <w:right w:w="0" w:type="dxa"/>
            </w:tcMar>
            <w:vAlign w:val="center"/>
          </w:tcPr>
          <w:p w14:paraId="7B73AF1F" w14:textId="77777777" w:rsidR="00C25C14" w:rsidRPr="00114E16" w:rsidRDefault="00C25C14" w:rsidP="00E7236F">
            <w:pPr>
              <w:ind w:left="180"/>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Cubic</w:t>
            </w:r>
          </w:p>
        </w:tc>
        <w:tc>
          <w:tcPr>
            <w:tcW w:w="3060" w:type="dxa"/>
            <w:gridSpan w:val="3"/>
            <w:tcMar>
              <w:left w:w="0" w:type="dxa"/>
              <w:right w:w="0" w:type="dxa"/>
            </w:tcMar>
            <w:vAlign w:val="center"/>
          </w:tcPr>
          <w:p w14:paraId="201227D5" w14:textId="77777777" w:rsidR="00C25C14" w:rsidRPr="00114E16" w:rsidRDefault="00C25C14" w:rsidP="00E7236F">
            <w:pPr>
              <w:tabs>
                <w:tab w:val="decimal" w:pos="350"/>
              </w:tabs>
              <w:contextualSpacing/>
              <w:rPr>
                <w:rFonts w:ascii="Times New Roman" w:hAnsi="Times New Roman" w:cs="Times New Roman"/>
                <w:color w:val="000000" w:themeColor="text1"/>
                <w:sz w:val="22"/>
                <w:szCs w:val="22"/>
              </w:rPr>
            </w:pPr>
          </w:p>
        </w:tc>
        <w:tc>
          <w:tcPr>
            <w:tcW w:w="3145" w:type="dxa"/>
            <w:tcMar>
              <w:left w:w="0" w:type="dxa"/>
              <w:right w:w="0" w:type="dxa"/>
            </w:tcMar>
            <w:vAlign w:val="center"/>
          </w:tcPr>
          <w:p w14:paraId="738EDBAF" w14:textId="77777777" w:rsidR="00C25C14" w:rsidRPr="00114E16" w:rsidRDefault="00C25C14" w:rsidP="00E7236F">
            <w:pPr>
              <w:tabs>
                <w:tab w:val="decimal" w:pos="62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 xml:space="preserve">0.001* (0.001) </w:t>
            </w:r>
            <w:r w:rsidRPr="00114E16">
              <w:rPr>
                <w:rFonts w:ascii="Times New Roman" w:hAnsi="Times New Roman" w:cs="Times New Roman"/>
                <w:color w:val="000000" w:themeColor="text1"/>
                <w:sz w:val="22"/>
                <w:szCs w:val="22"/>
                <w:vertAlign w:val="superscript"/>
              </w:rPr>
              <w:t>-</w:t>
            </w:r>
          </w:p>
        </w:tc>
        <w:tc>
          <w:tcPr>
            <w:tcW w:w="816" w:type="dxa"/>
            <w:tcMar>
              <w:left w:w="0" w:type="dxa"/>
              <w:right w:w="0" w:type="dxa"/>
            </w:tcMar>
            <w:vAlign w:val="center"/>
          </w:tcPr>
          <w:p w14:paraId="4A8EC973" w14:textId="77777777" w:rsidR="00C25C14" w:rsidRPr="00114E16" w:rsidRDefault="00C25C14" w:rsidP="00E7236F">
            <w:pPr>
              <w:tabs>
                <w:tab w:val="decimal" w:pos="239"/>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62D32ACD" w14:textId="77777777" w:rsidR="00C25C14" w:rsidRPr="00114E16" w:rsidRDefault="00C25C14" w:rsidP="00E7236F">
            <w:pPr>
              <w:tabs>
                <w:tab w:val="decimal" w:pos="313"/>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5A1DD522" w14:textId="77777777" w:rsidR="00C25C14" w:rsidRPr="00114E16" w:rsidRDefault="00C25C14" w:rsidP="00E7236F">
            <w:pPr>
              <w:tabs>
                <w:tab w:val="decimal" w:pos="207"/>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45867150" w14:textId="77777777" w:rsidR="00C25C14" w:rsidRPr="00114E16" w:rsidRDefault="00C25C14" w:rsidP="00E7236F">
            <w:pPr>
              <w:tabs>
                <w:tab w:val="decimal" w:pos="281"/>
              </w:tabs>
              <w:contextualSpacing/>
              <w:jc w:val="center"/>
              <w:rPr>
                <w:rFonts w:ascii="Times New Roman" w:hAnsi="Times New Roman" w:cs="Times New Roman"/>
                <w:color w:val="000000" w:themeColor="text1"/>
                <w:sz w:val="22"/>
                <w:szCs w:val="22"/>
              </w:rPr>
            </w:pPr>
          </w:p>
        </w:tc>
        <w:tc>
          <w:tcPr>
            <w:tcW w:w="817" w:type="dxa"/>
            <w:vAlign w:val="center"/>
          </w:tcPr>
          <w:p w14:paraId="51B5DC7C" w14:textId="77777777" w:rsidR="00C25C14" w:rsidRPr="00114E16" w:rsidRDefault="00C25C14" w:rsidP="00E7236F">
            <w:pPr>
              <w:tabs>
                <w:tab w:val="decimal" w:pos="281"/>
              </w:tabs>
              <w:contextualSpacing/>
              <w:jc w:val="center"/>
              <w:rPr>
                <w:rFonts w:ascii="Times New Roman" w:hAnsi="Times New Roman" w:cs="Times New Roman"/>
                <w:color w:val="000000" w:themeColor="text1"/>
                <w:sz w:val="22"/>
                <w:szCs w:val="22"/>
              </w:rPr>
            </w:pPr>
          </w:p>
        </w:tc>
      </w:tr>
      <w:tr w:rsidR="00114E16" w:rsidRPr="00114E16" w14:paraId="198F0B06" w14:textId="77777777" w:rsidTr="00C25C14">
        <w:trPr>
          <w:trHeight w:val="20"/>
        </w:trPr>
        <w:tc>
          <w:tcPr>
            <w:tcW w:w="5040" w:type="dxa"/>
            <w:gridSpan w:val="4"/>
            <w:tcMar>
              <w:left w:w="0" w:type="dxa"/>
              <w:right w:w="0" w:type="dxa"/>
            </w:tcMar>
            <w:vAlign w:val="center"/>
          </w:tcPr>
          <w:p w14:paraId="64CA5C24" w14:textId="35C95357" w:rsidR="00144849" w:rsidRPr="00114E16" w:rsidRDefault="00E02206" w:rsidP="005F4639">
            <w:pPr>
              <w:tabs>
                <w:tab w:val="decimal" w:pos="271"/>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Asymmetrical No.</w:t>
            </w:r>
            <w:r w:rsidR="00C25C14" w:rsidRPr="00114E16">
              <w:rPr>
                <w:rFonts w:ascii="Times New Roman" w:hAnsi="Times New Roman" w:cs="Times New Roman"/>
                <w:color w:val="000000" w:themeColor="text1"/>
                <w:sz w:val="22"/>
                <w:szCs w:val="22"/>
              </w:rPr>
              <w:t>2</w:t>
            </w:r>
            <w:r w:rsidRPr="00114E16">
              <w:rPr>
                <w:rFonts w:ascii="Times New Roman" w:hAnsi="Times New Roman" w:cs="Times New Roman"/>
                <w:color w:val="000000" w:themeColor="text1"/>
                <w:sz w:val="22"/>
                <w:szCs w:val="22"/>
              </w:rPr>
              <w:t xml:space="preserve"> </w:t>
            </w:r>
            <w:r w:rsidR="00144849" w:rsidRPr="00114E16">
              <w:rPr>
                <w:rFonts w:ascii="Times New Roman" w:hAnsi="Times New Roman" w:cs="Times New Roman"/>
                <w:color w:val="000000" w:themeColor="text1"/>
                <w:sz w:val="22"/>
                <w:szCs w:val="22"/>
              </w:rPr>
              <w:t>(</w:t>
            </w:r>
            <w:r w:rsidR="00144849" w:rsidRPr="00114E16">
              <w:rPr>
                <w:rFonts w:ascii="Times New Roman" w:hAnsi="Times New Roman" w:cs="Times New Roman"/>
                <w:i/>
                <w:color w:val="000000" w:themeColor="text1"/>
                <w:sz w:val="22"/>
                <w:szCs w:val="22"/>
              </w:rPr>
              <w:t>n</w:t>
            </w:r>
            <w:r w:rsidR="00144849" w:rsidRPr="00114E16">
              <w:rPr>
                <w:rFonts w:ascii="Times New Roman" w:hAnsi="Times New Roman" w:cs="Times New Roman"/>
                <w:color w:val="000000" w:themeColor="text1"/>
                <w:sz w:val="22"/>
                <w:szCs w:val="22"/>
              </w:rPr>
              <w:t>=46)</w:t>
            </w:r>
          </w:p>
        </w:tc>
        <w:tc>
          <w:tcPr>
            <w:tcW w:w="3775" w:type="dxa"/>
            <w:gridSpan w:val="2"/>
            <w:tcMar>
              <w:left w:w="0" w:type="dxa"/>
              <w:right w:w="0" w:type="dxa"/>
            </w:tcMar>
            <w:vAlign w:val="center"/>
          </w:tcPr>
          <w:p w14:paraId="423DBB54" w14:textId="77777777" w:rsidR="00144849" w:rsidRPr="00114E16" w:rsidRDefault="00144849" w:rsidP="005F4639">
            <w:pPr>
              <w:tabs>
                <w:tab w:val="decimal" w:pos="315"/>
              </w:tabs>
              <w:contextualSpacing/>
              <w:rPr>
                <w:rFonts w:ascii="Times New Roman" w:hAnsi="Times New Roman" w:cs="Times New Roman"/>
                <w:color w:val="000000" w:themeColor="text1"/>
                <w:sz w:val="22"/>
                <w:szCs w:val="22"/>
              </w:rPr>
            </w:pPr>
          </w:p>
        </w:tc>
        <w:tc>
          <w:tcPr>
            <w:tcW w:w="816" w:type="dxa"/>
            <w:tcMar>
              <w:left w:w="0" w:type="dxa"/>
              <w:right w:w="0" w:type="dxa"/>
            </w:tcMar>
            <w:vAlign w:val="center"/>
          </w:tcPr>
          <w:p w14:paraId="55484EB8" w14:textId="77777777" w:rsidR="00144849" w:rsidRPr="00114E16" w:rsidRDefault="00144849" w:rsidP="005F4639">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.966</w:t>
            </w:r>
          </w:p>
        </w:tc>
        <w:tc>
          <w:tcPr>
            <w:tcW w:w="816" w:type="dxa"/>
            <w:tcMar>
              <w:left w:w="0" w:type="dxa"/>
              <w:right w:w="0" w:type="dxa"/>
            </w:tcMar>
            <w:vAlign w:val="center"/>
          </w:tcPr>
          <w:p w14:paraId="5200D471" w14:textId="77777777" w:rsidR="00144849" w:rsidRPr="00114E16" w:rsidRDefault="00144849" w:rsidP="005F4639">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151.529</w:t>
            </w:r>
          </w:p>
        </w:tc>
        <w:tc>
          <w:tcPr>
            <w:tcW w:w="816" w:type="dxa"/>
            <w:tcMar>
              <w:left w:w="0" w:type="dxa"/>
              <w:right w:w="0" w:type="dxa"/>
            </w:tcMar>
            <w:vAlign w:val="center"/>
          </w:tcPr>
          <w:p w14:paraId="04E2C69A" w14:textId="77777777" w:rsidR="00144849" w:rsidRPr="00114E16" w:rsidRDefault="00144849" w:rsidP="005F4639">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.396</w:t>
            </w:r>
          </w:p>
        </w:tc>
        <w:tc>
          <w:tcPr>
            <w:tcW w:w="816" w:type="dxa"/>
            <w:tcMar>
              <w:left w:w="0" w:type="dxa"/>
              <w:right w:w="0" w:type="dxa"/>
            </w:tcMar>
            <w:vAlign w:val="center"/>
          </w:tcPr>
          <w:p w14:paraId="0AE9A35E" w14:textId="77777777" w:rsidR="00144849" w:rsidRPr="00114E16" w:rsidRDefault="00144849" w:rsidP="005F4639">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.411</w:t>
            </w:r>
          </w:p>
        </w:tc>
        <w:tc>
          <w:tcPr>
            <w:tcW w:w="817" w:type="dxa"/>
            <w:vAlign w:val="center"/>
          </w:tcPr>
          <w:p w14:paraId="402D0113" w14:textId="77777777" w:rsidR="00144849" w:rsidRPr="00114E16" w:rsidRDefault="00144849" w:rsidP="005F4639">
            <w:pPr>
              <w:contextualSpacing/>
              <w:jc w:val="center"/>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0.964</w:t>
            </w:r>
          </w:p>
        </w:tc>
      </w:tr>
      <w:tr w:rsidR="00114E16" w:rsidRPr="00114E16" w14:paraId="10E48280" w14:textId="77777777" w:rsidTr="00C25C14">
        <w:trPr>
          <w:trHeight w:val="20"/>
        </w:trPr>
        <w:tc>
          <w:tcPr>
            <w:tcW w:w="2790" w:type="dxa"/>
            <w:gridSpan w:val="3"/>
            <w:tcMar>
              <w:left w:w="0" w:type="dxa"/>
              <w:right w:w="0" w:type="dxa"/>
            </w:tcMar>
            <w:vAlign w:val="center"/>
          </w:tcPr>
          <w:p w14:paraId="1FA6A5D8" w14:textId="77777777" w:rsidR="00144849" w:rsidRPr="00114E16" w:rsidRDefault="00144849" w:rsidP="005F4639">
            <w:pPr>
              <w:ind w:left="180"/>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Intercept</w:t>
            </w:r>
          </w:p>
        </w:tc>
        <w:tc>
          <w:tcPr>
            <w:tcW w:w="2880" w:type="dxa"/>
            <w:gridSpan w:val="2"/>
            <w:tcMar>
              <w:left w:w="0" w:type="dxa"/>
              <w:right w:w="0" w:type="dxa"/>
            </w:tcMar>
            <w:vAlign w:val="center"/>
          </w:tcPr>
          <w:p w14:paraId="57351FF1" w14:textId="77777777" w:rsidR="00144849" w:rsidRPr="00114E16" w:rsidRDefault="00144849" w:rsidP="005F4639">
            <w:pPr>
              <w:tabs>
                <w:tab w:val="decimal" w:pos="36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0.500* (0.007)</w:t>
            </w:r>
            <w:r w:rsidRPr="00114E16">
              <w:rPr>
                <w:rFonts w:ascii="Times New Roman" w:hAnsi="Times New Roman" w:cs="Times New Roman"/>
                <w:color w:val="000000" w:themeColor="text1"/>
                <w:sz w:val="22"/>
                <w:szCs w:val="22"/>
                <w:vertAlign w:val="superscript"/>
              </w:rPr>
              <w:t xml:space="preserve"> B</w:t>
            </w:r>
            <w:r w:rsidRPr="00114E16">
              <w:rPr>
                <w:rFonts w:ascii="Times New Roman" w:hAnsi="Times New Roman" w:cs="Times New Roman"/>
                <w:color w:val="000000" w:themeColor="text1"/>
                <w:sz w:val="22"/>
                <w:szCs w:val="22"/>
              </w:rPr>
              <w:t xml:space="preserve"> </w:t>
            </w:r>
          </w:p>
        </w:tc>
        <w:tc>
          <w:tcPr>
            <w:tcW w:w="3145" w:type="dxa"/>
            <w:tcMar>
              <w:left w:w="0" w:type="dxa"/>
              <w:right w:w="0" w:type="dxa"/>
            </w:tcMar>
            <w:vAlign w:val="center"/>
          </w:tcPr>
          <w:p w14:paraId="2C173D8A" w14:textId="77777777" w:rsidR="00144849" w:rsidRPr="00114E16" w:rsidRDefault="00144849" w:rsidP="005F4639">
            <w:pPr>
              <w:tabs>
                <w:tab w:val="decimal" w:pos="63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3.511* (0.065)</w:t>
            </w:r>
            <w:r w:rsidRPr="00114E16">
              <w:rPr>
                <w:rFonts w:ascii="Times New Roman" w:hAnsi="Times New Roman" w:cs="Times New Roman"/>
                <w:color w:val="000000" w:themeColor="text1"/>
                <w:sz w:val="22"/>
                <w:szCs w:val="22"/>
                <w:vertAlign w:val="superscript"/>
              </w:rPr>
              <w:t xml:space="preserve"> C</w:t>
            </w:r>
            <w:r w:rsidRPr="00114E16">
              <w:rPr>
                <w:rFonts w:ascii="Times New Roman" w:hAnsi="Times New Roman" w:cs="Times New Roman"/>
                <w:color w:val="000000" w:themeColor="text1"/>
                <w:sz w:val="22"/>
                <w:szCs w:val="22"/>
              </w:rPr>
              <w:t xml:space="preserve"> </w:t>
            </w:r>
          </w:p>
        </w:tc>
        <w:tc>
          <w:tcPr>
            <w:tcW w:w="816" w:type="dxa"/>
            <w:tcMar>
              <w:left w:w="0" w:type="dxa"/>
              <w:right w:w="0" w:type="dxa"/>
            </w:tcMar>
            <w:vAlign w:val="center"/>
          </w:tcPr>
          <w:p w14:paraId="12A09A92" w14:textId="77777777" w:rsidR="00144849" w:rsidRPr="00114E16" w:rsidRDefault="00144849" w:rsidP="005F4639">
            <w:pPr>
              <w:tabs>
                <w:tab w:val="decimal" w:pos="239"/>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365698CC" w14:textId="77777777" w:rsidR="00144849" w:rsidRPr="00114E16" w:rsidRDefault="00144849" w:rsidP="005F4639">
            <w:pPr>
              <w:tabs>
                <w:tab w:val="decimal" w:pos="313"/>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3330A812" w14:textId="77777777" w:rsidR="00144849" w:rsidRPr="00114E16" w:rsidRDefault="00144849" w:rsidP="005F4639">
            <w:pPr>
              <w:tabs>
                <w:tab w:val="decimal" w:pos="207"/>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6CAC8BD5"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c>
          <w:tcPr>
            <w:tcW w:w="817" w:type="dxa"/>
            <w:vAlign w:val="center"/>
          </w:tcPr>
          <w:p w14:paraId="327D6DA8"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r>
      <w:tr w:rsidR="00114E16" w:rsidRPr="00114E16" w14:paraId="37918992" w14:textId="77777777" w:rsidTr="005F4639">
        <w:trPr>
          <w:trHeight w:val="20"/>
        </w:trPr>
        <w:tc>
          <w:tcPr>
            <w:tcW w:w="2790" w:type="dxa"/>
            <w:gridSpan w:val="3"/>
            <w:tcMar>
              <w:left w:w="0" w:type="dxa"/>
              <w:right w:w="0" w:type="dxa"/>
            </w:tcMar>
            <w:vAlign w:val="center"/>
          </w:tcPr>
          <w:p w14:paraId="296F3262" w14:textId="77777777" w:rsidR="00144849" w:rsidRPr="00114E16" w:rsidRDefault="00144849" w:rsidP="005F4639">
            <w:pPr>
              <w:ind w:left="180"/>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Linear</w:t>
            </w:r>
          </w:p>
        </w:tc>
        <w:tc>
          <w:tcPr>
            <w:tcW w:w="2880" w:type="dxa"/>
            <w:gridSpan w:val="2"/>
            <w:tcMar>
              <w:left w:w="0" w:type="dxa"/>
              <w:right w:w="0" w:type="dxa"/>
            </w:tcMar>
            <w:vAlign w:val="center"/>
          </w:tcPr>
          <w:p w14:paraId="29EC90D3" w14:textId="77777777" w:rsidR="00144849" w:rsidRPr="00114E16" w:rsidRDefault="00144849" w:rsidP="005F4639">
            <w:pPr>
              <w:tabs>
                <w:tab w:val="decimal" w:pos="36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-0.001* (0.001)</w:t>
            </w:r>
            <w:r w:rsidRPr="00114E16">
              <w:rPr>
                <w:rFonts w:ascii="Times New Roman" w:hAnsi="Times New Roman" w:cs="Times New Roman"/>
                <w:color w:val="000000" w:themeColor="text1"/>
                <w:sz w:val="22"/>
                <w:szCs w:val="22"/>
                <w:vertAlign w:val="superscript"/>
              </w:rPr>
              <w:t xml:space="preserve"> a</w:t>
            </w:r>
          </w:p>
        </w:tc>
        <w:tc>
          <w:tcPr>
            <w:tcW w:w="3145" w:type="dxa"/>
            <w:tcMar>
              <w:left w:w="0" w:type="dxa"/>
              <w:right w:w="0" w:type="dxa"/>
            </w:tcMar>
            <w:vAlign w:val="center"/>
          </w:tcPr>
          <w:p w14:paraId="737CC378" w14:textId="77777777" w:rsidR="00144849" w:rsidRPr="00114E16" w:rsidRDefault="00144849" w:rsidP="005F4639">
            <w:pPr>
              <w:tabs>
                <w:tab w:val="decimal" w:pos="63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0.110* (0.025)</w:t>
            </w:r>
          </w:p>
        </w:tc>
        <w:tc>
          <w:tcPr>
            <w:tcW w:w="816" w:type="dxa"/>
            <w:tcMar>
              <w:left w:w="0" w:type="dxa"/>
              <w:right w:w="0" w:type="dxa"/>
            </w:tcMar>
            <w:vAlign w:val="center"/>
          </w:tcPr>
          <w:p w14:paraId="1463C41D" w14:textId="77777777" w:rsidR="00144849" w:rsidRPr="00114E16" w:rsidRDefault="00144849" w:rsidP="005F4639">
            <w:pPr>
              <w:tabs>
                <w:tab w:val="decimal" w:pos="239"/>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52674734" w14:textId="77777777" w:rsidR="00144849" w:rsidRPr="00114E16" w:rsidRDefault="00144849" w:rsidP="005F4639">
            <w:pPr>
              <w:tabs>
                <w:tab w:val="decimal" w:pos="313"/>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5F237858" w14:textId="77777777" w:rsidR="00144849" w:rsidRPr="00114E16" w:rsidRDefault="00144849" w:rsidP="005F4639">
            <w:pPr>
              <w:tabs>
                <w:tab w:val="decimal" w:pos="207"/>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6ECCBBBB"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c>
          <w:tcPr>
            <w:tcW w:w="817" w:type="dxa"/>
            <w:vAlign w:val="center"/>
          </w:tcPr>
          <w:p w14:paraId="3F4AE720"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r>
      <w:tr w:rsidR="00114E16" w:rsidRPr="00114E16" w14:paraId="68580B0B" w14:textId="77777777" w:rsidTr="005F4639">
        <w:trPr>
          <w:trHeight w:val="20"/>
        </w:trPr>
        <w:tc>
          <w:tcPr>
            <w:tcW w:w="2610" w:type="dxa"/>
            <w:gridSpan w:val="2"/>
            <w:tcMar>
              <w:left w:w="0" w:type="dxa"/>
              <w:right w:w="0" w:type="dxa"/>
            </w:tcMar>
            <w:vAlign w:val="center"/>
          </w:tcPr>
          <w:p w14:paraId="655782CC" w14:textId="77777777" w:rsidR="00144849" w:rsidRPr="00114E16" w:rsidRDefault="00144849" w:rsidP="005F4639">
            <w:pPr>
              <w:ind w:left="180"/>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Quadratic</w:t>
            </w:r>
          </w:p>
        </w:tc>
        <w:tc>
          <w:tcPr>
            <w:tcW w:w="3060" w:type="dxa"/>
            <w:gridSpan w:val="3"/>
            <w:tcMar>
              <w:left w:w="0" w:type="dxa"/>
              <w:right w:w="0" w:type="dxa"/>
            </w:tcMar>
            <w:vAlign w:val="center"/>
          </w:tcPr>
          <w:p w14:paraId="6941C75D" w14:textId="77777777" w:rsidR="00144849" w:rsidRPr="00114E16" w:rsidRDefault="00144849" w:rsidP="005F4639">
            <w:pPr>
              <w:tabs>
                <w:tab w:val="decimal" w:pos="360"/>
              </w:tabs>
              <w:contextualSpacing/>
              <w:rPr>
                <w:rFonts w:ascii="Times New Roman" w:hAnsi="Times New Roman" w:cs="Times New Roman"/>
                <w:color w:val="000000" w:themeColor="text1"/>
                <w:sz w:val="22"/>
                <w:szCs w:val="22"/>
              </w:rPr>
            </w:pPr>
          </w:p>
        </w:tc>
        <w:tc>
          <w:tcPr>
            <w:tcW w:w="3145" w:type="dxa"/>
            <w:tcMar>
              <w:left w:w="0" w:type="dxa"/>
              <w:right w:w="0" w:type="dxa"/>
            </w:tcMar>
            <w:vAlign w:val="center"/>
          </w:tcPr>
          <w:p w14:paraId="1B8A3346" w14:textId="77777777" w:rsidR="00144849" w:rsidRPr="00114E16" w:rsidRDefault="00144849" w:rsidP="005F4639">
            <w:pPr>
              <w:tabs>
                <w:tab w:val="decimal" w:pos="630"/>
              </w:tabs>
              <w:contextualSpacing/>
              <w:rPr>
                <w:rFonts w:ascii="Times New Roman" w:hAnsi="Times New Roman" w:cs="Times New Roman"/>
                <w:color w:val="000000" w:themeColor="text1"/>
                <w:sz w:val="22"/>
                <w:szCs w:val="22"/>
                <w:vertAlign w:val="superscript"/>
              </w:rPr>
            </w:pPr>
            <w:r w:rsidRPr="00114E16">
              <w:rPr>
                <w:rFonts w:ascii="Times New Roman" w:hAnsi="Times New Roman" w:cs="Times New Roman"/>
                <w:color w:val="000000" w:themeColor="text1"/>
                <w:sz w:val="22"/>
                <w:szCs w:val="22"/>
              </w:rPr>
              <w:t xml:space="preserve">-0.007* (0.002) </w:t>
            </w:r>
          </w:p>
        </w:tc>
        <w:tc>
          <w:tcPr>
            <w:tcW w:w="816" w:type="dxa"/>
            <w:tcMar>
              <w:left w:w="0" w:type="dxa"/>
              <w:right w:w="0" w:type="dxa"/>
            </w:tcMar>
            <w:vAlign w:val="center"/>
          </w:tcPr>
          <w:p w14:paraId="1FDDBAE8" w14:textId="77777777" w:rsidR="00144849" w:rsidRPr="00114E16" w:rsidRDefault="00144849" w:rsidP="005F4639">
            <w:pPr>
              <w:tabs>
                <w:tab w:val="decimal" w:pos="239"/>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18580BC8" w14:textId="77777777" w:rsidR="00144849" w:rsidRPr="00114E16" w:rsidRDefault="00144849" w:rsidP="005F4639">
            <w:pPr>
              <w:tabs>
                <w:tab w:val="decimal" w:pos="313"/>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04C8C5A9" w14:textId="77777777" w:rsidR="00144849" w:rsidRPr="00114E16" w:rsidRDefault="00144849" w:rsidP="005F4639">
            <w:pPr>
              <w:tabs>
                <w:tab w:val="decimal" w:pos="207"/>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25539B3E"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c>
          <w:tcPr>
            <w:tcW w:w="817" w:type="dxa"/>
            <w:vAlign w:val="center"/>
          </w:tcPr>
          <w:p w14:paraId="137771DE"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r>
      <w:tr w:rsidR="00114E16" w:rsidRPr="00114E16" w14:paraId="28A43F23" w14:textId="77777777" w:rsidTr="00C25C14">
        <w:trPr>
          <w:trHeight w:val="20"/>
        </w:trPr>
        <w:tc>
          <w:tcPr>
            <w:tcW w:w="2610" w:type="dxa"/>
            <w:gridSpan w:val="2"/>
            <w:tcMar>
              <w:left w:w="0" w:type="dxa"/>
              <w:right w:w="0" w:type="dxa"/>
            </w:tcMar>
            <w:vAlign w:val="center"/>
          </w:tcPr>
          <w:p w14:paraId="14AC8415" w14:textId="77777777" w:rsidR="00144849" w:rsidRPr="00114E16" w:rsidRDefault="00144849" w:rsidP="005F4639">
            <w:pPr>
              <w:ind w:left="180"/>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Cubic</w:t>
            </w:r>
          </w:p>
        </w:tc>
        <w:tc>
          <w:tcPr>
            <w:tcW w:w="3060" w:type="dxa"/>
            <w:gridSpan w:val="3"/>
            <w:tcMar>
              <w:left w:w="0" w:type="dxa"/>
              <w:right w:w="0" w:type="dxa"/>
            </w:tcMar>
            <w:vAlign w:val="center"/>
          </w:tcPr>
          <w:p w14:paraId="3953E05D" w14:textId="77777777" w:rsidR="00144849" w:rsidRPr="00114E16" w:rsidRDefault="00144849" w:rsidP="005F4639">
            <w:pPr>
              <w:tabs>
                <w:tab w:val="decimal" w:pos="350"/>
              </w:tabs>
              <w:contextualSpacing/>
              <w:rPr>
                <w:rFonts w:ascii="Times New Roman" w:hAnsi="Times New Roman" w:cs="Times New Roman"/>
                <w:color w:val="000000" w:themeColor="text1"/>
                <w:sz w:val="22"/>
                <w:szCs w:val="22"/>
              </w:rPr>
            </w:pPr>
          </w:p>
        </w:tc>
        <w:tc>
          <w:tcPr>
            <w:tcW w:w="3145" w:type="dxa"/>
            <w:tcMar>
              <w:left w:w="0" w:type="dxa"/>
              <w:right w:w="0" w:type="dxa"/>
            </w:tcMar>
            <w:vAlign w:val="center"/>
          </w:tcPr>
          <w:p w14:paraId="61D3153E" w14:textId="77777777" w:rsidR="00144849" w:rsidRPr="00114E16" w:rsidRDefault="00144849" w:rsidP="005F4639">
            <w:pPr>
              <w:tabs>
                <w:tab w:val="decimal" w:pos="62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0.001* (0.001)</w:t>
            </w:r>
          </w:p>
        </w:tc>
        <w:tc>
          <w:tcPr>
            <w:tcW w:w="816" w:type="dxa"/>
            <w:tcMar>
              <w:left w:w="0" w:type="dxa"/>
              <w:right w:w="0" w:type="dxa"/>
            </w:tcMar>
            <w:vAlign w:val="center"/>
          </w:tcPr>
          <w:p w14:paraId="79E2D3F8" w14:textId="77777777" w:rsidR="00144849" w:rsidRPr="00114E16" w:rsidRDefault="00144849" w:rsidP="005F4639">
            <w:pPr>
              <w:tabs>
                <w:tab w:val="decimal" w:pos="239"/>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0DEAD93E" w14:textId="77777777" w:rsidR="00144849" w:rsidRPr="00114E16" w:rsidRDefault="00144849" w:rsidP="005F4639">
            <w:pPr>
              <w:tabs>
                <w:tab w:val="decimal" w:pos="313"/>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059CD4A7" w14:textId="77777777" w:rsidR="00144849" w:rsidRPr="00114E16" w:rsidRDefault="00144849" w:rsidP="005F4639">
            <w:pPr>
              <w:tabs>
                <w:tab w:val="decimal" w:pos="207"/>
              </w:tabs>
              <w:contextualSpacing/>
              <w:jc w:val="center"/>
              <w:rPr>
                <w:rFonts w:ascii="Times New Roman" w:hAnsi="Times New Roman" w:cs="Times New Roman"/>
                <w:color w:val="000000" w:themeColor="text1"/>
                <w:sz w:val="22"/>
                <w:szCs w:val="22"/>
              </w:rPr>
            </w:pPr>
          </w:p>
        </w:tc>
        <w:tc>
          <w:tcPr>
            <w:tcW w:w="816" w:type="dxa"/>
            <w:tcMar>
              <w:left w:w="0" w:type="dxa"/>
              <w:right w:w="0" w:type="dxa"/>
            </w:tcMar>
            <w:vAlign w:val="center"/>
          </w:tcPr>
          <w:p w14:paraId="6C96B5D3"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c>
          <w:tcPr>
            <w:tcW w:w="817" w:type="dxa"/>
            <w:vAlign w:val="center"/>
          </w:tcPr>
          <w:p w14:paraId="6CCA5177"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r>
      <w:tr w:rsidR="00114E16" w:rsidRPr="00114E16" w14:paraId="615F6DC1" w14:textId="77777777" w:rsidTr="00C25C14">
        <w:trPr>
          <w:trHeight w:val="20"/>
        </w:trPr>
        <w:tc>
          <w:tcPr>
            <w:tcW w:w="2610" w:type="dxa"/>
            <w:gridSpan w:val="2"/>
            <w:tcBorders>
              <w:bottom w:val="single" w:sz="4" w:space="0" w:color="auto"/>
            </w:tcBorders>
            <w:tcMar>
              <w:left w:w="0" w:type="dxa"/>
              <w:right w:w="0" w:type="dxa"/>
            </w:tcMar>
            <w:vAlign w:val="center"/>
          </w:tcPr>
          <w:p w14:paraId="4016F3C3" w14:textId="77777777" w:rsidR="00144849" w:rsidRPr="00114E16" w:rsidRDefault="00144849" w:rsidP="005F4639">
            <w:pPr>
              <w:ind w:left="180"/>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Quartic</w:t>
            </w:r>
          </w:p>
        </w:tc>
        <w:tc>
          <w:tcPr>
            <w:tcW w:w="3060" w:type="dxa"/>
            <w:gridSpan w:val="3"/>
            <w:tcBorders>
              <w:bottom w:val="single" w:sz="4" w:space="0" w:color="auto"/>
            </w:tcBorders>
            <w:tcMar>
              <w:left w:w="0" w:type="dxa"/>
              <w:right w:w="0" w:type="dxa"/>
            </w:tcMar>
            <w:vAlign w:val="center"/>
          </w:tcPr>
          <w:p w14:paraId="4B9255B5" w14:textId="77777777" w:rsidR="00144849" w:rsidRPr="00114E16" w:rsidRDefault="00144849" w:rsidP="005F4639">
            <w:pPr>
              <w:tabs>
                <w:tab w:val="decimal" w:pos="350"/>
              </w:tabs>
              <w:contextualSpacing/>
              <w:rPr>
                <w:rFonts w:ascii="Times New Roman" w:hAnsi="Times New Roman" w:cs="Times New Roman"/>
                <w:color w:val="000000" w:themeColor="text1"/>
                <w:sz w:val="22"/>
                <w:szCs w:val="22"/>
              </w:rPr>
            </w:pPr>
          </w:p>
        </w:tc>
        <w:tc>
          <w:tcPr>
            <w:tcW w:w="3145" w:type="dxa"/>
            <w:tcBorders>
              <w:bottom w:val="single" w:sz="4" w:space="0" w:color="auto"/>
            </w:tcBorders>
            <w:tcMar>
              <w:left w:w="0" w:type="dxa"/>
              <w:right w:w="0" w:type="dxa"/>
            </w:tcMar>
            <w:vAlign w:val="center"/>
          </w:tcPr>
          <w:p w14:paraId="47EEE0BD" w14:textId="77777777" w:rsidR="00144849" w:rsidRPr="00114E16" w:rsidRDefault="00144849" w:rsidP="005F4639">
            <w:pPr>
              <w:tabs>
                <w:tab w:val="decimal" w:pos="620"/>
              </w:tabs>
              <w:contextualSpacing/>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rPr>
              <w:t xml:space="preserve">-0.001* (0.001) </w:t>
            </w:r>
            <w:r w:rsidRPr="00114E16">
              <w:rPr>
                <w:rFonts w:ascii="Times New Roman" w:hAnsi="Times New Roman" w:cs="Times New Roman"/>
                <w:color w:val="000000" w:themeColor="text1"/>
                <w:sz w:val="22"/>
                <w:szCs w:val="22"/>
                <w:vertAlign w:val="superscript"/>
              </w:rPr>
              <w:t>b</w:t>
            </w:r>
          </w:p>
        </w:tc>
        <w:tc>
          <w:tcPr>
            <w:tcW w:w="816" w:type="dxa"/>
            <w:tcBorders>
              <w:bottom w:val="single" w:sz="4" w:space="0" w:color="auto"/>
            </w:tcBorders>
            <w:tcMar>
              <w:left w:w="0" w:type="dxa"/>
              <w:right w:w="0" w:type="dxa"/>
            </w:tcMar>
            <w:vAlign w:val="center"/>
          </w:tcPr>
          <w:p w14:paraId="32308049" w14:textId="77777777" w:rsidR="00144849" w:rsidRPr="00114E16" w:rsidRDefault="00144849" w:rsidP="005F4639">
            <w:pPr>
              <w:tabs>
                <w:tab w:val="decimal" w:pos="239"/>
              </w:tabs>
              <w:contextualSpacing/>
              <w:jc w:val="center"/>
              <w:rPr>
                <w:rFonts w:ascii="Times New Roman" w:hAnsi="Times New Roman" w:cs="Times New Roman"/>
                <w:color w:val="000000" w:themeColor="text1"/>
                <w:sz w:val="22"/>
                <w:szCs w:val="22"/>
              </w:rPr>
            </w:pPr>
          </w:p>
        </w:tc>
        <w:tc>
          <w:tcPr>
            <w:tcW w:w="816" w:type="dxa"/>
            <w:tcBorders>
              <w:bottom w:val="single" w:sz="4" w:space="0" w:color="auto"/>
            </w:tcBorders>
            <w:tcMar>
              <w:left w:w="0" w:type="dxa"/>
              <w:right w:w="0" w:type="dxa"/>
            </w:tcMar>
            <w:vAlign w:val="center"/>
          </w:tcPr>
          <w:p w14:paraId="09B65141" w14:textId="77777777" w:rsidR="00144849" w:rsidRPr="00114E16" w:rsidRDefault="00144849" w:rsidP="005F4639">
            <w:pPr>
              <w:tabs>
                <w:tab w:val="decimal" w:pos="313"/>
              </w:tabs>
              <w:contextualSpacing/>
              <w:jc w:val="center"/>
              <w:rPr>
                <w:rFonts w:ascii="Times New Roman" w:hAnsi="Times New Roman" w:cs="Times New Roman"/>
                <w:color w:val="000000" w:themeColor="text1"/>
                <w:sz w:val="22"/>
                <w:szCs w:val="22"/>
              </w:rPr>
            </w:pPr>
          </w:p>
        </w:tc>
        <w:tc>
          <w:tcPr>
            <w:tcW w:w="816" w:type="dxa"/>
            <w:tcBorders>
              <w:bottom w:val="single" w:sz="4" w:space="0" w:color="auto"/>
            </w:tcBorders>
            <w:tcMar>
              <w:left w:w="0" w:type="dxa"/>
              <w:right w:w="0" w:type="dxa"/>
            </w:tcMar>
            <w:vAlign w:val="center"/>
          </w:tcPr>
          <w:p w14:paraId="3257F132" w14:textId="77777777" w:rsidR="00144849" w:rsidRPr="00114E16" w:rsidRDefault="00144849" w:rsidP="005F4639">
            <w:pPr>
              <w:tabs>
                <w:tab w:val="decimal" w:pos="207"/>
              </w:tabs>
              <w:contextualSpacing/>
              <w:jc w:val="center"/>
              <w:rPr>
                <w:rFonts w:ascii="Times New Roman" w:hAnsi="Times New Roman" w:cs="Times New Roman"/>
                <w:color w:val="000000" w:themeColor="text1"/>
                <w:sz w:val="22"/>
                <w:szCs w:val="22"/>
              </w:rPr>
            </w:pPr>
          </w:p>
        </w:tc>
        <w:tc>
          <w:tcPr>
            <w:tcW w:w="816" w:type="dxa"/>
            <w:tcBorders>
              <w:bottom w:val="single" w:sz="4" w:space="0" w:color="auto"/>
            </w:tcBorders>
            <w:tcMar>
              <w:left w:w="0" w:type="dxa"/>
              <w:right w:w="0" w:type="dxa"/>
            </w:tcMar>
            <w:vAlign w:val="center"/>
          </w:tcPr>
          <w:p w14:paraId="72CCE90C"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c>
          <w:tcPr>
            <w:tcW w:w="817" w:type="dxa"/>
            <w:tcBorders>
              <w:bottom w:val="single" w:sz="4" w:space="0" w:color="auto"/>
            </w:tcBorders>
            <w:vAlign w:val="center"/>
          </w:tcPr>
          <w:p w14:paraId="3A15620D" w14:textId="77777777" w:rsidR="00144849" w:rsidRPr="00114E16" w:rsidRDefault="00144849" w:rsidP="005F4639">
            <w:pPr>
              <w:tabs>
                <w:tab w:val="decimal" w:pos="281"/>
              </w:tabs>
              <w:contextualSpacing/>
              <w:jc w:val="center"/>
              <w:rPr>
                <w:rFonts w:ascii="Times New Roman" w:hAnsi="Times New Roman" w:cs="Times New Roman"/>
                <w:color w:val="000000" w:themeColor="text1"/>
                <w:sz w:val="22"/>
                <w:szCs w:val="22"/>
              </w:rPr>
            </w:pPr>
          </w:p>
        </w:tc>
      </w:tr>
    </w:tbl>
    <w:p w14:paraId="5EC78C8D" w14:textId="77777777" w:rsidR="00144849" w:rsidRPr="00114E16" w:rsidRDefault="00144849" w:rsidP="00144849">
      <w:pPr>
        <w:autoSpaceDE w:val="0"/>
        <w:autoSpaceDN w:val="0"/>
        <w:adjustRightInd w:val="0"/>
        <w:spacing w:line="449" w:lineRule="auto"/>
        <w:rPr>
          <w:rFonts w:ascii="Times New Roman" w:eastAsia="Times New Roman" w:hAnsi="Times New Roman" w:cs="Times New Roman"/>
          <w:color w:val="000000" w:themeColor="text1"/>
          <w:sz w:val="22"/>
          <w:szCs w:val="22"/>
        </w:rPr>
      </w:pPr>
      <w:r w:rsidRPr="00114E16">
        <w:rPr>
          <w:rFonts w:ascii="Times New Roman" w:eastAsia="Times New Roman" w:hAnsi="Times New Roman" w:cs="Times New Roman"/>
          <w:i/>
          <w:color w:val="000000" w:themeColor="text1"/>
          <w:sz w:val="22"/>
          <w:szCs w:val="22"/>
        </w:rPr>
        <w:t>Note. AvePP</w:t>
      </w:r>
      <w:r w:rsidRPr="00114E16">
        <w:rPr>
          <w:rFonts w:ascii="Times New Roman" w:eastAsia="Times New Roman" w:hAnsi="Times New Roman" w:cs="Times New Roman"/>
          <w:i/>
          <w:color w:val="000000" w:themeColor="text1"/>
          <w:sz w:val="22"/>
          <w:szCs w:val="22"/>
          <w:vertAlign w:val="subscript"/>
        </w:rPr>
        <w:t xml:space="preserve">j </w:t>
      </w:r>
      <w:r w:rsidRPr="00114E16">
        <w:rPr>
          <w:rFonts w:ascii="Times New Roman" w:eastAsia="Times New Roman" w:hAnsi="Times New Roman" w:cs="Times New Roman"/>
          <w:i/>
          <w:color w:val="000000" w:themeColor="text1"/>
          <w:sz w:val="22"/>
          <w:szCs w:val="22"/>
        </w:rPr>
        <w:t xml:space="preserve">= </w:t>
      </w:r>
      <w:r w:rsidRPr="00114E16">
        <w:rPr>
          <w:rFonts w:ascii="Times New Roman" w:eastAsia="Times New Roman" w:hAnsi="Times New Roman" w:cs="Times New Roman"/>
          <w:color w:val="000000" w:themeColor="text1"/>
          <w:sz w:val="22"/>
          <w:szCs w:val="22"/>
        </w:rPr>
        <w:t xml:space="preserve">Average posterior probability; </w:t>
      </w:r>
      <w:r w:rsidRPr="00114E16">
        <w:rPr>
          <w:rFonts w:ascii="Times New Roman" w:eastAsia="Times New Roman" w:hAnsi="Times New Roman" w:cs="Times New Roman"/>
          <w:i/>
          <w:color w:val="000000" w:themeColor="text1"/>
          <w:sz w:val="22"/>
          <w:szCs w:val="22"/>
        </w:rPr>
        <w:t>OCC</w:t>
      </w:r>
      <w:r w:rsidRPr="00114E16">
        <w:rPr>
          <w:rFonts w:ascii="Times New Roman" w:eastAsia="Times New Roman" w:hAnsi="Times New Roman" w:cs="Times New Roman"/>
          <w:i/>
          <w:color w:val="000000" w:themeColor="text1"/>
          <w:sz w:val="22"/>
          <w:szCs w:val="22"/>
          <w:vertAlign w:val="subscript"/>
        </w:rPr>
        <w:t xml:space="preserve">j </w:t>
      </w:r>
      <w:r w:rsidRPr="00114E16">
        <w:rPr>
          <w:rFonts w:ascii="Times New Roman" w:eastAsia="Times New Roman" w:hAnsi="Times New Roman" w:cs="Times New Roman"/>
          <w:i/>
          <w:color w:val="000000" w:themeColor="text1"/>
          <w:sz w:val="22"/>
          <w:szCs w:val="22"/>
        </w:rPr>
        <w:t xml:space="preserve">= </w:t>
      </w:r>
      <w:r w:rsidRPr="00114E16">
        <w:rPr>
          <w:rFonts w:ascii="Times New Roman" w:eastAsia="Times New Roman" w:hAnsi="Times New Roman" w:cs="Times New Roman"/>
          <w:color w:val="000000" w:themeColor="text1"/>
          <w:sz w:val="22"/>
          <w:szCs w:val="22"/>
        </w:rPr>
        <w:t xml:space="preserve">Odds of correct classification; </w:t>
      </w:r>
      <w:r w:rsidRPr="00114E16">
        <w:rPr>
          <w:rFonts w:ascii="Times New Roman" w:hAnsi="Times New Roman" w:cs="Times New Roman"/>
          <w:i/>
          <w:color w:val="000000" w:themeColor="text1"/>
          <w:sz w:val="22"/>
          <w:szCs w:val="22"/>
        </w:rPr>
        <w:t>Prob</w:t>
      </w:r>
      <w:r w:rsidRPr="00114E16">
        <w:rPr>
          <w:rFonts w:ascii="Times New Roman" w:hAnsi="Times New Roman" w:cs="Times New Roman"/>
          <w:i/>
          <w:color w:val="000000" w:themeColor="text1"/>
          <w:sz w:val="22"/>
          <w:szCs w:val="22"/>
          <w:vertAlign w:val="subscript"/>
        </w:rPr>
        <w:t xml:space="preserve">j </w:t>
      </w:r>
      <w:r w:rsidRPr="00114E16">
        <w:rPr>
          <w:rFonts w:ascii="Times New Roman" w:eastAsia="Times New Roman" w:hAnsi="Times New Roman" w:cs="Times New Roman"/>
          <w:color w:val="000000" w:themeColor="text1"/>
          <w:sz w:val="22"/>
          <w:szCs w:val="22"/>
        </w:rPr>
        <w:t xml:space="preserve">= Probability of group assignment; </w:t>
      </w:r>
      <w:r w:rsidRPr="00114E16">
        <w:rPr>
          <w:rFonts w:ascii="Times New Roman" w:hAnsi="Times New Roman" w:cs="Times New Roman"/>
          <w:i/>
          <w:color w:val="000000" w:themeColor="text1"/>
          <w:sz w:val="22"/>
          <w:szCs w:val="22"/>
        </w:rPr>
        <w:t>Prop</w:t>
      </w:r>
      <w:r w:rsidRPr="00114E16">
        <w:rPr>
          <w:rFonts w:ascii="Times New Roman" w:hAnsi="Times New Roman" w:cs="Times New Roman"/>
          <w:i/>
          <w:color w:val="000000" w:themeColor="text1"/>
          <w:sz w:val="22"/>
          <w:szCs w:val="22"/>
          <w:vertAlign w:val="subscript"/>
        </w:rPr>
        <w:t xml:space="preserve">j </w:t>
      </w:r>
      <w:r w:rsidRPr="00114E16">
        <w:rPr>
          <w:rFonts w:ascii="Times New Roman" w:hAnsi="Times New Roman" w:cs="Times New Roman"/>
          <w:i/>
          <w:color w:val="000000" w:themeColor="text1"/>
          <w:sz w:val="22"/>
          <w:szCs w:val="22"/>
        </w:rPr>
        <w:t>=</w:t>
      </w:r>
      <w:r w:rsidRPr="00114E16">
        <w:rPr>
          <w:rFonts w:ascii="Times New Roman" w:hAnsi="Times New Roman" w:cs="Times New Roman"/>
          <w:i/>
          <w:color w:val="000000" w:themeColor="text1"/>
          <w:sz w:val="22"/>
          <w:szCs w:val="22"/>
          <w:vertAlign w:val="subscript"/>
        </w:rPr>
        <w:t xml:space="preserve"> </w:t>
      </w:r>
      <w:r w:rsidRPr="00114E16">
        <w:rPr>
          <w:rFonts w:ascii="Times New Roman" w:eastAsia="Times New Roman" w:hAnsi="Times New Roman" w:cs="Times New Roman"/>
          <w:color w:val="000000" w:themeColor="text1"/>
          <w:sz w:val="22"/>
          <w:szCs w:val="22"/>
        </w:rPr>
        <w:t xml:space="preserve">Proportion of children assigned to each group; </w:t>
      </w:r>
      <w:r w:rsidRPr="00114E16">
        <w:rPr>
          <w:rFonts w:ascii="Times New Roman" w:eastAsia="Times New Roman" w:hAnsi="Times New Roman" w:cs="Times New Roman"/>
          <w:i/>
          <w:color w:val="000000" w:themeColor="text1"/>
          <w:sz w:val="22"/>
          <w:szCs w:val="22"/>
        </w:rPr>
        <w:t xml:space="preserve">Ratio = </w:t>
      </w:r>
      <w:r w:rsidRPr="00114E16">
        <w:rPr>
          <w:rFonts w:ascii="Times New Roman" w:eastAsia="Times New Roman" w:hAnsi="Times New Roman" w:cs="Times New Roman"/>
          <w:color w:val="000000" w:themeColor="text1"/>
          <w:sz w:val="22"/>
          <w:szCs w:val="22"/>
        </w:rPr>
        <w:t xml:space="preserve">Ratio of </w:t>
      </w:r>
      <w:r w:rsidRPr="00114E16">
        <w:rPr>
          <w:rFonts w:ascii="Times New Roman" w:hAnsi="Times New Roman" w:cs="Times New Roman"/>
          <w:i/>
          <w:color w:val="000000" w:themeColor="text1"/>
          <w:sz w:val="22"/>
          <w:szCs w:val="22"/>
        </w:rPr>
        <w:t>Prob</w:t>
      </w:r>
      <w:r w:rsidRPr="00114E16">
        <w:rPr>
          <w:rFonts w:ascii="Times New Roman" w:hAnsi="Times New Roman" w:cs="Times New Roman"/>
          <w:i/>
          <w:color w:val="000000" w:themeColor="text1"/>
          <w:sz w:val="22"/>
          <w:szCs w:val="22"/>
          <w:vertAlign w:val="subscript"/>
        </w:rPr>
        <w:t>j</w:t>
      </w:r>
      <w:r w:rsidRPr="00114E16">
        <w:rPr>
          <w:rFonts w:ascii="Times New Roman" w:eastAsia="Times New Roman" w:hAnsi="Times New Roman" w:cs="Times New Roman"/>
          <w:color w:val="000000" w:themeColor="text1"/>
          <w:sz w:val="22"/>
          <w:szCs w:val="22"/>
        </w:rPr>
        <w:t xml:space="preserve"> to </w:t>
      </w:r>
      <w:r w:rsidRPr="00114E16">
        <w:rPr>
          <w:rFonts w:ascii="Times New Roman" w:hAnsi="Times New Roman" w:cs="Times New Roman"/>
          <w:i/>
          <w:color w:val="000000" w:themeColor="text1"/>
          <w:sz w:val="22"/>
          <w:szCs w:val="22"/>
        </w:rPr>
        <w:t>Prop</w:t>
      </w:r>
      <w:r w:rsidRPr="00114E16">
        <w:rPr>
          <w:rFonts w:ascii="Times New Roman" w:hAnsi="Times New Roman" w:cs="Times New Roman"/>
          <w:i/>
          <w:color w:val="000000" w:themeColor="text1"/>
          <w:sz w:val="22"/>
          <w:szCs w:val="22"/>
          <w:vertAlign w:val="subscript"/>
        </w:rPr>
        <w:t>j</w:t>
      </w:r>
      <w:r w:rsidRPr="00114E16">
        <w:rPr>
          <w:rFonts w:ascii="Times New Roman" w:eastAsia="Times New Roman" w:hAnsi="Times New Roman" w:cs="Times New Roman"/>
          <w:color w:val="000000" w:themeColor="text1"/>
          <w:sz w:val="22"/>
          <w:szCs w:val="22"/>
        </w:rPr>
        <w:t xml:space="preserve">. Upper-case superscripts denote significant differences in intercept estimates within the biological index. Lower-case superscripts denote significant differences in polynomial estimates within the same biological index.  </w:t>
      </w:r>
    </w:p>
    <w:p w14:paraId="289E621D" w14:textId="2867DE42" w:rsidR="00144849" w:rsidRPr="00114E16" w:rsidRDefault="00144849" w:rsidP="00144849">
      <w:pPr>
        <w:spacing w:line="480" w:lineRule="auto"/>
        <w:rPr>
          <w:rFonts w:ascii="Times New Roman" w:hAnsi="Times New Roman" w:cs="Times New Roman"/>
          <w:color w:val="000000" w:themeColor="text1"/>
          <w:sz w:val="22"/>
          <w:szCs w:val="22"/>
        </w:rPr>
      </w:pPr>
      <w:r w:rsidRPr="00114E16">
        <w:rPr>
          <w:rFonts w:ascii="Times New Roman" w:hAnsi="Times New Roman" w:cs="Times New Roman"/>
          <w:color w:val="000000" w:themeColor="text1"/>
          <w:sz w:val="22"/>
          <w:szCs w:val="22"/>
          <w:vertAlign w:val="superscript"/>
        </w:rPr>
        <w:t xml:space="preserve">† </w:t>
      </w:r>
      <w:r w:rsidRPr="00114E16">
        <w:rPr>
          <w:rFonts w:ascii="Times New Roman" w:hAnsi="Times New Roman" w:cs="Times New Roman"/>
          <w:i/>
          <w:color w:val="000000" w:themeColor="text1"/>
          <w:sz w:val="22"/>
          <w:szCs w:val="22"/>
        </w:rPr>
        <w:t>p</w:t>
      </w:r>
      <w:r w:rsidRPr="00114E16">
        <w:rPr>
          <w:rFonts w:ascii="Times New Roman" w:hAnsi="Times New Roman" w:cs="Times New Roman"/>
          <w:color w:val="000000" w:themeColor="text1"/>
          <w:sz w:val="22"/>
          <w:szCs w:val="22"/>
        </w:rPr>
        <w:t xml:space="preserve"> &lt; .10. </w:t>
      </w:r>
      <w:r w:rsidRPr="00114E16">
        <w:rPr>
          <w:rFonts w:ascii="Times New Roman" w:eastAsia="Times New Roman" w:hAnsi="Times New Roman" w:cs="Times New Roman"/>
          <w:color w:val="000000" w:themeColor="text1"/>
          <w:sz w:val="22"/>
          <w:szCs w:val="22"/>
        </w:rPr>
        <w:t>*</w:t>
      </w:r>
      <w:r w:rsidRPr="00114E16">
        <w:rPr>
          <w:rFonts w:ascii="Times New Roman" w:eastAsia="Times New Roman" w:hAnsi="Times New Roman" w:cs="Times New Roman"/>
          <w:i/>
          <w:color w:val="000000" w:themeColor="text1"/>
          <w:sz w:val="22"/>
          <w:szCs w:val="22"/>
        </w:rPr>
        <w:t xml:space="preserve">p &lt; </w:t>
      </w:r>
      <w:r w:rsidRPr="00114E16">
        <w:rPr>
          <w:rFonts w:ascii="Times New Roman" w:eastAsia="Times New Roman" w:hAnsi="Times New Roman" w:cs="Times New Roman"/>
          <w:color w:val="000000" w:themeColor="text1"/>
          <w:sz w:val="22"/>
          <w:szCs w:val="22"/>
        </w:rPr>
        <w:t xml:space="preserve">.05. </w:t>
      </w:r>
      <w:r w:rsidRPr="00114E16">
        <w:rPr>
          <w:rFonts w:ascii="Times New Roman" w:eastAsia="Times New Roman" w:hAnsi="Times New Roman" w:cs="Times New Roman"/>
          <w:color w:val="000000" w:themeColor="text1"/>
          <w:sz w:val="22"/>
          <w:szCs w:val="22"/>
        </w:rPr>
        <w:br w:type="page"/>
      </w:r>
    </w:p>
    <w:p w14:paraId="51AE7845" w14:textId="190D42FB" w:rsidR="00144849" w:rsidRPr="00114E16" w:rsidRDefault="00144849" w:rsidP="00144849">
      <w:pPr>
        <w:autoSpaceDE w:val="0"/>
        <w:autoSpaceDN w:val="0"/>
        <w:adjustRightInd w:val="0"/>
        <w:spacing w:line="480" w:lineRule="auto"/>
        <w:rPr>
          <w:rFonts w:ascii="Times New Roman" w:hAnsi="Times New Roman" w:cs="Times New Roman"/>
          <w:b/>
          <w:bCs/>
          <w:iCs/>
          <w:color w:val="000000" w:themeColor="text1"/>
          <w:sz w:val="22"/>
          <w:szCs w:val="22"/>
        </w:rPr>
      </w:pPr>
      <w:r w:rsidRPr="00114E16">
        <w:rPr>
          <w:rFonts w:ascii="Times New Roman" w:hAnsi="Times New Roman" w:cs="Times New Roman"/>
          <w:b/>
          <w:bCs/>
          <w:iCs/>
          <w:color w:val="000000" w:themeColor="text1"/>
          <w:sz w:val="22"/>
          <w:szCs w:val="22"/>
        </w:rPr>
        <w:lastRenderedPageBreak/>
        <w:t xml:space="preserve">Figure </w:t>
      </w:r>
      <w:r w:rsidR="00901242" w:rsidRPr="00114E16">
        <w:rPr>
          <w:rFonts w:ascii="Times New Roman" w:hAnsi="Times New Roman" w:cs="Times New Roman"/>
          <w:b/>
          <w:bCs/>
          <w:iCs/>
          <w:color w:val="000000" w:themeColor="text1"/>
          <w:sz w:val="22"/>
          <w:szCs w:val="22"/>
        </w:rPr>
        <w:t>S1</w:t>
      </w:r>
    </w:p>
    <w:p w14:paraId="6367903A" w14:textId="77777777" w:rsidR="00144849" w:rsidRPr="00114E16" w:rsidRDefault="00144849" w:rsidP="00144849">
      <w:pPr>
        <w:spacing w:line="480" w:lineRule="auto"/>
        <w:rPr>
          <w:rFonts w:ascii="Times New Roman" w:hAnsi="Times New Roman" w:cs="Times New Roman"/>
          <w:i/>
          <w:iCs/>
          <w:color w:val="000000" w:themeColor="text1"/>
          <w:sz w:val="22"/>
          <w:szCs w:val="22"/>
        </w:rPr>
      </w:pPr>
      <w:r w:rsidRPr="00114E16">
        <w:rPr>
          <w:rFonts w:ascii="Times New Roman" w:hAnsi="Times New Roman" w:cs="Times New Roman"/>
          <w:i/>
          <w:iCs/>
          <w:color w:val="000000" w:themeColor="text1"/>
          <w:sz w:val="22"/>
          <w:szCs w:val="22"/>
        </w:rPr>
        <w:t>Actual versus Predicted Salivary Cortisol and Alpha-Amylase Trajectories for Pretest HPA–SAM Multi-Trajectory Modeling Four-Group Solution</w:t>
      </w:r>
    </w:p>
    <w:p w14:paraId="5FCB55DC" w14:textId="55DCF23F" w:rsidR="00144849" w:rsidRPr="00114E16" w:rsidRDefault="00901242" w:rsidP="00144849">
      <w:pPr>
        <w:spacing w:line="480" w:lineRule="auto"/>
        <w:jc w:val="center"/>
        <w:rPr>
          <w:rFonts w:ascii="Times New Roman" w:hAnsi="Times New Roman" w:cs="Times New Roman"/>
          <w:color w:val="000000" w:themeColor="text1"/>
          <w:sz w:val="22"/>
          <w:szCs w:val="22"/>
        </w:rPr>
      </w:pPr>
      <w:r w:rsidRPr="00114E16">
        <w:rPr>
          <w:rFonts w:ascii="Times New Roman" w:hAnsi="Times New Roman" w:cs="Times New Roman"/>
          <w:noProof/>
          <w:color w:val="000000" w:themeColor="text1"/>
          <w:sz w:val="22"/>
          <w:szCs w:val="22"/>
        </w:rPr>
        <w:drawing>
          <wp:inline distT="0" distB="0" distL="0" distR="0" wp14:anchorId="184645F6" wp14:editId="099DAF6C">
            <wp:extent cx="8229600" cy="4303395"/>
            <wp:effectExtent l="0" t="0" r="0" b="1905"/>
            <wp:docPr id="2" name="Picture 2" descr="A group of graph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graphs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29600" cy="4303395"/>
                    </a:xfrm>
                    <a:prstGeom prst="rect">
                      <a:avLst/>
                    </a:prstGeom>
                  </pic:spPr>
                </pic:pic>
              </a:graphicData>
            </a:graphic>
          </wp:inline>
        </w:drawing>
      </w:r>
    </w:p>
    <w:p w14:paraId="1F2893F6" w14:textId="77777777" w:rsidR="00144849" w:rsidRPr="00114E16" w:rsidRDefault="00144849" w:rsidP="00144849">
      <w:pPr>
        <w:spacing w:line="480" w:lineRule="auto"/>
        <w:rPr>
          <w:rFonts w:ascii="Times New Roman" w:hAnsi="Times New Roman" w:cs="Times New Roman"/>
          <w:color w:val="000000" w:themeColor="text1"/>
          <w:sz w:val="22"/>
          <w:szCs w:val="22"/>
        </w:rPr>
      </w:pPr>
      <w:r w:rsidRPr="00114E16">
        <w:rPr>
          <w:rFonts w:ascii="Times New Roman" w:hAnsi="Times New Roman" w:cs="Times New Roman"/>
          <w:i/>
          <w:iCs/>
          <w:color w:val="000000" w:themeColor="text1"/>
          <w:sz w:val="22"/>
          <w:szCs w:val="22"/>
        </w:rPr>
        <w:t>Note</w:t>
      </w:r>
      <w:r w:rsidRPr="00114E16">
        <w:rPr>
          <w:rFonts w:ascii="Times New Roman" w:hAnsi="Times New Roman" w:cs="Times New Roman"/>
          <w:color w:val="000000" w:themeColor="text1"/>
          <w:sz w:val="22"/>
          <w:szCs w:val="22"/>
        </w:rPr>
        <w:t>. Actual trajectories denoted with dotted lines. Predicted trajectories denoted by solid lines. Reverse transformed values presented for ease of interpretation and cross-study communication. Values in parentheses reflect the number of children assigned to each group.</w:t>
      </w:r>
    </w:p>
    <w:p w14:paraId="66855124" w14:textId="77777777" w:rsidR="00144849" w:rsidRPr="00114E16" w:rsidRDefault="00144849" w:rsidP="00144849">
      <w:pPr>
        <w:rPr>
          <w:color w:val="000000" w:themeColor="text1"/>
        </w:rPr>
      </w:pPr>
    </w:p>
    <w:p w14:paraId="5910B75C" w14:textId="66184C0C" w:rsidR="00E52953" w:rsidRPr="00114E16" w:rsidRDefault="00E52953" w:rsidP="00E52953">
      <w:pPr>
        <w:spacing w:line="480" w:lineRule="auto"/>
        <w:rPr>
          <w:rFonts w:ascii="Times New Roman" w:hAnsi="Times New Roman" w:cs="Times New Roman"/>
          <w:b/>
          <w:bCs/>
          <w:iCs/>
          <w:color w:val="000000" w:themeColor="text1"/>
          <w:sz w:val="22"/>
          <w:szCs w:val="22"/>
        </w:rPr>
      </w:pPr>
      <w:r w:rsidRPr="00114E16">
        <w:rPr>
          <w:rFonts w:ascii="Times New Roman" w:hAnsi="Times New Roman" w:cs="Times New Roman"/>
          <w:b/>
          <w:bCs/>
          <w:iCs/>
          <w:color w:val="000000" w:themeColor="text1"/>
          <w:sz w:val="22"/>
          <w:szCs w:val="22"/>
        </w:rPr>
        <w:lastRenderedPageBreak/>
        <w:t>Figure S2</w:t>
      </w:r>
    </w:p>
    <w:p w14:paraId="71572022" w14:textId="77777777" w:rsidR="00E52953" w:rsidRPr="00114E16" w:rsidRDefault="00E52953" w:rsidP="00E52953">
      <w:pPr>
        <w:spacing w:line="480" w:lineRule="auto"/>
        <w:rPr>
          <w:color w:val="000000" w:themeColor="text1"/>
          <w:sz w:val="22"/>
          <w:szCs w:val="22"/>
        </w:rPr>
      </w:pPr>
      <w:r w:rsidRPr="00114E16">
        <w:rPr>
          <w:rFonts w:ascii="Times New Roman" w:eastAsia="Times New Roman" w:hAnsi="Times New Roman" w:cs="Times New Roman"/>
          <w:i/>
          <w:iCs/>
          <w:color w:val="000000" w:themeColor="text1"/>
          <w:sz w:val="22"/>
          <w:szCs w:val="22"/>
        </w:rPr>
        <w:t xml:space="preserve">Plotted Means and Standard Error Bars for Risk and Mental Health Indices for </w:t>
      </w:r>
      <w:r w:rsidRPr="00114E16">
        <w:rPr>
          <w:rFonts w:ascii="Times New Roman" w:hAnsi="Times New Roman" w:cs="Times New Roman"/>
          <w:i/>
          <w:iCs/>
          <w:color w:val="000000" w:themeColor="text1"/>
          <w:sz w:val="22"/>
          <w:szCs w:val="22"/>
        </w:rPr>
        <w:t>Final HPA–SAM Pretest Four-Group Solution</w:t>
      </w:r>
    </w:p>
    <w:p w14:paraId="24DD5A27" w14:textId="578D4B79" w:rsidR="00144849" w:rsidRPr="00114E16" w:rsidRDefault="00E52953" w:rsidP="00E52953">
      <w:pPr>
        <w:jc w:val="center"/>
        <w:rPr>
          <w:color w:val="000000" w:themeColor="text1"/>
        </w:rPr>
      </w:pPr>
      <w:r w:rsidRPr="00114E16">
        <w:rPr>
          <w:noProof/>
          <w:color w:val="000000" w:themeColor="text1"/>
        </w:rPr>
        <w:drawing>
          <wp:inline distT="0" distB="0" distL="0" distR="0" wp14:anchorId="6295491B" wp14:editId="07126A73">
            <wp:extent cx="7230140" cy="4935575"/>
            <wp:effectExtent l="0" t="0" r="8890" b="0"/>
            <wp:docPr id="3" name="Picture 3" descr="A group of colorful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colorful bar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40398" cy="4942578"/>
                    </a:xfrm>
                    <a:prstGeom prst="rect">
                      <a:avLst/>
                    </a:prstGeom>
                  </pic:spPr>
                </pic:pic>
              </a:graphicData>
            </a:graphic>
          </wp:inline>
        </w:drawing>
      </w:r>
    </w:p>
    <w:p w14:paraId="24631CC3" w14:textId="042509B7" w:rsidR="00144849" w:rsidRPr="00114E16" w:rsidRDefault="00E52953" w:rsidP="00A030FA">
      <w:pPr>
        <w:spacing w:line="480" w:lineRule="auto"/>
        <w:rPr>
          <w:color w:val="000000" w:themeColor="text1"/>
        </w:rPr>
      </w:pPr>
      <w:r w:rsidRPr="00114E16">
        <w:rPr>
          <w:rFonts w:ascii="Times New Roman" w:eastAsia="Times New Roman" w:hAnsi="Times New Roman" w:cs="Times New Roman"/>
          <w:i/>
          <w:iCs/>
          <w:color w:val="000000" w:themeColor="text1"/>
          <w:sz w:val="22"/>
          <w:szCs w:val="22"/>
        </w:rPr>
        <w:t>Note</w:t>
      </w:r>
      <w:r w:rsidRPr="00114E16">
        <w:rPr>
          <w:rFonts w:ascii="Times New Roman" w:eastAsia="Times New Roman" w:hAnsi="Times New Roman" w:cs="Times New Roman"/>
          <w:color w:val="000000" w:themeColor="text1"/>
          <w:sz w:val="22"/>
          <w:szCs w:val="22"/>
        </w:rPr>
        <w:t>. Differing superscripts denote significant differences between groups.</w:t>
      </w:r>
    </w:p>
    <w:sectPr w:rsidR="00144849" w:rsidRPr="00114E16" w:rsidSect="00D27C4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0D3A" w14:textId="77777777" w:rsidR="00CC51D2" w:rsidRDefault="00CC51D2" w:rsidP="00144849">
      <w:r>
        <w:separator/>
      </w:r>
    </w:p>
  </w:endnote>
  <w:endnote w:type="continuationSeparator" w:id="0">
    <w:p w14:paraId="6F3BB944" w14:textId="77777777" w:rsidR="00CC51D2" w:rsidRDefault="00CC51D2" w:rsidP="0014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AA33F" w14:textId="77777777" w:rsidR="00CC51D2" w:rsidRDefault="00CC51D2" w:rsidP="00144849">
      <w:r>
        <w:separator/>
      </w:r>
    </w:p>
  </w:footnote>
  <w:footnote w:type="continuationSeparator" w:id="0">
    <w:p w14:paraId="339FE86C" w14:textId="77777777" w:rsidR="00CC51D2" w:rsidRDefault="00CC51D2" w:rsidP="00144849">
      <w:r>
        <w:continuationSeparator/>
      </w:r>
    </w:p>
  </w:footnote>
  <w:footnote w:id="1">
    <w:p w14:paraId="3548484A" w14:textId="77777777" w:rsidR="0026593E" w:rsidRPr="00114E16" w:rsidRDefault="0026593E" w:rsidP="0026593E">
      <w:pPr>
        <w:pStyle w:val="FootnoteText"/>
        <w:rPr>
          <w:rFonts w:ascii="Times New Roman" w:hAnsi="Times New Roman" w:cs="Times New Roman"/>
          <w:color w:val="000000" w:themeColor="text1"/>
        </w:rPr>
      </w:pPr>
      <w:r w:rsidRPr="00114E16">
        <w:rPr>
          <w:rStyle w:val="FootnoteReference"/>
          <w:rFonts w:ascii="Times New Roman" w:hAnsi="Times New Roman" w:cs="Times New Roman"/>
          <w:color w:val="000000" w:themeColor="text1"/>
        </w:rPr>
        <w:footnoteRef/>
      </w:r>
      <w:r w:rsidRPr="00114E16">
        <w:rPr>
          <w:rFonts w:ascii="Times New Roman" w:hAnsi="Times New Roman" w:cs="Times New Roman"/>
          <w:color w:val="000000" w:themeColor="text1"/>
        </w:rPr>
        <w:t xml:space="preserve"> Following guidelines set forth in Howell (2007), no standard deviation value was four times larger than the smallest standard deviation value, suggesting that follow-up ANCOVAs conducted would be robust to potential violations of the homogeneity of variance assumption. </w:t>
      </w:r>
    </w:p>
    <w:p w14:paraId="310A09F6" w14:textId="77777777" w:rsidR="0026593E" w:rsidRPr="00114E16" w:rsidRDefault="0026593E" w:rsidP="0026593E">
      <w:pPr>
        <w:pStyle w:val="FootnoteText"/>
        <w:rPr>
          <w:rFonts w:ascii="Times New Roman" w:hAnsi="Times New Roman" w:cs="Times New Roman"/>
          <w:color w:val="000000" w:themeColor="text1"/>
        </w:rPr>
      </w:pPr>
    </w:p>
  </w:footnote>
  <w:footnote w:id="2">
    <w:p w14:paraId="692CFC5B" w14:textId="4D9AC47E" w:rsidR="0026593E" w:rsidRPr="00114E16" w:rsidRDefault="0026593E" w:rsidP="0026593E">
      <w:pPr>
        <w:pStyle w:val="FootnoteText"/>
        <w:rPr>
          <w:rFonts w:ascii="Times New Roman" w:hAnsi="Times New Roman" w:cs="Times New Roman"/>
          <w:color w:val="000000" w:themeColor="text1"/>
        </w:rPr>
      </w:pPr>
      <w:r w:rsidRPr="00114E16">
        <w:rPr>
          <w:rStyle w:val="FootnoteReference"/>
          <w:rFonts w:ascii="Times New Roman" w:hAnsi="Times New Roman" w:cs="Times New Roman"/>
          <w:color w:val="000000" w:themeColor="text1"/>
        </w:rPr>
        <w:footnoteRef/>
      </w:r>
      <w:r w:rsidRPr="00114E16">
        <w:rPr>
          <w:rFonts w:ascii="Times New Roman" w:hAnsi="Times New Roman" w:cs="Times New Roman"/>
          <w:color w:val="000000" w:themeColor="text1"/>
        </w:rPr>
        <w:t xml:space="preserve"> Omnibus tests in ANOVA frameworks minimize the chance of committing a Type 1 error, with nonsignificant omnibus tests precluding “unnecessary” post-hoc pairwise group comparisons based on the </w:t>
      </w:r>
      <w:r w:rsidRPr="00114E16">
        <w:rPr>
          <w:rFonts w:ascii="Times New Roman" w:hAnsi="Times New Roman" w:cs="Times New Roman"/>
          <w:i/>
          <w:iCs/>
          <w:color w:val="000000" w:themeColor="text1"/>
        </w:rPr>
        <w:t>overall</w:t>
      </w:r>
      <w:r w:rsidRPr="00114E16">
        <w:rPr>
          <w:rFonts w:ascii="Times New Roman" w:hAnsi="Times New Roman" w:cs="Times New Roman"/>
          <w:color w:val="000000" w:themeColor="text1"/>
        </w:rPr>
        <w:t xml:space="preserve"> pattern of differences across groups (e.g., four co-activation profiles). Yet, </w:t>
      </w:r>
      <w:proofErr w:type="gramStart"/>
      <w:r w:rsidRPr="00114E16">
        <w:rPr>
          <w:rFonts w:ascii="Times New Roman" w:hAnsi="Times New Roman" w:cs="Times New Roman"/>
          <w:color w:val="000000" w:themeColor="text1"/>
        </w:rPr>
        <w:t>omnibus</w:t>
      </w:r>
      <w:proofErr w:type="gramEnd"/>
      <w:r w:rsidRPr="00114E16">
        <w:rPr>
          <w:rFonts w:ascii="Times New Roman" w:hAnsi="Times New Roman" w:cs="Times New Roman"/>
          <w:color w:val="000000" w:themeColor="text1"/>
        </w:rPr>
        <w:t xml:space="preserve"> and post-hoc tests do not always converge. Our post-hoc tests revealed significant differences between specific profiles that were ultimately consistent with the pattern of findings that emerged in ANOVA tests of our other focal correlates. </w:t>
      </w:r>
      <w:r w:rsidR="00A030FA" w:rsidRPr="00114E16">
        <w:rPr>
          <w:rFonts w:ascii="Times New Roman" w:hAnsi="Times New Roman" w:cs="Times New Roman"/>
          <w:color w:val="000000" w:themeColor="text1"/>
        </w:rPr>
        <w:t xml:space="preserve">For further justification concerning post-hoc </w:t>
      </w:r>
      <w:r w:rsidRPr="00114E16">
        <w:rPr>
          <w:rFonts w:ascii="Times New Roman" w:hAnsi="Times New Roman" w:cs="Times New Roman"/>
          <w:color w:val="000000" w:themeColor="text1"/>
        </w:rPr>
        <w:t xml:space="preserve">pairwise group contrasts </w:t>
      </w:r>
      <w:r w:rsidR="00A030FA" w:rsidRPr="00114E16">
        <w:rPr>
          <w:rFonts w:ascii="Times New Roman" w:hAnsi="Times New Roman" w:cs="Times New Roman"/>
          <w:color w:val="000000" w:themeColor="text1"/>
        </w:rPr>
        <w:t>following</w:t>
      </w:r>
      <w:r w:rsidRPr="00114E16">
        <w:rPr>
          <w:rFonts w:ascii="Times New Roman" w:hAnsi="Times New Roman" w:cs="Times New Roman"/>
          <w:color w:val="000000" w:themeColor="text1"/>
        </w:rPr>
        <w:t xml:space="preserve"> nonsignificant omnibus test</w:t>
      </w:r>
      <w:r w:rsidR="00A030FA" w:rsidRPr="00114E16">
        <w:rPr>
          <w:rFonts w:ascii="Times New Roman" w:hAnsi="Times New Roman" w:cs="Times New Roman"/>
          <w:color w:val="000000" w:themeColor="text1"/>
        </w:rPr>
        <w:t>s, see Tian et al.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49"/>
    <w:rsid w:val="000660A6"/>
    <w:rsid w:val="000778FF"/>
    <w:rsid w:val="00085B1F"/>
    <w:rsid w:val="000D5E1D"/>
    <w:rsid w:val="00114E16"/>
    <w:rsid w:val="00121EA1"/>
    <w:rsid w:val="00123FA9"/>
    <w:rsid w:val="00144849"/>
    <w:rsid w:val="00203A28"/>
    <w:rsid w:val="002600A6"/>
    <w:rsid w:val="0026593E"/>
    <w:rsid w:val="002D53FF"/>
    <w:rsid w:val="004339BF"/>
    <w:rsid w:val="00441525"/>
    <w:rsid w:val="0045425B"/>
    <w:rsid w:val="0047436C"/>
    <w:rsid w:val="004956B1"/>
    <w:rsid w:val="004F77E8"/>
    <w:rsid w:val="00500A1F"/>
    <w:rsid w:val="005323C4"/>
    <w:rsid w:val="00582181"/>
    <w:rsid w:val="005A4FC3"/>
    <w:rsid w:val="005F4639"/>
    <w:rsid w:val="00656CD6"/>
    <w:rsid w:val="00680FD5"/>
    <w:rsid w:val="007B1C9C"/>
    <w:rsid w:val="008B09B8"/>
    <w:rsid w:val="00901242"/>
    <w:rsid w:val="009A3427"/>
    <w:rsid w:val="00A030FA"/>
    <w:rsid w:val="00A57C95"/>
    <w:rsid w:val="00BB3B0A"/>
    <w:rsid w:val="00BB5EB1"/>
    <w:rsid w:val="00BB79E2"/>
    <w:rsid w:val="00C25C14"/>
    <w:rsid w:val="00C3172D"/>
    <w:rsid w:val="00C572F9"/>
    <w:rsid w:val="00C61877"/>
    <w:rsid w:val="00C63A10"/>
    <w:rsid w:val="00CC51D2"/>
    <w:rsid w:val="00CD1090"/>
    <w:rsid w:val="00D27C41"/>
    <w:rsid w:val="00D41025"/>
    <w:rsid w:val="00D44885"/>
    <w:rsid w:val="00D6328C"/>
    <w:rsid w:val="00DD0D65"/>
    <w:rsid w:val="00E02206"/>
    <w:rsid w:val="00E070AB"/>
    <w:rsid w:val="00E1677B"/>
    <w:rsid w:val="00E52953"/>
    <w:rsid w:val="00F35B68"/>
    <w:rsid w:val="00F914BC"/>
    <w:rsid w:val="00FF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8594"/>
  <w15:docId w15:val="{78EA1C3D-03BF-4AB3-ABDF-B97CC193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84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44849"/>
    <w:rPr>
      <w:rFonts w:eastAsiaTheme="minorEastAsia"/>
    </w:rPr>
  </w:style>
  <w:style w:type="character" w:customStyle="1" w:styleId="FootnoteTextChar">
    <w:name w:val="Footnote Text Char"/>
    <w:basedOn w:val="DefaultParagraphFont"/>
    <w:link w:val="FootnoteText"/>
    <w:uiPriority w:val="99"/>
    <w:rsid w:val="00144849"/>
    <w:rPr>
      <w:rFonts w:eastAsiaTheme="minorEastAsia"/>
      <w:sz w:val="24"/>
      <w:szCs w:val="24"/>
    </w:rPr>
  </w:style>
  <w:style w:type="character" w:styleId="FootnoteReference">
    <w:name w:val="footnote reference"/>
    <w:basedOn w:val="DefaultParagraphFont"/>
    <w:uiPriority w:val="99"/>
    <w:rsid w:val="00144849"/>
    <w:rPr>
      <w:vertAlign w:val="superscript"/>
    </w:rPr>
  </w:style>
  <w:style w:type="paragraph" w:customStyle="1" w:styleId="Default">
    <w:name w:val="Default"/>
    <w:rsid w:val="0014484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4484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D6ADB-D279-45A4-9811-7854EAB6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Pennsylvania State University</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Bendezu, Jason Jose</dc:creator>
  <cp:keywords/>
  <dc:description/>
  <cp:lastModifiedBy>Bendezu, Jason Jose</cp:lastModifiedBy>
  <cp:revision>2</cp:revision>
  <dcterms:created xsi:type="dcterms:W3CDTF">2024-06-01T00:32:00Z</dcterms:created>
  <dcterms:modified xsi:type="dcterms:W3CDTF">2024-06-01T00:32:00Z</dcterms:modified>
</cp:coreProperties>
</file>