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904C" w14:textId="5F80A2F2" w:rsidR="00134A5D" w:rsidRDefault="00134A5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Materials</w:t>
      </w:r>
    </w:p>
    <w:p w14:paraId="181B3F0B" w14:textId="4F2CDDFA" w:rsidR="0086422D" w:rsidRDefault="00000000" w:rsidP="00ED14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parsing Reactive and Proactive Aggression</w:t>
      </w:r>
    </w:p>
    <w:p w14:paraId="684E5220" w14:textId="77777777" w:rsidR="0086422D" w:rsidRPr="00ED141C" w:rsidRDefault="00000000">
      <w:pPr>
        <w:spacing w:line="480" w:lineRule="auto"/>
        <w:rPr>
          <w:rFonts w:ascii="Times New Roman" w:eastAsia="Times New Roman" w:hAnsi="Times New Roman" w:cs="Times New Roman"/>
          <w:b/>
          <w:i/>
          <w:iCs/>
          <w:sz w:val="24"/>
          <w:szCs w:val="24"/>
        </w:rPr>
      </w:pPr>
      <w:r w:rsidRPr="00ED141C">
        <w:rPr>
          <w:rFonts w:ascii="Times New Roman" w:eastAsia="Times New Roman" w:hAnsi="Times New Roman" w:cs="Times New Roman"/>
          <w:b/>
          <w:i/>
          <w:iCs/>
          <w:sz w:val="24"/>
          <w:szCs w:val="24"/>
        </w:rPr>
        <w:t>Subsequent Behavior</w:t>
      </w:r>
    </w:p>
    <w:p w14:paraId="1FB17A42" w14:textId="77777777" w:rsidR="0086422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profiles of children’s MSC to subsequent (T2) teacher-reported behavior, while controlling for age, the </w:t>
      </w:r>
      <w:r>
        <w:rPr>
          <w:rFonts w:ascii="Times New Roman" w:eastAsia="Times New Roman" w:hAnsi="Times New Roman" w:cs="Times New Roman"/>
          <w:i/>
          <w:sz w:val="24"/>
          <w:szCs w:val="24"/>
        </w:rPr>
        <w:t xml:space="preserve">comforting </w:t>
      </w:r>
      <w:proofErr w:type="spellStart"/>
      <w:r>
        <w:rPr>
          <w:rFonts w:ascii="Times New Roman" w:eastAsia="Times New Roman" w:hAnsi="Times New Roman" w:cs="Times New Roman"/>
          <w:i/>
          <w:sz w:val="24"/>
          <w:szCs w:val="24"/>
        </w:rPr>
        <w:t>prosocials</w:t>
      </w:r>
      <w:proofErr w:type="spellEnd"/>
      <w:r>
        <w:rPr>
          <w:rFonts w:ascii="Times New Roman" w:eastAsia="Times New Roman" w:hAnsi="Times New Roman" w:cs="Times New Roman"/>
          <w:sz w:val="24"/>
          <w:szCs w:val="24"/>
        </w:rPr>
        <w:t xml:space="preserve"> group displayed significantly more reactive aggression, compared to </w:t>
      </w:r>
      <w:r>
        <w:rPr>
          <w:rFonts w:ascii="Times New Roman" w:eastAsia="Times New Roman" w:hAnsi="Times New Roman" w:cs="Times New Roman"/>
          <w:i/>
          <w:sz w:val="24"/>
          <w:szCs w:val="24"/>
        </w:rPr>
        <w:t>helpful aggressors</w:t>
      </w:r>
      <w:r>
        <w:rPr>
          <w:rFonts w:ascii="Times New Roman" w:eastAsia="Times New Roman" w:hAnsi="Times New Roman" w:cs="Times New Roman"/>
          <w:sz w:val="24"/>
          <w:szCs w:val="24"/>
        </w:rPr>
        <w:t>, which explained a small to medium amount of the variance in reactive aggressive scores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.034,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.044; see publication for table with descriptive statistics). When not accounting for the effect of age differences, the size of the effect of MSC profiles on reactive aggression was attenuated yet still marginally significant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.027,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.084). </w:t>
      </w:r>
    </w:p>
    <w:p w14:paraId="76ABE747" w14:textId="77777777" w:rsidR="0086422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profiles of children’s MSC to subsequent (T2) proactive aggression, while controlling for age, children in the </w:t>
      </w:r>
      <w:r>
        <w:rPr>
          <w:rFonts w:ascii="Times New Roman" w:eastAsia="Times New Roman" w:hAnsi="Times New Roman" w:cs="Times New Roman"/>
          <w:i/>
          <w:sz w:val="24"/>
          <w:szCs w:val="24"/>
        </w:rPr>
        <w:t>comforting prosocial</w:t>
      </w:r>
      <w:r>
        <w:rPr>
          <w:rFonts w:ascii="Times New Roman" w:eastAsia="Times New Roman" w:hAnsi="Times New Roman" w:cs="Times New Roman"/>
          <w:sz w:val="24"/>
          <w:szCs w:val="24"/>
        </w:rPr>
        <w:t xml:space="preserve"> group were rated by teachers as being moderately more proactively aggressive than children in the </w:t>
      </w:r>
      <w:r>
        <w:rPr>
          <w:rFonts w:ascii="Times New Roman" w:eastAsia="Times New Roman" w:hAnsi="Times New Roman" w:cs="Times New Roman"/>
          <w:i/>
          <w:sz w:val="24"/>
          <w:szCs w:val="24"/>
        </w:rPr>
        <w:t xml:space="preserve">helpful </w:t>
      </w:r>
      <w:proofErr w:type="gramStart"/>
      <w:r>
        <w:rPr>
          <w:rFonts w:ascii="Times New Roman" w:eastAsia="Times New Roman" w:hAnsi="Times New Roman" w:cs="Times New Roman"/>
          <w:i/>
          <w:sz w:val="24"/>
          <w:szCs w:val="24"/>
        </w:rPr>
        <w:t>aggressors</w:t>
      </w:r>
      <w:proofErr w:type="gramEnd"/>
      <w:r>
        <w:rPr>
          <w:rFonts w:ascii="Times New Roman" w:eastAsia="Times New Roman" w:hAnsi="Times New Roman" w:cs="Times New Roman"/>
          <w:sz w:val="24"/>
          <w:szCs w:val="24"/>
        </w:rPr>
        <w:t xml:space="preserve"> group, which explained a small to medium amount of variance in proactive aggression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.031,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.073). Without controlling for age, the effect on proactive aggression attenuated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.018). </w:t>
      </w:r>
    </w:p>
    <w:p w14:paraId="3BD47C90" w14:textId="77777777" w:rsidR="0086422D" w:rsidRPr="00ED141C" w:rsidRDefault="00000000">
      <w:pPr>
        <w:spacing w:line="480" w:lineRule="auto"/>
        <w:rPr>
          <w:rFonts w:ascii="Times New Roman" w:eastAsia="Times New Roman" w:hAnsi="Times New Roman" w:cs="Times New Roman"/>
          <w:b/>
          <w:i/>
          <w:iCs/>
          <w:sz w:val="24"/>
          <w:szCs w:val="24"/>
        </w:rPr>
      </w:pPr>
      <w:r w:rsidRPr="00ED141C">
        <w:rPr>
          <w:rFonts w:ascii="Times New Roman" w:eastAsia="Times New Roman" w:hAnsi="Times New Roman" w:cs="Times New Roman"/>
          <w:b/>
          <w:i/>
          <w:iCs/>
          <w:sz w:val="24"/>
          <w:szCs w:val="24"/>
        </w:rPr>
        <w:t>Change in Behavior over time</w:t>
      </w:r>
    </w:p>
    <w:p w14:paraId="61BB7E32" w14:textId="6EBF2603" w:rsidR="0086422D" w:rsidRDefault="000000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comparing the change in reactive aggression, results indicate that the two groups differed: although the two groups showed equivalent reactive aggressive at T1, the </w:t>
      </w:r>
      <w:r>
        <w:rPr>
          <w:rFonts w:ascii="Times New Roman" w:eastAsia="Times New Roman" w:hAnsi="Times New Roman" w:cs="Times New Roman"/>
          <w:i/>
          <w:sz w:val="24"/>
          <w:szCs w:val="24"/>
        </w:rPr>
        <w:t xml:space="preserve">comforting </w:t>
      </w:r>
      <w:proofErr w:type="spellStart"/>
      <w:r>
        <w:rPr>
          <w:rFonts w:ascii="Times New Roman" w:eastAsia="Times New Roman" w:hAnsi="Times New Roman" w:cs="Times New Roman"/>
          <w:i/>
          <w:sz w:val="24"/>
          <w:szCs w:val="24"/>
        </w:rPr>
        <w:t>prosocials</w:t>
      </w:r>
      <w:proofErr w:type="spellEnd"/>
      <w:r>
        <w:rPr>
          <w:rFonts w:ascii="Times New Roman" w:eastAsia="Times New Roman" w:hAnsi="Times New Roman" w:cs="Times New Roman"/>
          <w:sz w:val="24"/>
          <w:szCs w:val="24"/>
        </w:rPr>
        <w:t xml:space="preserve"> increased in reactive aggression, whereas the </w:t>
      </w:r>
      <w:r>
        <w:rPr>
          <w:rFonts w:ascii="Times New Roman" w:eastAsia="Times New Roman" w:hAnsi="Times New Roman" w:cs="Times New Roman"/>
          <w:i/>
          <w:sz w:val="24"/>
          <w:szCs w:val="24"/>
        </w:rPr>
        <w:t>helpful aggressors</w:t>
      </w:r>
      <w:r>
        <w:rPr>
          <w:rFonts w:ascii="Times New Roman" w:eastAsia="Times New Roman" w:hAnsi="Times New Roman" w:cs="Times New Roman"/>
          <w:sz w:val="24"/>
          <w:szCs w:val="24"/>
        </w:rPr>
        <w:t xml:space="preserve"> decreased, by T2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.029,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.081; see Table 1), explaining a small to medium amount of variance. The two groups differed in their proactive aggression as well: although at T1 the </w:t>
      </w:r>
      <w:r>
        <w:rPr>
          <w:rFonts w:ascii="Times New Roman" w:eastAsia="Times New Roman" w:hAnsi="Times New Roman" w:cs="Times New Roman"/>
          <w:i/>
          <w:sz w:val="24"/>
          <w:szCs w:val="24"/>
        </w:rPr>
        <w:t xml:space="preserve">helpful aggressors </w:t>
      </w:r>
      <w:r>
        <w:rPr>
          <w:rFonts w:ascii="Times New Roman" w:eastAsia="Times New Roman" w:hAnsi="Times New Roman" w:cs="Times New Roman"/>
          <w:sz w:val="24"/>
          <w:szCs w:val="24"/>
        </w:rPr>
        <w:t xml:space="preserve">were more aggressive, by T2 the </w:t>
      </w:r>
      <w:r>
        <w:rPr>
          <w:rFonts w:ascii="Times New Roman" w:eastAsia="Times New Roman" w:hAnsi="Times New Roman" w:cs="Times New Roman"/>
          <w:i/>
          <w:sz w:val="24"/>
          <w:szCs w:val="24"/>
        </w:rPr>
        <w:t xml:space="preserve">comforting </w:t>
      </w:r>
      <w:proofErr w:type="spellStart"/>
      <w:r>
        <w:rPr>
          <w:rFonts w:ascii="Times New Roman" w:eastAsia="Times New Roman" w:hAnsi="Times New Roman" w:cs="Times New Roman"/>
          <w:i/>
          <w:sz w:val="24"/>
          <w:szCs w:val="24"/>
        </w:rPr>
        <w:t>prosocials</w:t>
      </w:r>
      <w:proofErr w:type="spellEnd"/>
      <w:r>
        <w:rPr>
          <w:rFonts w:ascii="Times New Roman" w:eastAsia="Times New Roman" w:hAnsi="Times New Roman" w:cs="Times New Roman"/>
          <w:sz w:val="24"/>
          <w:szCs w:val="24"/>
        </w:rPr>
        <w:t xml:space="preserve"> were more aggressive,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rPr>
        <w:t xml:space="preserve"> = .072,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.005 (see Table </w:t>
      </w:r>
      <w:r w:rsidR="00134A5D">
        <w:rPr>
          <w:rFonts w:ascii="Times New Roman" w:eastAsia="Times New Roman" w:hAnsi="Times New Roman" w:cs="Times New Roman"/>
          <w:sz w:val="24"/>
          <w:szCs w:val="24"/>
        </w:rPr>
        <w:t>below</w:t>
      </w:r>
      <w:r>
        <w:rPr>
          <w:rFonts w:ascii="Times New Roman" w:eastAsia="Times New Roman" w:hAnsi="Times New Roman" w:cs="Times New Roman"/>
          <w:sz w:val="24"/>
          <w:szCs w:val="24"/>
        </w:rPr>
        <w:t xml:space="preserve">), explaining a medium to large amount of variance. </w:t>
      </w:r>
    </w:p>
    <w:p w14:paraId="24299698" w14:textId="77777777" w:rsidR="0086422D" w:rsidRDefault="0086422D"/>
    <w:p w14:paraId="3ED90756" w14:textId="77777777" w:rsidR="0086422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Descriptive Statistics of Clusters Based on Teacher-Reported Behavior</w:t>
      </w:r>
    </w:p>
    <w:p w14:paraId="26FB35F3" w14:textId="77777777" w:rsidR="0086422D" w:rsidRDefault="0086422D">
      <w:pPr>
        <w:spacing w:line="240" w:lineRule="auto"/>
        <w:rPr>
          <w:rFonts w:ascii="Times New Roman" w:eastAsia="Times New Roman" w:hAnsi="Times New Roman" w:cs="Times New Roman"/>
          <w:i/>
          <w:sz w:val="24"/>
          <w:szCs w:val="24"/>
        </w:rPr>
      </w:pPr>
    </w:p>
    <w:tbl>
      <w:tblPr>
        <w:tblStyle w:val="a"/>
        <w:tblW w:w="9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027"/>
        <w:gridCol w:w="1488"/>
        <w:gridCol w:w="1490"/>
        <w:gridCol w:w="1488"/>
        <w:gridCol w:w="1490"/>
      </w:tblGrid>
      <w:tr w:rsidR="0086422D" w14:paraId="5F87DD16" w14:textId="77777777" w:rsidTr="00ED141C">
        <w:trPr>
          <w:cantSplit/>
          <w:trHeight w:val="285"/>
        </w:trPr>
        <w:tc>
          <w:tcPr>
            <w:tcW w:w="2054" w:type="dxa"/>
            <w:vMerge w:val="restart"/>
            <w:tcBorders>
              <w:left w:val="single" w:sz="8" w:space="0" w:color="FFFFFF"/>
              <w:right w:val="nil"/>
            </w:tcBorders>
            <w:shd w:val="clear" w:color="auto" w:fill="auto"/>
            <w:tcMar>
              <w:top w:w="0" w:type="dxa"/>
              <w:left w:w="0" w:type="dxa"/>
              <w:bottom w:w="0" w:type="dxa"/>
              <w:right w:w="0" w:type="dxa"/>
            </w:tcMar>
            <w:vAlign w:val="center"/>
          </w:tcPr>
          <w:p w14:paraId="0E517E9A" w14:textId="77777777" w:rsidR="0086422D" w:rsidRDefault="0086422D">
            <w:pPr>
              <w:widowControl w:val="0"/>
              <w:spacing w:line="240" w:lineRule="auto"/>
              <w:jc w:val="center"/>
              <w:rPr>
                <w:rFonts w:ascii="Times New Roman" w:eastAsia="Times New Roman" w:hAnsi="Times New Roman" w:cs="Times New Roman"/>
                <w:i/>
                <w:sz w:val="24"/>
                <w:szCs w:val="24"/>
              </w:rPr>
            </w:pPr>
          </w:p>
        </w:tc>
        <w:tc>
          <w:tcPr>
            <w:tcW w:w="1027" w:type="dxa"/>
            <w:vMerge w:val="restart"/>
            <w:tcBorders>
              <w:left w:val="single" w:sz="8" w:space="0" w:color="FFFFFF"/>
              <w:right w:val="nil"/>
            </w:tcBorders>
            <w:shd w:val="clear" w:color="auto" w:fill="auto"/>
            <w:tcMar>
              <w:top w:w="0" w:type="dxa"/>
              <w:left w:w="0" w:type="dxa"/>
              <w:bottom w:w="0" w:type="dxa"/>
              <w:right w:w="0" w:type="dxa"/>
            </w:tcMar>
            <w:vAlign w:val="center"/>
          </w:tcPr>
          <w:p w14:paraId="67728CD2" w14:textId="77777777" w:rsidR="0086422D" w:rsidRDefault="0086422D">
            <w:pPr>
              <w:widowControl w:val="0"/>
              <w:spacing w:line="240" w:lineRule="auto"/>
              <w:jc w:val="center"/>
              <w:rPr>
                <w:rFonts w:ascii="Times New Roman" w:eastAsia="Times New Roman" w:hAnsi="Times New Roman" w:cs="Times New Roman"/>
                <w:i/>
                <w:sz w:val="24"/>
                <w:szCs w:val="24"/>
              </w:rPr>
            </w:pPr>
          </w:p>
        </w:tc>
        <w:tc>
          <w:tcPr>
            <w:tcW w:w="2978" w:type="dxa"/>
            <w:gridSpan w:val="2"/>
            <w:tcBorders>
              <w:left w:val="nil"/>
              <w:right w:val="nil"/>
            </w:tcBorders>
            <w:tcMar>
              <w:top w:w="0" w:type="dxa"/>
              <w:left w:w="0" w:type="dxa"/>
              <w:bottom w:w="0" w:type="dxa"/>
              <w:right w:w="0" w:type="dxa"/>
            </w:tcMar>
            <w:vAlign w:val="center"/>
          </w:tcPr>
          <w:p w14:paraId="30913AF1"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Comforting </w:t>
            </w:r>
            <w:proofErr w:type="spellStart"/>
            <w:r>
              <w:rPr>
                <w:rFonts w:ascii="Times New Roman" w:eastAsia="Times New Roman" w:hAnsi="Times New Roman" w:cs="Times New Roman"/>
                <w:sz w:val="24"/>
                <w:szCs w:val="24"/>
              </w:rPr>
              <w:t>Prosocials</w:t>
            </w:r>
            <w:proofErr w:type="spellEnd"/>
          </w:p>
        </w:tc>
        <w:tc>
          <w:tcPr>
            <w:tcW w:w="2978" w:type="dxa"/>
            <w:gridSpan w:val="2"/>
            <w:tcBorders>
              <w:left w:val="single" w:sz="8" w:space="0" w:color="FFFFFF"/>
            </w:tcBorders>
            <w:shd w:val="clear" w:color="auto" w:fill="auto"/>
            <w:tcMar>
              <w:top w:w="0" w:type="dxa"/>
              <w:left w:w="0" w:type="dxa"/>
              <w:bottom w:w="0" w:type="dxa"/>
              <w:right w:w="0" w:type="dxa"/>
            </w:tcMar>
            <w:vAlign w:val="center"/>
          </w:tcPr>
          <w:p w14:paraId="4E8F038B" w14:textId="77777777" w:rsidR="0086422D" w:rsidRDefault="00000000">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Helpful Aggressors</w:t>
            </w:r>
          </w:p>
        </w:tc>
      </w:tr>
      <w:tr w:rsidR="0086422D" w14:paraId="06A3B6D3" w14:textId="77777777" w:rsidTr="00ED141C">
        <w:trPr>
          <w:cantSplit/>
          <w:trHeight w:val="144"/>
        </w:trPr>
        <w:tc>
          <w:tcPr>
            <w:tcW w:w="2054" w:type="dxa"/>
            <w:vMerge/>
            <w:tcBorders>
              <w:left w:val="single" w:sz="8" w:space="0" w:color="FFFFFF"/>
              <w:right w:val="nil"/>
            </w:tcBorders>
            <w:shd w:val="clear" w:color="auto" w:fill="auto"/>
            <w:tcMar>
              <w:top w:w="0" w:type="dxa"/>
              <w:left w:w="0" w:type="dxa"/>
              <w:bottom w:w="0" w:type="dxa"/>
              <w:right w:w="0" w:type="dxa"/>
            </w:tcMar>
            <w:vAlign w:val="center"/>
          </w:tcPr>
          <w:p w14:paraId="7A397CEA" w14:textId="77777777" w:rsidR="0086422D" w:rsidRDefault="0086422D">
            <w:pPr>
              <w:widowControl w:val="0"/>
              <w:spacing w:line="240" w:lineRule="auto"/>
              <w:jc w:val="center"/>
              <w:rPr>
                <w:rFonts w:ascii="Times New Roman" w:eastAsia="Times New Roman" w:hAnsi="Times New Roman" w:cs="Times New Roman"/>
                <w:i/>
                <w:sz w:val="24"/>
                <w:szCs w:val="24"/>
              </w:rPr>
            </w:pPr>
          </w:p>
        </w:tc>
        <w:tc>
          <w:tcPr>
            <w:tcW w:w="1027" w:type="dxa"/>
            <w:vMerge/>
            <w:tcBorders>
              <w:left w:val="single" w:sz="8" w:space="0" w:color="FFFFFF"/>
              <w:right w:val="nil"/>
            </w:tcBorders>
            <w:shd w:val="clear" w:color="auto" w:fill="auto"/>
            <w:tcMar>
              <w:top w:w="0" w:type="dxa"/>
              <w:left w:w="0" w:type="dxa"/>
              <w:bottom w:w="0" w:type="dxa"/>
              <w:right w:w="0" w:type="dxa"/>
            </w:tcMar>
            <w:vAlign w:val="center"/>
          </w:tcPr>
          <w:p w14:paraId="0A7A1ABE" w14:textId="77777777" w:rsidR="0086422D" w:rsidRDefault="0086422D">
            <w:pPr>
              <w:widowControl w:val="0"/>
              <w:spacing w:line="240" w:lineRule="auto"/>
              <w:jc w:val="center"/>
              <w:rPr>
                <w:rFonts w:ascii="Times New Roman" w:eastAsia="Times New Roman" w:hAnsi="Times New Roman" w:cs="Times New Roman"/>
                <w:i/>
                <w:sz w:val="24"/>
                <w:szCs w:val="24"/>
              </w:rPr>
            </w:pPr>
          </w:p>
        </w:tc>
        <w:tc>
          <w:tcPr>
            <w:tcW w:w="1488" w:type="dxa"/>
            <w:tcBorders>
              <w:left w:val="nil"/>
              <w:right w:val="nil"/>
            </w:tcBorders>
            <w:tcMar>
              <w:top w:w="0" w:type="dxa"/>
              <w:left w:w="0" w:type="dxa"/>
              <w:bottom w:w="0" w:type="dxa"/>
              <w:right w:w="0" w:type="dxa"/>
            </w:tcMar>
            <w:vAlign w:val="center"/>
          </w:tcPr>
          <w:p w14:paraId="096096B6" w14:textId="77777777" w:rsidR="0086422D" w:rsidRDefault="00000000">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p>
        </w:tc>
        <w:tc>
          <w:tcPr>
            <w:tcW w:w="1489" w:type="dxa"/>
            <w:tcBorders>
              <w:left w:val="nil"/>
              <w:right w:val="single" w:sz="8" w:space="0" w:color="FFFFFF"/>
            </w:tcBorders>
            <w:shd w:val="clear" w:color="auto" w:fill="auto"/>
            <w:tcMar>
              <w:top w:w="0" w:type="dxa"/>
              <w:left w:w="0" w:type="dxa"/>
              <w:bottom w:w="0" w:type="dxa"/>
              <w:right w:w="0" w:type="dxa"/>
            </w:tcMar>
            <w:vAlign w:val="center"/>
          </w:tcPr>
          <w:p w14:paraId="5982739F"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SD</w:t>
            </w:r>
          </w:p>
        </w:tc>
        <w:tc>
          <w:tcPr>
            <w:tcW w:w="1488" w:type="dxa"/>
            <w:tcBorders>
              <w:left w:val="nil"/>
              <w:right w:val="nil"/>
            </w:tcBorders>
            <w:tcMar>
              <w:top w:w="0" w:type="dxa"/>
              <w:left w:w="0" w:type="dxa"/>
              <w:bottom w:w="0" w:type="dxa"/>
              <w:right w:w="0" w:type="dxa"/>
            </w:tcMar>
            <w:vAlign w:val="center"/>
          </w:tcPr>
          <w:p w14:paraId="7C9A7ABE"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M</w:t>
            </w:r>
          </w:p>
        </w:tc>
        <w:tc>
          <w:tcPr>
            <w:tcW w:w="1489" w:type="dxa"/>
            <w:tcBorders>
              <w:left w:val="nil"/>
              <w:right w:val="single" w:sz="8" w:space="0" w:color="FFFFFF"/>
            </w:tcBorders>
            <w:shd w:val="clear" w:color="auto" w:fill="auto"/>
            <w:tcMar>
              <w:top w:w="0" w:type="dxa"/>
              <w:left w:w="0" w:type="dxa"/>
              <w:bottom w:w="0" w:type="dxa"/>
              <w:right w:w="0" w:type="dxa"/>
            </w:tcMar>
            <w:vAlign w:val="center"/>
          </w:tcPr>
          <w:p w14:paraId="4D63BF03" w14:textId="77777777" w:rsidR="0086422D"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SD</w:t>
            </w:r>
          </w:p>
        </w:tc>
      </w:tr>
      <w:tr w:rsidR="0086422D" w14:paraId="774A32DA" w14:textId="77777777" w:rsidTr="00ED141C">
        <w:trPr>
          <w:cantSplit/>
          <w:trHeight w:val="285"/>
        </w:trPr>
        <w:tc>
          <w:tcPr>
            <w:tcW w:w="2054" w:type="dxa"/>
            <w:vMerge w:val="restart"/>
            <w:tcBorders>
              <w:left w:val="single" w:sz="8" w:space="0" w:color="FFFFFF"/>
              <w:right w:val="single" w:sz="8" w:space="0" w:color="FFFFFF"/>
            </w:tcBorders>
            <w:shd w:val="clear" w:color="auto" w:fill="auto"/>
            <w:tcMar>
              <w:top w:w="0" w:type="dxa"/>
              <w:left w:w="0" w:type="dxa"/>
              <w:bottom w:w="0" w:type="dxa"/>
              <w:right w:w="0" w:type="dxa"/>
            </w:tcMar>
            <w:vAlign w:val="center"/>
          </w:tcPr>
          <w:p w14:paraId="51A9833C" w14:textId="77777777" w:rsidR="0086422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Reactive Aggression</w:t>
            </w:r>
          </w:p>
        </w:tc>
        <w:tc>
          <w:tcPr>
            <w:tcW w:w="1027" w:type="dxa"/>
            <w:tcBorders>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6F1C72AE"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T1</w:t>
            </w:r>
          </w:p>
        </w:tc>
        <w:tc>
          <w:tcPr>
            <w:tcW w:w="1488" w:type="dxa"/>
            <w:tcBorders>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1686DE8"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489"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E4D17F4"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c>
          <w:tcPr>
            <w:tcW w:w="1488"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9CA7BC"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489"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1ADBA4B3"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r w:rsidR="0086422D" w14:paraId="07EC1B7A" w14:textId="77777777" w:rsidTr="00ED141C">
        <w:trPr>
          <w:cantSplit/>
          <w:trHeight w:val="144"/>
        </w:trPr>
        <w:tc>
          <w:tcPr>
            <w:tcW w:w="2054" w:type="dxa"/>
            <w:vMerge/>
            <w:tcBorders>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748DCE80" w14:textId="77777777" w:rsidR="0086422D" w:rsidRDefault="0086422D">
            <w:pPr>
              <w:spacing w:line="240" w:lineRule="auto"/>
              <w:jc w:val="center"/>
              <w:rPr>
                <w:rFonts w:ascii="Times New Roman" w:eastAsia="Times New Roman" w:hAnsi="Times New Roman" w:cs="Times New Roman"/>
                <w:sz w:val="24"/>
                <w:szCs w:val="24"/>
              </w:rPr>
            </w:pPr>
          </w:p>
        </w:tc>
        <w:tc>
          <w:tcPr>
            <w:tcW w:w="1027"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7F3807B2"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T2</w:t>
            </w:r>
          </w:p>
        </w:tc>
        <w:tc>
          <w:tcPr>
            <w:tcW w:w="1488"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238C39F7"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48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55988DC6"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1488"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5883C4FD"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48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5228F281"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r>
      <w:tr w:rsidR="0086422D" w14:paraId="6331BE53" w14:textId="77777777" w:rsidTr="00ED141C">
        <w:trPr>
          <w:cantSplit/>
          <w:trHeight w:val="268"/>
        </w:trPr>
        <w:tc>
          <w:tcPr>
            <w:tcW w:w="2054" w:type="dxa"/>
            <w:vMerge w:val="restart"/>
            <w:tcBorders>
              <w:top w:val="nil"/>
              <w:left w:val="single" w:sz="8" w:space="0" w:color="FFFFFF"/>
              <w:right w:val="single" w:sz="8" w:space="0" w:color="FFFFFF"/>
            </w:tcBorders>
            <w:shd w:val="clear" w:color="auto" w:fill="auto"/>
            <w:tcMar>
              <w:top w:w="0" w:type="dxa"/>
              <w:left w:w="0" w:type="dxa"/>
              <w:bottom w:w="0" w:type="dxa"/>
              <w:right w:w="0" w:type="dxa"/>
            </w:tcMar>
            <w:vAlign w:val="center"/>
          </w:tcPr>
          <w:p w14:paraId="07E6DE48" w14:textId="77777777" w:rsidR="0086422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Proactive Aggression</w:t>
            </w:r>
          </w:p>
        </w:tc>
        <w:tc>
          <w:tcPr>
            <w:tcW w:w="1027"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EA2428"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T1</w:t>
            </w:r>
          </w:p>
        </w:tc>
        <w:tc>
          <w:tcPr>
            <w:tcW w:w="1488"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779EE9E"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489"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5BC4064D"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1488"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0A32AF30"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489"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5577778A"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r>
      <w:tr w:rsidR="0086422D" w14:paraId="07E421AE" w14:textId="77777777" w:rsidTr="00ED141C">
        <w:trPr>
          <w:cantSplit/>
          <w:trHeight w:val="144"/>
        </w:trPr>
        <w:tc>
          <w:tcPr>
            <w:tcW w:w="2054" w:type="dxa"/>
            <w:vMerge/>
            <w:tcBorders>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065F6427" w14:textId="77777777" w:rsidR="0086422D" w:rsidRDefault="0086422D">
            <w:pPr>
              <w:spacing w:line="240" w:lineRule="auto"/>
              <w:jc w:val="center"/>
              <w:rPr>
                <w:rFonts w:ascii="Times New Roman" w:eastAsia="Times New Roman" w:hAnsi="Times New Roman" w:cs="Times New Roman"/>
                <w:sz w:val="24"/>
                <w:szCs w:val="24"/>
              </w:rPr>
            </w:pPr>
          </w:p>
        </w:tc>
        <w:tc>
          <w:tcPr>
            <w:tcW w:w="1027"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1491D229"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T2</w:t>
            </w:r>
          </w:p>
        </w:tc>
        <w:tc>
          <w:tcPr>
            <w:tcW w:w="1488"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93825E5"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1489"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A12821B"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488"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73161D52"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1489"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26FD8FD"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r>
      <w:tr w:rsidR="0086422D" w14:paraId="04CA42EB" w14:textId="77777777" w:rsidTr="00ED141C">
        <w:trPr>
          <w:cantSplit/>
          <w:trHeight w:val="268"/>
        </w:trPr>
        <w:tc>
          <w:tcPr>
            <w:tcW w:w="2054" w:type="dxa"/>
            <w:vMerge w:val="restart"/>
            <w:tcBorders>
              <w:top w:val="nil"/>
              <w:left w:val="single" w:sz="8" w:space="0" w:color="FFFFFF"/>
              <w:right w:val="single" w:sz="8" w:space="0" w:color="FFFFFF"/>
            </w:tcBorders>
            <w:shd w:val="clear" w:color="auto" w:fill="auto"/>
            <w:tcMar>
              <w:top w:w="0" w:type="dxa"/>
              <w:left w:w="0" w:type="dxa"/>
              <w:bottom w:w="0" w:type="dxa"/>
              <w:right w:w="0" w:type="dxa"/>
            </w:tcMar>
            <w:vAlign w:val="center"/>
          </w:tcPr>
          <w:p w14:paraId="55ECB36D" w14:textId="77777777" w:rsidR="0086422D"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Prosocial</w:t>
            </w:r>
          </w:p>
        </w:tc>
        <w:tc>
          <w:tcPr>
            <w:tcW w:w="1027"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4AC44AC"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T1</w:t>
            </w:r>
          </w:p>
        </w:tc>
        <w:tc>
          <w:tcPr>
            <w:tcW w:w="1488"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0FD35FCA"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1489"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B0E920A"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488"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39055250"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489"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1C33A83F"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r>
      <w:tr w:rsidR="0086422D" w14:paraId="7A712617" w14:textId="77777777" w:rsidTr="00ED141C">
        <w:trPr>
          <w:cantSplit/>
          <w:trHeight w:val="144"/>
        </w:trPr>
        <w:tc>
          <w:tcPr>
            <w:tcW w:w="2054" w:type="dxa"/>
            <w:vMerge/>
            <w:tcBorders>
              <w:left w:val="single" w:sz="8" w:space="0" w:color="FFFFFF"/>
              <w:right w:val="single" w:sz="8" w:space="0" w:color="FFFFFF"/>
            </w:tcBorders>
            <w:shd w:val="clear" w:color="auto" w:fill="auto"/>
            <w:tcMar>
              <w:top w:w="0" w:type="dxa"/>
              <w:left w:w="0" w:type="dxa"/>
              <w:bottom w:w="0" w:type="dxa"/>
              <w:right w:w="0" w:type="dxa"/>
            </w:tcMar>
            <w:vAlign w:val="center"/>
          </w:tcPr>
          <w:p w14:paraId="5E75F687" w14:textId="77777777" w:rsidR="0086422D" w:rsidRDefault="0086422D">
            <w:pPr>
              <w:spacing w:line="240" w:lineRule="auto"/>
              <w:jc w:val="center"/>
              <w:rPr>
                <w:rFonts w:ascii="Times New Roman" w:eastAsia="Times New Roman" w:hAnsi="Times New Roman" w:cs="Times New Roman"/>
                <w:sz w:val="24"/>
                <w:szCs w:val="24"/>
              </w:rPr>
            </w:pPr>
          </w:p>
        </w:tc>
        <w:tc>
          <w:tcPr>
            <w:tcW w:w="1027"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center"/>
          </w:tcPr>
          <w:p w14:paraId="6E7F8BFB"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T2</w:t>
            </w:r>
          </w:p>
        </w:tc>
        <w:tc>
          <w:tcPr>
            <w:tcW w:w="1488" w:type="dxa"/>
            <w:tcBorders>
              <w:top w:val="nil"/>
              <w:left w:val="single" w:sz="8" w:space="0" w:color="FFFFFF"/>
              <w:right w:val="single" w:sz="8" w:space="0" w:color="FFFFFF"/>
            </w:tcBorders>
            <w:shd w:val="clear" w:color="auto" w:fill="auto"/>
            <w:tcMar>
              <w:top w:w="0" w:type="dxa"/>
              <w:left w:w="0" w:type="dxa"/>
              <w:bottom w:w="0" w:type="dxa"/>
              <w:right w:w="0" w:type="dxa"/>
            </w:tcMar>
            <w:vAlign w:val="center"/>
          </w:tcPr>
          <w:p w14:paraId="2E2A0E73"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489" w:type="dxa"/>
            <w:tcBorders>
              <w:top w:val="nil"/>
              <w:left w:val="single" w:sz="8" w:space="0" w:color="FFFFFF"/>
              <w:right w:val="single" w:sz="8" w:space="0" w:color="FFFFFF"/>
            </w:tcBorders>
            <w:shd w:val="clear" w:color="auto" w:fill="auto"/>
            <w:tcMar>
              <w:top w:w="0" w:type="dxa"/>
              <w:left w:w="0" w:type="dxa"/>
              <w:bottom w:w="0" w:type="dxa"/>
              <w:right w:w="0" w:type="dxa"/>
            </w:tcMar>
            <w:vAlign w:val="center"/>
          </w:tcPr>
          <w:p w14:paraId="1E792BC5"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1488" w:type="dxa"/>
            <w:tcBorders>
              <w:top w:val="nil"/>
              <w:left w:val="single" w:sz="8" w:space="0" w:color="FFFFFF"/>
              <w:right w:val="single" w:sz="8" w:space="0" w:color="FFFFFF"/>
            </w:tcBorders>
            <w:shd w:val="clear" w:color="auto" w:fill="auto"/>
            <w:tcMar>
              <w:top w:w="0" w:type="dxa"/>
              <w:left w:w="0" w:type="dxa"/>
              <w:bottom w:w="0" w:type="dxa"/>
              <w:right w:w="0" w:type="dxa"/>
            </w:tcMar>
            <w:vAlign w:val="center"/>
          </w:tcPr>
          <w:p w14:paraId="2990DDD0"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489"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center"/>
          </w:tcPr>
          <w:p w14:paraId="359A45B6" w14:textId="77777777" w:rsidR="0086422D"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bl>
    <w:p w14:paraId="61CF2B6D" w14:textId="77777777" w:rsidR="0086422D" w:rsidRDefault="00000000">
      <w:pPr>
        <w:spacing w:line="240" w:lineRule="auto"/>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T1 = Time 1. T2 = Time 2.</w:t>
      </w:r>
    </w:p>
    <w:sectPr w:rsidR="008642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2D"/>
    <w:rsid w:val="00134A5D"/>
    <w:rsid w:val="004C0FFC"/>
    <w:rsid w:val="0086422D"/>
    <w:rsid w:val="00ED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B0ADB"/>
  <w15:docId w15:val="{FFCD94D0-5D0E-254E-88A4-E7DC9710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Gahtan, Jamie</cp:lastModifiedBy>
  <cp:revision>2</cp:revision>
  <dcterms:created xsi:type="dcterms:W3CDTF">2024-05-15T20:28:00Z</dcterms:created>
  <dcterms:modified xsi:type="dcterms:W3CDTF">2024-05-15T20:28:00Z</dcterms:modified>
</cp:coreProperties>
</file>