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7B4C" w14:textId="77777777" w:rsidR="00232030" w:rsidRPr="00274228" w:rsidRDefault="00BF6420" w:rsidP="00154287">
      <w:pPr>
        <w:spacing w:line="48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74228">
        <w:rPr>
          <w:rFonts w:ascii="Times New Roman" w:hAnsi="Times New Roman" w:cs="Times New Roman"/>
          <w:b/>
          <w:bCs/>
          <w:caps/>
          <w:sz w:val="24"/>
          <w:szCs w:val="24"/>
        </w:rPr>
        <w:t>Supplement</w:t>
      </w:r>
      <w:r w:rsidR="009B5243" w:rsidRPr="00274228">
        <w:rPr>
          <w:rFonts w:ascii="Times New Roman" w:hAnsi="Times New Roman" w:cs="Times New Roman"/>
          <w:b/>
          <w:bCs/>
          <w:caps/>
          <w:sz w:val="24"/>
          <w:szCs w:val="24"/>
        </w:rPr>
        <w:t>al material</w:t>
      </w:r>
    </w:p>
    <w:p w14:paraId="5CBF400B" w14:textId="67629921" w:rsidR="001806C7" w:rsidRPr="00274228" w:rsidRDefault="001806C7" w:rsidP="00622FA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228">
        <w:rPr>
          <w:rFonts w:ascii="Times New Roman" w:hAnsi="Times New Roman" w:cs="Times New Roman"/>
          <w:b/>
          <w:bCs/>
          <w:sz w:val="24"/>
          <w:szCs w:val="24"/>
        </w:rPr>
        <w:t>Time between Initial ADHD Symptomatology Assessment and Outcome Assessment</w:t>
      </w:r>
    </w:p>
    <w:p w14:paraId="5099EC1D" w14:textId="2A8573FB" w:rsidR="00622FAE" w:rsidRPr="00274228" w:rsidRDefault="00622FAE" w:rsidP="001806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4228">
        <w:rPr>
          <w:rFonts w:ascii="Times New Roman" w:hAnsi="Times New Roman" w:cs="Times New Roman"/>
          <w:sz w:val="24"/>
          <w:szCs w:val="24"/>
        </w:rPr>
        <w:t>Table S1 contains means and standard deviations of the time between initial ADHD symptomatology assessment and subsequent outcome assessment, separated by outcome domain and analysis sample.</w:t>
      </w:r>
    </w:p>
    <w:tbl>
      <w:tblPr>
        <w:tblW w:w="9131" w:type="dxa"/>
        <w:tblInd w:w="108" w:type="dxa"/>
        <w:tblLook w:val="04A0" w:firstRow="1" w:lastRow="0" w:firstColumn="1" w:lastColumn="0" w:noHBand="0" w:noVBand="1"/>
      </w:tblPr>
      <w:tblGrid>
        <w:gridCol w:w="2340"/>
        <w:gridCol w:w="90"/>
        <w:gridCol w:w="1756"/>
        <w:gridCol w:w="90"/>
        <w:gridCol w:w="1574"/>
        <w:gridCol w:w="91"/>
        <w:gridCol w:w="1529"/>
        <w:gridCol w:w="93"/>
        <w:gridCol w:w="1475"/>
        <w:gridCol w:w="93"/>
      </w:tblGrid>
      <w:tr w:rsidR="003E46C1" w:rsidRPr="00274228" w14:paraId="1839E8F5" w14:textId="77777777" w:rsidTr="00C30B77">
        <w:trPr>
          <w:trHeight w:val="585"/>
        </w:trPr>
        <w:tc>
          <w:tcPr>
            <w:tcW w:w="9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4E6DF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e-IL"/>
              </w:rPr>
              <w:t>Table S1: Means and standard deviations of the time between initial ADHD symptomatology assessment and subsequent outcome assessment for full and APHV subsample.</w:t>
            </w:r>
          </w:p>
        </w:tc>
      </w:tr>
      <w:tr w:rsidR="003E46C1" w:rsidRPr="00274228" w14:paraId="4CFA3121" w14:textId="77777777" w:rsidTr="00C30B77">
        <w:trPr>
          <w:trHeight w:val="225"/>
        </w:trPr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AC0DF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lang w:bidi="he-IL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5D187" w14:textId="77777777" w:rsidR="003E46C1" w:rsidRPr="00274228" w:rsidRDefault="003E46C1" w:rsidP="003E46C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3E975" w14:textId="77777777" w:rsidR="003E46C1" w:rsidRPr="00274228" w:rsidRDefault="003E46C1" w:rsidP="003E46C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00270" w14:textId="77777777" w:rsidR="003E46C1" w:rsidRPr="00274228" w:rsidRDefault="003E46C1" w:rsidP="003E46C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A451C" w14:textId="77777777" w:rsidR="003E46C1" w:rsidRPr="00274228" w:rsidRDefault="003E46C1" w:rsidP="003E46C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Aptos Narrow" w:eastAsia="Times New Roman" w:hAnsi="Aptos Narrow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3E46C1" w:rsidRPr="00274228" w14:paraId="361DED9F" w14:textId="77777777" w:rsidTr="00C30B77">
        <w:trPr>
          <w:trHeight w:val="538"/>
        </w:trPr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B00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AF0" w14:textId="77777777" w:rsidR="003E46C1" w:rsidRPr="00274228" w:rsidRDefault="003E46C1" w:rsidP="00C30B77">
            <w:pPr>
              <w:spacing w:after="0" w:line="240" w:lineRule="auto"/>
              <w:ind w:left="-111" w:firstLine="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Full Sample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0E28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APHV Subsample</w:t>
            </w:r>
          </w:p>
        </w:tc>
      </w:tr>
      <w:tr w:rsidR="003E46C1" w:rsidRPr="00274228" w14:paraId="3B9D0019" w14:textId="77777777" w:rsidTr="00C30B77">
        <w:trPr>
          <w:gridAfter w:val="1"/>
          <w:wAfter w:w="93" w:type="dxa"/>
          <w:trHeight w:val="87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4AF7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Outcome Domain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3DC32" w14:textId="77777777" w:rsidR="003E46C1" w:rsidRPr="00274228" w:rsidRDefault="003E46C1" w:rsidP="00C30B77">
            <w:pPr>
              <w:spacing w:after="0" w:line="240" w:lineRule="auto"/>
              <w:ind w:right="29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Mean Years btw Baseline &amp; Follow-Up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33B50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SD Years btw Baseline &amp; Follow-Up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73B09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Mean Years btw Baseline &amp; Follow-Up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0B357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SD Years btw Baseline &amp; Follow-Up</w:t>
            </w:r>
          </w:p>
        </w:tc>
      </w:tr>
      <w:tr w:rsidR="003E46C1" w:rsidRPr="00274228" w14:paraId="14497A05" w14:textId="77777777" w:rsidTr="00C30B77">
        <w:trPr>
          <w:gridAfter w:val="1"/>
          <w:wAfter w:w="93" w:type="dxa"/>
          <w:trHeight w:val="486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A3B7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Aggressive Behavior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54C9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6.59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6A6D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2.75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B569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6.88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4081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2.90</w:t>
            </w:r>
          </w:p>
        </w:tc>
      </w:tr>
      <w:tr w:rsidR="003E46C1" w:rsidRPr="00274228" w14:paraId="5DB26F25" w14:textId="77777777" w:rsidTr="00C30B77">
        <w:trPr>
          <w:gridAfter w:val="1"/>
          <w:wAfter w:w="93" w:type="dxa"/>
          <w:trHeight w:val="29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CD88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Anxiety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D1B2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6.60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53BC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245F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6.90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1885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2.91</w:t>
            </w:r>
          </w:p>
        </w:tc>
      </w:tr>
      <w:tr w:rsidR="003E46C1" w:rsidRPr="00274228" w14:paraId="2BC3A917" w14:textId="77777777" w:rsidTr="00C30B77">
        <w:trPr>
          <w:gridAfter w:val="1"/>
          <w:wAfter w:w="93" w:type="dxa"/>
          <w:trHeight w:val="29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D90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Anxious/Depressed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CF19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6.71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DE5B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0E97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7.05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A646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2.93</w:t>
            </w:r>
          </w:p>
        </w:tc>
      </w:tr>
      <w:tr w:rsidR="003E46C1" w:rsidRPr="00274228" w14:paraId="463183DC" w14:textId="77777777" w:rsidTr="00C30B77">
        <w:trPr>
          <w:gridAfter w:val="1"/>
          <w:wAfter w:w="93" w:type="dxa"/>
          <w:trHeight w:val="29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B325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Conduct Problems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5979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6.61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584A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E6DA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6.91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F61C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2.91</w:t>
            </w:r>
          </w:p>
        </w:tc>
      </w:tr>
      <w:tr w:rsidR="003E46C1" w:rsidRPr="00274228" w14:paraId="09E7683C" w14:textId="77777777" w:rsidTr="00C30B77">
        <w:trPr>
          <w:gridAfter w:val="1"/>
          <w:wAfter w:w="93" w:type="dxa"/>
          <w:trHeight w:val="29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7A24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Depression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B482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6.60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BBC3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2.76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0E31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6.91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4C49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2.91</w:t>
            </w:r>
          </w:p>
        </w:tc>
      </w:tr>
      <w:tr w:rsidR="003E46C1" w:rsidRPr="00274228" w14:paraId="29698B18" w14:textId="77777777" w:rsidTr="00C30B77">
        <w:trPr>
          <w:gridAfter w:val="1"/>
          <w:wAfter w:w="93" w:type="dxa"/>
          <w:trHeight w:val="29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85DD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Oppositional Defiant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2E5F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6.74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F077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EC09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7.09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D0D6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2.94</w:t>
            </w:r>
          </w:p>
        </w:tc>
      </w:tr>
      <w:tr w:rsidR="003E46C1" w:rsidRPr="00274228" w14:paraId="75FB67D2" w14:textId="77777777" w:rsidTr="00C30B77">
        <w:trPr>
          <w:gridAfter w:val="1"/>
          <w:wAfter w:w="93" w:type="dxa"/>
          <w:trHeight w:val="29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DA2E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Rule Breaking Behavior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F4FA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6.71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BB43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EC21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7.05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A966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2.93</w:t>
            </w:r>
          </w:p>
        </w:tc>
      </w:tr>
      <w:tr w:rsidR="003E46C1" w:rsidRPr="00274228" w14:paraId="6C56CA3D" w14:textId="77777777" w:rsidTr="00C30B77">
        <w:trPr>
          <w:gridAfter w:val="1"/>
          <w:wAfter w:w="93" w:type="dxa"/>
          <w:trHeight w:val="29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AE537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Withdrawn/Depressed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8479F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6.71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7407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2.79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02581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7.05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B475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2.93</w:t>
            </w:r>
          </w:p>
        </w:tc>
      </w:tr>
      <w:tr w:rsidR="003E46C1" w:rsidRPr="00274228" w14:paraId="7AA49D9B" w14:textId="77777777" w:rsidTr="00C30B77">
        <w:trPr>
          <w:trHeight w:val="273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8EA" w14:textId="77777777" w:rsidR="003E46C1" w:rsidRPr="00274228" w:rsidRDefault="003E46C1" w:rsidP="003E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C26F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E59C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3782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C04" w14:textId="77777777" w:rsidR="003E46C1" w:rsidRPr="00274228" w:rsidRDefault="003E46C1" w:rsidP="003E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he-IL"/>
              </w:rPr>
            </w:pPr>
          </w:p>
        </w:tc>
      </w:tr>
    </w:tbl>
    <w:p w14:paraId="63C3CF26" w14:textId="0D0EDE77" w:rsidR="00DF67ED" w:rsidRPr="00274228" w:rsidRDefault="00DF67ED" w:rsidP="00DF67E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228">
        <w:rPr>
          <w:rFonts w:ascii="Times New Roman" w:hAnsi="Times New Roman" w:cs="Times New Roman"/>
          <w:b/>
          <w:bCs/>
          <w:sz w:val="24"/>
          <w:szCs w:val="24"/>
        </w:rPr>
        <w:t>Representativeness of Study Sample for Demographic Variables</w:t>
      </w:r>
    </w:p>
    <w:p w14:paraId="69EEDC03" w14:textId="56C7FC9A" w:rsidR="00DF67ED" w:rsidRPr="00274228" w:rsidRDefault="00DF67ED" w:rsidP="001D3456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22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Compared </w:t>
      </w:r>
      <w:r w:rsidR="00CC459E" w:rsidRPr="0027422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with </w:t>
      </w:r>
      <w:r w:rsidRPr="0027422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2021 </w:t>
      </w:r>
      <w:r w:rsidR="000A6EC9" w:rsidRPr="00274228">
        <w:rPr>
          <w:rFonts w:ascii="Times New Roman" w:eastAsia="Times New Roman" w:hAnsi="Times New Roman" w:cs="Times New Roman"/>
          <w:color w:val="000000"/>
          <w:shd w:val="clear" w:color="auto" w:fill="FFFFFF"/>
        </w:rPr>
        <w:t>United States (</w:t>
      </w:r>
      <w:r w:rsidRPr="00274228">
        <w:rPr>
          <w:rFonts w:ascii="Times New Roman" w:eastAsia="Times New Roman" w:hAnsi="Times New Roman" w:cs="Times New Roman"/>
          <w:color w:val="000000"/>
          <w:shd w:val="clear" w:color="auto" w:fill="FFFFFF"/>
        </w:rPr>
        <w:t>U</w:t>
      </w:r>
      <w:r w:rsidR="00CC459E" w:rsidRPr="0027422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CC459E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A6EC9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Census data (see Table </w:t>
      </w:r>
      <w:r w:rsidR="004C43D5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D0DE9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main text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our sample had a higher percentage of Black individuals (</w:t>
      </w:r>
      <w:r w:rsidR="00D10C1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31.1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10C1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31.9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for the two analysis samples) and a lower percentage of individuals of any single race </w:t>
      </w:r>
      <w:r w:rsidR="00B05C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other than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White and Black (&lt;50 individuals) than the general U</w:t>
      </w:r>
      <w:r w:rsidR="00B05C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05C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population (12.3% and 15.9%, respectively)</w:t>
      </w:r>
      <w:r w:rsidR="001B690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(US Census Bureau, 2021a)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Our sample similarly underrepresented Hispanic individuals, with 9</w:t>
      </w:r>
      <w:r w:rsidR="00D10C1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0.1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-9</w:t>
      </w:r>
      <w:r w:rsidR="00D10C1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0.5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of our sample identifying as non-Hispanic compared </w:t>
      </w:r>
      <w:r w:rsidR="00B05C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80.5% of the general U</w:t>
      </w:r>
      <w:r w:rsidR="00B05C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05C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population</w:t>
      </w:r>
      <w:r w:rsidR="001B690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(US Census Bureau, 2021b)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Income and maternal education levels in our sample were roughly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comparable to the general U</w:t>
      </w:r>
      <w:r w:rsidR="00B05C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05C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population</w:t>
      </w:r>
      <w:r w:rsidR="001B690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(US Census Bureau, 2021c;</w:t>
      </w:r>
      <w:r w:rsidR="001B690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1B690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 Census Bureau, 2021d)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05C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Few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data </w:t>
      </w:r>
      <w:r w:rsidR="00B05C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were missing for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these variables</w:t>
      </w:r>
      <w:r w:rsidR="00B05C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5C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therefore,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these numbers can be compared directly.</w:t>
      </w:r>
    </w:p>
    <w:p w14:paraId="16F53291" w14:textId="77777777" w:rsidR="00BD0DE9" w:rsidRPr="00274228" w:rsidRDefault="00BD0DE9" w:rsidP="00C839B4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228">
        <w:rPr>
          <w:rFonts w:ascii="Times New Roman" w:hAnsi="Times New Roman" w:cs="Times New Roman"/>
          <w:b/>
          <w:bCs/>
          <w:sz w:val="24"/>
          <w:szCs w:val="24"/>
        </w:rPr>
        <w:t xml:space="preserve">Representativeness of Study Sample for </w:t>
      </w:r>
      <w:r w:rsidR="00B45599" w:rsidRPr="0027422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274228">
        <w:rPr>
          <w:rFonts w:ascii="Times New Roman" w:hAnsi="Times New Roman" w:cs="Times New Roman"/>
          <w:b/>
          <w:bCs/>
          <w:sz w:val="24"/>
          <w:szCs w:val="24"/>
        </w:rPr>
        <w:t xml:space="preserve">Prevalence of Neurodevelopmental Diagnoses </w:t>
      </w:r>
    </w:p>
    <w:p w14:paraId="57A1AC4E" w14:textId="74AE8487" w:rsidR="00DF67ED" w:rsidRPr="00274228" w:rsidRDefault="00DF67ED" w:rsidP="00BD0DE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4228">
        <w:rPr>
          <w:rFonts w:ascii="Times New Roman" w:hAnsi="Times New Roman" w:cs="Times New Roman"/>
          <w:sz w:val="24"/>
          <w:szCs w:val="24"/>
        </w:rPr>
        <w:t>Table S</w:t>
      </w:r>
      <w:r w:rsidR="001D7870" w:rsidRPr="00274228">
        <w:rPr>
          <w:rFonts w:ascii="Times New Roman" w:hAnsi="Times New Roman" w:cs="Times New Roman"/>
          <w:sz w:val="24"/>
          <w:szCs w:val="24"/>
        </w:rPr>
        <w:t>2</w:t>
      </w:r>
      <w:r w:rsidRPr="00274228">
        <w:rPr>
          <w:rFonts w:ascii="Times New Roman" w:hAnsi="Times New Roman" w:cs="Times New Roman"/>
          <w:sz w:val="24"/>
          <w:szCs w:val="24"/>
        </w:rPr>
        <w:t xml:space="preserve"> shows neurodevelopmental diagnoses reported </w:t>
      </w:r>
      <w:r w:rsidR="00B45599" w:rsidRPr="00274228">
        <w:rPr>
          <w:rFonts w:ascii="Times New Roman" w:hAnsi="Times New Roman" w:cs="Times New Roman"/>
          <w:sz w:val="24"/>
          <w:szCs w:val="24"/>
        </w:rPr>
        <w:t xml:space="preserve">at </w:t>
      </w:r>
      <w:r w:rsidRPr="00274228">
        <w:rPr>
          <w:rFonts w:ascii="Times New Roman" w:hAnsi="Times New Roman" w:cs="Times New Roman"/>
          <w:sz w:val="24"/>
          <w:szCs w:val="24"/>
        </w:rPr>
        <w:t>any time during a participant’s lifetime to add to the description of this population. Between 20</w:t>
      </w:r>
      <w:r w:rsidR="00CC298E" w:rsidRPr="00274228">
        <w:rPr>
          <w:rFonts w:ascii="Times New Roman" w:hAnsi="Times New Roman" w:cs="Times New Roman"/>
          <w:sz w:val="24"/>
          <w:szCs w:val="24"/>
        </w:rPr>
        <w:t>%</w:t>
      </w:r>
      <w:r w:rsidRPr="00274228">
        <w:rPr>
          <w:rFonts w:ascii="Times New Roman" w:hAnsi="Times New Roman" w:cs="Times New Roman"/>
          <w:sz w:val="24"/>
          <w:szCs w:val="24"/>
        </w:rPr>
        <w:t xml:space="preserve"> and 40% of children had missing information for each of these diagnoses</w:t>
      </w:r>
      <w:r w:rsidR="00B45599" w:rsidRPr="00274228">
        <w:rPr>
          <w:rFonts w:ascii="Times New Roman" w:hAnsi="Times New Roman" w:cs="Times New Roman"/>
          <w:sz w:val="24"/>
          <w:szCs w:val="24"/>
        </w:rPr>
        <w:t>:</w:t>
      </w:r>
      <w:r w:rsidRPr="00274228">
        <w:rPr>
          <w:rFonts w:ascii="Times New Roman" w:hAnsi="Times New Roman" w:cs="Times New Roman"/>
          <w:sz w:val="24"/>
          <w:szCs w:val="24"/>
        </w:rPr>
        <w:t xml:space="preserve"> </w:t>
      </w:r>
      <w:r w:rsidR="00D10C1A" w:rsidRPr="00274228">
        <w:rPr>
          <w:rFonts w:ascii="Times New Roman" w:hAnsi="Times New Roman" w:cs="Times New Roman"/>
          <w:sz w:val="24"/>
          <w:szCs w:val="24"/>
        </w:rPr>
        <w:t>9.9</w:t>
      </w:r>
      <w:r w:rsidRPr="00274228">
        <w:rPr>
          <w:rFonts w:ascii="Times New Roman" w:hAnsi="Times New Roman" w:cs="Times New Roman"/>
          <w:sz w:val="24"/>
          <w:szCs w:val="24"/>
        </w:rPr>
        <w:t xml:space="preserve">% </w:t>
      </w:r>
      <w:r w:rsidR="00CC298E" w:rsidRPr="00274228">
        <w:rPr>
          <w:rFonts w:ascii="Times New Roman" w:hAnsi="Times New Roman" w:cs="Times New Roman"/>
          <w:sz w:val="24"/>
          <w:szCs w:val="24"/>
        </w:rPr>
        <w:t xml:space="preserve">of caregivers </w:t>
      </w:r>
      <w:r w:rsidRPr="00274228">
        <w:rPr>
          <w:rFonts w:ascii="Times New Roman" w:hAnsi="Times New Roman" w:cs="Times New Roman"/>
          <w:sz w:val="24"/>
          <w:szCs w:val="24"/>
        </w:rPr>
        <w:t>reported a diagnosis of anxiety</w:t>
      </w:r>
      <w:r w:rsidR="00B45599" w:rsidRPr="00274228">
        <w:rPr>
          <w:rFonts w:ascii="Times New Roman" w:hAnsi="Times New Roman" w:cs="Times New Roman"/>
          <w:sz w:val="24"/>
          <w:szCs w:val="24"/>
        </w:rPr>
        <w:t>;</w:t>
      </w:r>
      <w:r w:rsidRPr="00274228">
        <w:rPr>
          <w:rFonts w:ascii="Times New Roman" w:hAnsi="Times New Roman" w:cs="Times New Roman"/>
          <w:sz w:val="24"/>
          <w:szCs w:val="24"/>
        </w:rPr>
        <w:t xml:space="preserve"> </w:t>
      </w:r>
      <w:r w:rsidR="00D10C1A" w:rsidRPr="00274228">
        <w:rPr>
          <w:rFonts w:ascii="Times New Roman" w:hAnsi="Times New Roman" w:cs="Times New Roman"/>
          <w:sz w:val="24"/>
          <w:szCs w:val="24"/>
        </w:rPr>
        <w:t>4.3</w:t>
      </w:r>
      <w:r w:rsidRPr="00274228">
        <w:rPr>
          <w:rFonts w:ascii="Times New Roman" w:hAnsi="Times New Roman" w:cs="Times New Roman"/>
          <w:sz w:val="24"/>
          <w:szCs w:val="24"/>
        </w:rPr>
        <w:t>% reported a diagnosis of depression</w:t>
      </w:r>
      <w:r w:rsidR="00B45599" w:rsidRPr="00274228">
        <w:rPr>
          <w:rFonts w:ascii="Times New Roman" w:hAnsi="Times New Roman" w:cs="Times New Roman"/>
          <w:sz w:val="24"/>
          <w:szCs w:val="24"/>
        </w:rPr>
        <w:t>;</w:t>
      </w:r>
      <w:r w:rsidRPr="00274228">
        <w:rPr>
          <w:rFonts w:ascii="Times New Roman" w:hAnsi="Times New Roman" w:cs="Times New Roman"/>
          <w:sz w:val="24"/>
          <w:szCs w:val="24"/>
        </w:rPr>
        <w:t xml:space="preserve"> and </w:t>
      </w:r>
      <w:r w:rsidR="00D10C1A" w:rsidRPr="00274228">
        <w:rPr>
          <w:rFonts w:ascii="Times New Roman" w:hAnsi="Times New Roman" w:cs="Times New Roman"/>
          <w:sz w:val="24"/>
          <w:szCs w:val="24"/>
        </w:rPr>
        <w:t>3</w:t>
      </w:r>
      <w:r w:rsidRPr="00274228">
        <w:rPr>
          <w:rFonts w:ascii="Times New Roman" w:hAnsi="Times New Roman" w:cs="Times New Roman"/>
          <w:sz w:val="24"/>
          <w:szCs w:val="24"/>
        </w:rPr>
        <w:t>% reported a diagnosis of autism, autism spectrum disorder, or pervasive developmental disorder; note that an individual could receive multiple diagnoses. The proportion reporting a diagnosis of ADHD was relatively high, at 1</w:t>
      </w:r>
      <w:r w:rsidR="00D10C1A" w:rsidRPr="00274228">
        <w:rPr>
          <w:rFonts w:ascii="Times New Roman" w:hAnsi="Times New Roman" w:cs="Times New Roman"/>
          <w:sz w:val="24"/>
          <w:szCs w:val="24"/>
        </w:rPr>
        <w:t>3.7</w:t>
      </w:r>
      <w:r w:rsidRPr="00274228">
        <w:rPr>
          <w:rFonts w:ascii="Times New Roman" w:hAnsi="Times New Roman" w:cs="Times New Roman"/>
          <w:sz w:val="24"/>
          <w:szCs w:val="24"/>
        </w:rPr>
        <w:t>%. Developmental delay was reported by 4.</w:t>
      </w:r>
      <w:r w:rsidR="00D10C1A" w:rsidRPr="00274228">
        <w:rPr>
          <w:rFonts w:ascii="Times New Roman" w:hAnsi="Times New Roman" w:cs="Times New Roman"/>
          <w:sz w:val="24"/>
          <w:szCs w:val="24"/>
        </w:rPr>
        <w:t>9</w:t>
      </w:r>
      <w:r w:rsidRPr="00274228">
        <w:rPr>
          <w:rFonts w:ascii="Times New Roman" w:hAnsi="Times New Roman" w:cs="Times New Roman"/>
          <w:sz w:val="24"/>
          <w:szCs w:val="24"/>
        </w:rPr>
        <w:t>%, intellectual disability by 1.</w:t>
      </w:r>
      <w:r w:rsidR="00D10C1A" w:rsidRPr="00274228">
        <w:rPr>
          <w:rFonts w:ascii="Times New Roman" w:hAnsi="Times New Roman" w:cs="Times New Roman"/>
          <w:sz w:val="24"/>
          <w:szCs w:val="24"/>
        </w:rPr>
        <w:t>3</w:t>
      </w:r>
      <w:r w:rsidRPr="00274228">
        <w:rPr>
          <w:rFonts w:ascii="Times New Roman" w:hAnsi="Times New Roman" w:cs="Times New Roman"/>
          <w:sz w:val="24"/>
          <w:szCs w:val="24"/>
        </w:rPr>
        <w:t xml:space="preserve">%, and learning disability by </w:t>
      </w:r>
      <w:r w:rsidR="00D10C1A" w:rsidRPr="00274228">
        <w:rPr>
          <w:rFonts w:ascii="Times New Roman" w:hAnsi="Times New Roman" w:cs="Times New Roman"/>
          <w:sz w:val="24"/>
          <w:szCs w:val="24"/>
        </w:rPr>
        <w:t>7.2</w:t>
      </w:r>
      <w:r w:rsidRPr="00274228">
        <w:rPr>
          <w:rFonts w:ascii="Times New Roman" w:hAnsi="Times New Roman" w:cs="Times New Roman"/>
          <w:sz w:val="24"/>
          <w:szCs w:val="24"/>
        </w:rPr>
        <w:t xml:space="preserve">%. The proportions </w:t>
      </w:r>
      <w:r w:rsidR="00B45599" w:rsidRPr="00274228">
        <w:rPr>
          <w:rFonts w:ascii="Times New Roman" w:hAnsi="Times New Roman" w:cs="Times New Roman"/>
          <w:sz w:val="24"/>
          <w:szCs w:val="24"/>
        </w:rPr>
        <w:t xml:space="preserve">of participants </w:t>
      </w:r>
      <w:r w:rsidRPr="00274228">
        <w:rPr>
          <w:rFonts w:ascii="Times New Roman" w:hAnsi="Times New Roman" w:cs="Times New Roman"/>
          <w:sz w:val="24"/>
          <w:szCs w:val="24"/>
        </w:rPr>
        <w:t xml:space="preserve">reporting each of these diagnoses </w:t>
      </w:r>
      <w:r w:rsidR="00B45599" w:rsidRPr="00274228">
        <w:rPr>
          <w:rFonts w:ascii="Times New Roman" w:hAnsi="Times New Roman" w:cs="Times New Roman"/>
          <w:sz w:val="24"/>
          <w:szCs w:val="24"/>
        </w:rPr>
        <w:t xml:space="preserve">were </w:t>
      </w:r>
      <w:r w:rsidRPr="00274228">
        <w:rPr>
          <w:rFonts w:ascii="Times New Roman" w:hAnsi="Times New Roman" w:cs="Times New Roman"/>
          <w:sz w:val="24"/>
          <w:szCs w:val="24"/>
        </w:rPr>
        <w:t xml:space="preserve">similar among the study sample included in the </w:t>
      </w:r>
      <w:r w:rsidR="00A91C76" w:rsidRPr="00274228">
        <w:rPr>
          <w:rFonts w:ascii="Times New Roman" w:hAnsi="Times New Roman" w:cs="Times New Roman"/>
          <w:sz w:val="24"/>
          <w:szCs w:val="24"/>
        </w:rPr>
        <w:t>age at peak height velocity (</w:t>
      </w:r>
      <w:r w:rsidRPr="00274228">
        <w:rPr>
          <w:rFonts w:ascii="Times New Roman" w:hAnsi="Times New Roman" w:cs="Times New Roman"/>
          <w:sz w:val="24"/>
          <w:szCs w:val="24"/>
        </w:rPr>
        <w:t>APHV</w:t>
      </w:r>
      <w:r w:rsidR="00A91C76" w:rsidRPr="00274228">
        <w:rPr>
          <w:rFonts w:ascii="Times New Roman" w:hAnsi="Times New Roman" w:cs="Times New Roman"/>
          <w:sz w:val="24"/>
          <w:szCs w:val="24"/>
        </w:rPr>
        <w:t>)</w:t>
      </w:r>
      <w:r w:rsidRPr="00274228">
        <w:rPr>
          <w:rFonts w:ascii="Times New Roman" w:hAnsi="Times New Roman" w:cs="Times New Roman"/>
          <w:sz w:val="24"/>
          <w:szCs w:val="24"/>
        </w:rPr>
        <w:t xml:space="preserve"> analysis.</w:t>
      </w:r>
    </w:p>
    <w:p w14:paraId="705C1F0C" w14:textId="5A5E9625" w:rsidR="00D9737D" w:rsidRPr="00274228" w:rsidRDefault="00D9737D" w:rsidP="000A5C4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4228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DF67ED" w:rsidRPr="0027422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0E4B14" w:rsidRPr="0027422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74228">
        <w:rPr>
          <w:rFonts w:ascii="Times New Roman" w:hAnsi="Times New Roman" w:cs="Times New Roman"/>
          <w:b/>
          <w:bCs/>
          <w:sz w:val="20"/>
          <w:szCs w:val="20"/>
        </w:rPr>
        <w:t xml:space="preserve">: Neurodevelopmental </w:t>
      </w:r>
      <w:r w:rsidR="00901A6C" w:rsidRPr="00274228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274228">
        <w:rPr>
          <w:rFonts w:ascii="Times New Roman" w:hAnsi="Times New Roman" w:cs="Times New Roman"/>
          <w:b/>
          <w:bCs/>
          <w:sz w:val="20"/>
          <w:szCs w:val="20"/>
        </w:rPr>
        <w:t xml:space="preserve">iagnoses among </w:t>
      </w:r>
      <w:r w:rsidR="00901A6C" w:rsidRPr="0027422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274228">
        <w:rPr>
          <w:rFonts w:ascii="Times New Roman" w:hAnsi="Times New Roman" w:cs="Times New Roman"/>
          <w:b/>
          <w:bCs/>
          <w:sz w:val="20"/>
          <w:szCs w:val="20"/>
        </w:rPr>
        <w:t xml:space="preserve">tudy </w:t>
      </w:r>
      <w:r w:rsidR="00901A6C" w:rsidRPr="00274228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274228">
        <w:rPr>
          <w:rFonts w:ascii="Times New Roman" w:hAnsi="Times New Roman" w:cs="Times New Roman"/>
          <w:b/>
          <w:bCs/>
          <w:sz w:val="20"/>
          <w:szCs w:val="20"/>
        </w:rPr>
        <w:t>articipants</w:t>
      </w:r>
    </w:p>
    <w:tbl>
      <w:tblPr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782"/>
        <w:gridCol w:w="3299"/>
        <w:gridCol w:w="3301"/>
      </w:tblGrid>
      <w:tr w:rsidR="000E4B14" w:rsidRPr="00274228" w14:paraId="6B3596DF" w14:textId="77777777" w:rsidTr="0086238E">
        <w:trPr>
          <w:trHeight w:val="392"/>
        </w:trPr>
        <w:tc>
          <w:tcPr>
            <w:tcW w:w="1483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201316" w14:textId="77777777" w:rsidR="00D9737D" w:rsidRPr="00274228" w:rsidRDefault="00D9737D" w:rsidP="008623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88F30D" w14:textId="040521D9" w:rsidR="00D9737D" w:rsidRPr="00274228" w:rsidRDefault="00D9737D" w:rsidP="00EB55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All </w:t>
            </w:r>
            <w:r w:rsidR="00B71D51"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</w:t>
            </w:r>
            <w:r w:rsidR="00EB553D"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2818</w:t>
            </w: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6E14589" w14:textId="53F03F7F" w:rsidR="00D9737D" w:rsidRPr="00274228" w:rsidRDefault="00D9737D" w:rsidP="00EB55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With APHV </w:t>
            </w:r>
            <w:r w:rsidR="00B71D51"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</w:t>
            </w:r>
            <w:r w:rsidR="00EB553D"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2160</w:t>
            </w: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E4B14" w:rsidRPr="00274228" w14:paraId="4E37BD6D" w14:textId="77777777" w:rsidTr="00901A6C">
        <w:trPr>
          <w:trHeight w:val="333"/>
        </w:trPr>
        <w:tc>
          <w:tcPr>
            <w:tcW w:w="1483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E9DDC1" w14:textId="77777777" w:rsidR="00D9737D" w:rsidRPr="00274228" w:rsidRDefault="00D9737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Anxiety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ECE898" w14:textId="77777777" w:rsidR="00D9737D" w:rsidRPr="00274228" w:rsidRDefault="00D9737D" w:rsidP="00CE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A3BA88" w14:textId="77777777" w:rsidR="00D9737D" w:rsidRPr="00274228" w:rsidRDefault="00D9737D" w:rsidP="00A6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14" w:rsidRPr="00274228" w14:paraId="60B7EF6E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6ADADF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5B7E1E" w14:textId="42C0D7C8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280(9.9%)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022E53" w14:textId="7B22FC0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241(11.2%)</w:t>
            </w:r>
          </w:p>
        </w:tc>
      </w:tr>
      <w:tr w:rsidR="000E4B14" w:rsidRPr="00274228" w14:paraId="34719285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694188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03A777" w14:textId="082B99B9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1850(65.6%)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73C6EC1" w14:textId="0BB50761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1401(64.9%)</w:t>
            </w:r>
          </w:p>
        </w:tc>
      </w:tr>
      <w:tr w:rsidR="000E4B14" w:rsidRPr="00274228" w14:paraId="3ADCB1D9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0EB8D5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Missing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D585EA" w14:textId="3AE8DE6B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688(24.4%)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7F473C" w14:textId="12A981F8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518(24%)</w:t>
            </w:r>
          </w:p>
        </w:tc>
      </w:tr>
      <w:tr w:rsidR="000E4B14" w:rsidRPr="00274228" w14:paraId="29E81316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9F9EC9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Depression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9B4D66" w14:textId="7777777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F52DBB" w14:textId="7777777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14" w:rsidRPr="00274228" w14:paraId="4B7B27BE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30F6A7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733F55" w14:textId="0BEBCB6F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122(4.3%)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51717A" w14:textId="6FE8079C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111(5.1%)</w:t>
            </w:r>
          </w:p>
        </w:tc>
      </w:tr>
      <w:tr w:rsidR="000E4B14" w:rsidRPr="00274228" w14:paraId="114C04A5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B0765E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B9E5E3" w14:textId="3378E4E8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1994(70.8%)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B52B55" w14:textId="3FF26E39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1517(70.2%)</w:t>
            </w:r>
          </w:p>
        </w:tc>
      </w:tr>
      <w:tr w:rsidR="000E4B14" w:rsidRPr="00274228" w14:paraId="46A22739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5ADA3A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Missing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72A3F6" w14:textId="527B67A8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702(24.9%)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08D362" w14:textId="634487E6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532(24.6%)</w:t>
            </w:r>
          </w:p>
        </w:tc>
      </w:tr>
      <w:tr w:rsidR="000E4B14" w:rsidRPr="00274228" w14:paraId="3B93D791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C7A0A1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Autism, ASD, or PDD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6A220B" w14:textId="7777777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A8ECDF" w14:textId="7777777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14" w:rsidRPr="00274228" w14:paraId="04912A70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C1A420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C24048" w14:textId="571E63A9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85(3%)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328F022" w14:textId="43E233D2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61(2.8%)</w:t>
            </w:r>
          </w:p>
        </w:tc>
      </w:tr>
      <w:tr w:rsidR="000E4B14" w:rsidRPr="00274228" w14:paraId="129BCA92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15B552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No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D9F230" w14:textId="57EAC891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2089(74.1%)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2D0EC1" w14:textId="651D553D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1595(73.8%)</w:t>
            </w:r>
          </w:p>
        </w:tc>
      </w:tr>
      <w:tr w:rsidR="000E4B14" w:rsidRPr="00274228" w14:paraId="5DD1BF3D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B70F50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Missing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D36CD1" w14:textId="315BFAF3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644(22.9%)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027866" w14:textId="30B7046F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504(23.3%)</w:t>
            </w:r>
          </w:p>
        </w:tc>
      </w:tr>
      <w:tr w:rsidR="000E4B14" w:rsidRPr="00274228" w14:paraId="6250D20E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A26D5D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“ADD” or ADHD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4A5955" w14:textId="7777777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51F5D6" w14:textId="7777777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14" w:rsidRPr="00274228" w14:paraId="1E4B96B8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974F95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D4E192" w14:textId="7831ED1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386(13.7%)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DE5ABB" w14:textId="2E61723C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324(15%)</w:t>
            </w:r>
          </w:p>
        </w:tc>
      </w:tr>
      <w:tr w:rsidR="000E4B14" w:rsidRPr="00274228" w14:paraId="24E481DA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E1E211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AA7C1E" w14:textId="6B682A68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1785(63.3%)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6871DA" w14:textId="162FC3FB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1332(61.7%)</w:t>
            </w:r>
          </w:p>
        </w:tc>
      </w:tr>
      <w:tr w:rsidR="000E4B14" w:rsidRPr="00274228" w14:paraId="3B9E4F37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5650E0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Missing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69828F" w14:textId="417E32C0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647(23%)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C2720E" w14:textId="216DBCEE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504(23.3%)</w:t>
            </w:r>
          </w:p>
        </w:tc>
      </w:tr>
      <w:tr w:rsidR="000E4B14" w:rsidRPr="00274228" w14:paraId="132792AA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51B970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Developmental delay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43C9F7" w14:textId="7777777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A7DF20" w14:textId="7777777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14" w:rsidRPr="00274228" w14:paraId="220DA837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323489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164F20" w14:textId="09F5AD63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138(4.9%)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E65311" w14:textId="310967E9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104(4.8%)</w:t>
            </w:r>
          </w:p>
        </w:tc>
      </w:tr>
      <w:tr w:rsidR="000E4B14" w:rsidRPr="00274228" w14:paraId="49B2795F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FB152F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685F53" w14:textId="50E43148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1670(59.3%)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1DD649" w14:textId="5D43769D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1410(65.3%)</w:t>
            </w:r>
          </w:p>
        </w:tc>
      </w:tr>
      <w:tr w:rsidR="000E4B14" w:rsidRPr="00274228" w14:paraId="4BCA6402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E71CF5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Missing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4ECEF9" w14:textId="002A4E9D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1010(35.8%)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671CD8" w14:textId="72168DE3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646(29.9%)</w:t>
            </w:r>
          </w:p>
        </w:tc>
      </w:tr>
      <w:tr w:rsidR="000E4B14" w:rsidRPr="00274228" w14:paraId="6DC89EB7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6B7CE4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Intellectual disability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A2FA56" w14:textId="7777777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6AA855" w14:textId="7777777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14" w:rsidRPr="00274228" w14:paraId="4886BEB3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7DCA84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CF037F" w14:textId="664E27CA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36(1.3%)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C5D4F0" w14:textId="5F594F04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29(1.3%)</w:t>
            </w:r>
          </w:p>
        </w:tc>
      </w:tr>
      <w:tr w:rsidR="000E4B14" w:rsidRPr="00274228" w14:paraId="2B463653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4EA5C0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39B6F5" w14:textId="0039361B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1788(63.4%)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2C8064" w14:textId="2DDD61A2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1481(68.6%)</w:t>
            </w:r>
          </w:p>
        </w:tc>
      </w:tr>
      <w:tr w:rsidR="000E4B14" w:rsidRPr="00274228" w14:paraId="234668FB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9ED842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Missing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DB281A" w14:textId="20F743B2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994(35.3%)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19E5C44" w14:textId="48ECBC3C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650(30.1%)</w:t>
            </w:r>
          </w:p>
        </w:tc>
      </w:tr>
      <w:tr w:rsidR="000E4B14" w:rsidRPr="00274228" w14:paraId="35B4BD64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363B93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disability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E9860CD" w14:textId="7777777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C66F9C" w14:textId="77777777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14" w:rsidRPr="00274228" w14:paraId="69A38094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D279C5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966F9B" w14:textId="3CFE28F5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203(7.2%)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445CA8" w14:textId="7D760CB3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163(7.5%)</w:t>
            </w:r>
          </w:p>
        </w:tc>
      </w:tr>
      <w:tr w:rsidR="000E4B14" w:rsidRPr="00274228" w14:paraId="1256C449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88AF04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No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AF12F4" w14:textId="34D23D18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1913(67.9%)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5770711" w14:textId="007E842F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1468(68%)</w:t>
            </w:r>
          </w:p>
        </w:tc>
      </w:tr>
      <w:tr w:rsidR="000E4B14" w:rsidRPr="00274228" w14:paraId="21B16FAD" w14:textId="77777777" w:rsidTr="00D10C1A">
        <w:trPr>
          <w:trHeight w:val="331"/>
        </w:trPr>
        <w:tc>
          <w:tcPr>
            <w:tcW w:w="1483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B4E556" w14:textId="77777777" w:rsidR="00EB553D" w:rsidRPr="00274228" w:rsidRDefault="00EB553D" w:rsidP="004303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Missing</w:t>
            </w:r>
          </w:p>
        </w:tc>
        <w:tc>
          <w:tcPr>
            <w:tcW w:w="175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CECC4A" w14:textId="10A1B6F9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702(24.9%)</w:t>
            </w:r>
          </w:p>
        </w:tc>
        <w:tc>
          <w:tcPr>
            <w:tcW w:w="175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8007A0" w14:textId="26F53544" w:rsidR="00EB553D" w:rsidRPr="00274228" w:rsidRDefault="00EB553D" w:rsidP="0073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529(24.5%)</w:t>
            </w:r>
          </w:p>
        </w:tc>
      </w:tr>
    </w:tbl>
    <w:p w14:paraId="2F15FE90" w14:textId="77777777" w:rsidR="00D9737D" w:rsidRPr="00274228" w:rsidRDefault="004303A6" w:rsidP="000A5C40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74228">
        <w:rPr>
          <w:rFonts w:ascii="Times New Roman" w:hAnsi="Times New Roman" w:cs="Times New Roman"/>
          <w:bCs/>
          <w:sz w:val="20"/>
          <w:szCs w:val="20"/>
        </w:rPr>
        <w:t xml:space="preserve">ADD, attention-deficit disorder; ADHD, attention-deficit/hyperactivity disorder; </w:t>
      </w:r>
      <w:r w:rsidRPr="00274228">
        <w:rPr>
          <w:rFonts w:ascii="Times New Roman" w:hAnsi="Times New Roman" w:cs="Times New Roman"/>
          <w:sz w:val="20"/>
          <w:szCs w:val="20"/>
        </w:rPr>
        <w:t xml:space="preserve">APHV, age at peak height velocity; </w:t>
      </w:r>
      <w:r w:rsidR="00CE4719" w:rsidRPr="00274228">
        <w:rPr>
          <w:rFonts w:ascii="Times New Roman" w:hAnsi="Times New Roman" w:cs="Times New Roman"/>
          <w:sz w:val="20"/>
          <w:szCs w:val="20"/>
        </w:rPr>
        <w:t xml:space="preserve">ASD, autism spectrum disorder; </w:t>
      </w:r>
      <w:r w:rsidRPr="00274228">
        <w:rPr>
          <w:rFonts w:ascii="Times New Roman" w:hAnsi="Times New Roman" w:cs="Times New Roman"/>
          <w:bCs/>
          <w:sz w:val="20"/>
          <w:szCs w:val="20"/>
        </w:rPr>
        <w:t>PPD, pervasive developmental disorder.</w:t>
      </w:r>
    </w:p>
    <w:p w14:paraId="79D3B56C" w14:textId="77777777" w:rsidR="004303A6" w:rsidRPr="00274228" w:rsidRDefault="004303A6" w:rsidP="0015428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E3EBA4" w14:textId="5361CCB5" w:rsidR="00154287" w:rsidRPr="00274228" w:rsidRDefault="00154287" w:rsidP="000A5C40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respect to mental conditions (Table </w:t>
      </w:r>
      <w:r w:rsidR="00DF67E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0E4B14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we can compare </w:t>
      </w:r>
      <w:r w:rsidR="005019F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prevalence in our study samples to population estimates by looking only at the proportions of the complete data </w:t>
      </w:r>
      <w:r w:rsidR="005019F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were diagnosed with each condition. Compared </w:t>
      </w:r>
      <w:r w:rsidR="00691C8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estimates </w:t>
      </w:r>
      <w:r w:rsidR="00115D16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from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Zablotsky</w:t>
      </w:r>
      <w:r w:rsidR="00115D16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al.</w:t>
      </w:r>
      <w:r w:rsidR="002952D7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(2017)</w:t>
      </w:r>
      <w:r w:rsidR="00691C8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our sample had </w:t>
      </w:r>
      <w:r w:rsidR="006A681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higher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rates of autism, </w:t>
      </w:r>
      <w:r w:rsidR="006A681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autism spectrum disorder (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ASD</w:t>
      </w:r>
      <w:r w:rsidR="006A681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A681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 pervasive developmental disorder (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PDD</w:t>
      </w:r>
      <w:r w:rsidR="006A681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10C1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3.7-3.9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compared </w:t>
      </w:r>
      <w:r w:rsidR="00691C8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2.8%)</w:t>
      </w:r>
      <w:r w:rsidR="00691C8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developmental delay (6.</w:t>
      </w:r>
      <w:r w:rsidR="00D10C1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-7.</w:t>
      </w:r>
      <w:r w:rsidR="00D10C1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compared </w:t>
      </w:r>
      <w:r w:rsidR="00691C8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4.6%)</w:t>
      </w:r>
      <w:r w:rsidR="00691C8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intellectual disability (</w:t>
      </w:r>
      <w:r w:rsidR="00D10C1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1.9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-2% compared </w:t>
      </w:r>
      <w:r w:rsidR="00691C8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1.1%) than those in the general U</w:t>
      </w:r>
      <w:r w:rsidR="002E03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E03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population. The National Center for Health Statistics Data Query Tool lists the estimated rate of learning disability in the U</w:t>
      </w:r>
      <w:r w:rsidR="002E03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E03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child population as 6.6%</w:t>
      </w:r>
      <w:r w:rsidR="002952D7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4CE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0D4CEA" w:rsidRPr="002742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National Center for Health Statistics, 2019)</w:t>
      </w:r>
      <w:r w:rsidR="000D4CE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4CE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ompared </w:t>
      </w:r>
      <w:r w:rsidR="00691C8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this reference, our sample had a higher rate of learning disability (</w:t>
      </w:r>
      <w:r w:rsidR="005A75D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9.6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="005A75D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.0%) than the general U</w:t>
      </w:r>
      <w:r w:rsidR="002E03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E03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population. Other sources found through the </w:t>
      </w:r>
      <w:r w:rsidR="00691C8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Centers </w:t>
      </w:r>
      <w:r w:rsidR="00691C8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for Disease Control and Prevention (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CDC</w:t>
      </w:r>
      <w:r w:rsidR="00691C8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website report </w:t>
      </w:r>
      <w:r w:rsidR="00F25518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prevalence of the remaining mental disorders in Table </w:t>
      </w:r>
      <w:r w:rsidR="00115D16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1D7870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B7DD9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7DD9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ompared </w:t>
      </w:r>
      <w:r w:rsidR="00F25518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these numbers, our sample </w:t>
      </w:r>
      <w:r w:rsidR="00F25518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had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higher rates of anxiety and depression (</w:t>
      </w:r>
      <w:r w:rsidR="005A75D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13.1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A75D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14.7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compared </w:t>
      </w:r>
      <w:r w:rsidR="00F25518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7.1% and </w:t>
      </w:r>
      <w:r w:rsidR="005A75D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5.8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A75D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6.8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compared </w:t>
      </w:r>
      <w:r w:rsidR="00F25518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3.2%, respectively</w:t>
      </w:r>
      <w:r w:rsidR="000D4CE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(Bitsko et al., 2018)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A63BFE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attention-deficit disorder (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ADD</w:t>
      </w:r>
      <w:r w:rsidR="00A63BFE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7DD9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A63BFE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attention-deficit/hyperactivity disorder (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ADHD</w:t>
      </w:r>
      <w:r w:rsidR="00A63BFE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</w:t>
      </w:r>
      <w:r w:rsidR="005A75D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7.8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="005A75D2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9.6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compared </w:t>
      </w:r>
      <w:r w:rsidR="00F25518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9.4%</w:t>
      </w:r>
      <w:r w:rsidR="002E03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D4CE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(Danielson</w:t>
      </w:r>
      <w:r w:rsidR="000D4CE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0D4CEA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et al., 2016)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than the U</w:t>
      </w:r>
      <w:r w:rsidR="002E03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E03CD"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child population. </w:t>
      </w:r>
    </w:p>
    <w:p w14:paraId="47D3D2B6" w14:textId="77777777" w:rsidR="00154287" w:rsidRPr="00274228" w:rsidRDefault="00F05558" w:rsidP="00115D16">
      <w:pPr>
        <w:spacing w:after="0" w:line="480" w:lineRule="auto"/>
        <w:ind w:firstLine="720"/>
        <w:rPr>
          <w:rStyle w:val="eop"/>
          <w:rFonts w:ascii="Times New Roman" w:hAnsi="Times New Roman" w:cs="Times New Roman"/>
          <w:sz w:val="24"/>
          <w:szCs w:val="24"/>
        </w:rPr>
      </w:pP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 note that b</w:t>
      </w:r>
      <w:r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ecause </w:t>
      </w:r>
      <w:r w:rsidR="00A63BFE"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the </w:t>
      </w:r>
      <w:r w:rsidRPr="00274228">
        <w:rPr>
          <w:rStyle w:val="eop"/>
          <w:rFonts w:ascii="Times New Roman" w:hAnsi="Times New Roman" w:cs="Times New Roman"/>
          <w:sz w:val="24"/>
          <w:szCs w:val="24"/>
        </w:rPr>
        <w:t>diagnoses in our analysis were based on parent report rather than reports from physician</w:t>
      </w:r>
      <w:r w:rsidR="00A63BFE" w:rsidRPr="00274228">
        <w:rPr>
          <w:rStyle w:val="eop"/>
          <w:rFonts w:ascii="Times New Roman" w:hAnsi="Times New Roman" w:cs="Times New Roman"/>
          <w:sz w:val="24"/>
          <w:szCs w:val="24"/>
        </w:rPr>
        <w:t>s</w:t>
      </w:r>
      <w:r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 or mental health clinicians, we could not confirm a formal diagnosis of ADHD or of any of the other disorders. </w:t>
      </w:r>
      <w:r w:rsidR="00A63BFE" w:rsidRPr="00274228">
        <w:rPr>
          <w:rStyle w:val="eop"/>
          <w:rFonts w:ascii="Times New Roman" w:hAnsi="Times New Roman" w:cs="Times New Roman"/>
          <w:sz w:val="24"/>
          <w:szCs w:val="24"/>
        </w:rPr>
        <w:t>In addition,</w:t>
      </w:r>
      <w:r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 we </w:t>
      </w:r>
      <w:r w:rsidR="00A63BFE"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could not determine whether </w:t>
      </w:r>
      <w:r w:rsidRPr="00274228">
        <w:rPr>
          <w:rStyle w:val="eop"/>
          <w:rFonts w:ascii="Times New Roman" w:hAnsi="Times New Roman" w:cs="Times New Roman"/>
          <w:sz w:val="24"/>
          <w:szCs w:val="24"/>
        </w:rPr>
        <w:t>the gold standard methods for diagnosing ADHD were used</w:t>
      </w:r>
      <w:r w:rsidR="00A63BFE"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 and</w:t>
      </w:r>
      <w:r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 whether the participants met </w:t>
      </w:r>
      <w:r w:rsidR="002B6BDA"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the </w:t>
      </w:r>
      <w:r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diagnostic criteria for ADHD. </w:t>
      </w:r>
      <w:r w:rsidR="002B6BDA" w:rsidRPr="00274228">
        <w:rPr>
          <w:rStyle w:val="eop"/>
          <w:rFonts w:ascii="Times New Roman" w:hAnsi="Times New Roman" w:cs="Times New Roman"/>
          <w:sz w:val="24"/>
          <w:szCs w:val="24"/>
        </w:rPr>
        <w:t>The</w:t>
      </w:r>
      <w:r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 ECHO </w:t>
      </w:r>
      <w:r w:rsidR="002B6BDA"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Program </w:t>
      </w:r>
      <w:r w:rsidRPr="00274228">
        <w:rPr>
          <w:rStyle w:val="eop"/>
          <w:rFonts w:ascii="Times New Roman" w:hAnsi="Times New Roman" w:cs="Times New Roman"/>
          <w:sz w:val="24"/>
          <w:szCs w:val="24"/>
        </w:rPr>
        <w:t>is collecting those data and hopefully future reports will be able to verify clinical diagnoses.</w:t>
      </w:r>
    </w:p>
    <w:p w14:paraId="24476BAE" w14:textId="0167A190" w:rsidR="009B5243" w:rsidRPr="00274228" w:rsidRDefault="009B5243" w:rsidP="00115D16">
      <w:pPr>
        <w:spacing w:after="0" w:line="480" w:lineRule="auto"/>
        <w:ind w:firstLine="720"/>
        <w:rPr>
          <w:rStyle w:val="eop"/>
          <w:rFonts w:ascii="Times New Roman" w:hAnsi="Times New Roman" w:cs="Times New Roman"/>
          <w:sz w:val="24"/>
          <w:szCs w:val="24"/>
        </w:rPr>
      </w:pPr>
      <w:r w:rsidRPr="00274228">
        <w:rPr>
          <w:rStyle w:val="eop"/>
          <w:rFonts w:ascii="Times New Roman" w:hAnsi="Times New Roman" w:cs="Times New Roman"/>
          <w:sz w:val="24"/>
          <w:szCs w:val="24"/>
        </w:rPr>
        <w:t>Table S</w:t>
      </w:r>
      <w:r w:rsidR="000E4B14" w:rsidRPr="00274228">
        <w:rPr>
          <w:rStyle w:val="eop"/>
          <w:rFonts w:ascii="Times New Roman" w:hAnsi="Times New Roman" w:cs="Times New Roman"/>
          <w:sz w:val="24"/>
          <w:szCs w:val="24"/>
        </w:rPr>
        <w:t>3</w:t>
      </w:r>
      <w:r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a </w:t>
      </w:r>
      <w:r w:rsidR="002B6BDA" w:rsidRPr="00274228">
        <w:rPr>
          <w:rStyle w:val="eop"/>
          <w:rFonts w:ascii="Times New Roman" w:hAnsi="Times New Roman" w:cs="Times New Roman"/>
          <w:sz w:val="24"/>
          <w:szCs w:val="24"/>
        </w:rPr>
        <w:t xml:space="preserve">shows </w:t>
      </w:r>
      <w:r w:rsidRPr="00274228">
        <w:rPr>
          <w:rStyle w:val="eop"/>
          <w:rFonts w:ascii="Times New Roman" w:hAnsi="Times New Roman" w:cs="Times New Roman"/>
          <w:sz w:val="24"/>
          <w:szCs w:val="24"/>
        </w:rPr>
        <w:t>the frequencies of all combinations of measures used in the full sample and in Table S</w:t>
      </w:r>
      <w:r w:rsidR="000E4B14" w:rsidRPr="00274228">
        <w:rPr>
          <w:rStyle w:val="eop"/>
          <w:rFonts w:ascii="Times New Roman" w:hAnsi="Times New Roman" w:cs="Times New Roman"/>
          <w:sz w:val="24"/>
          <w:szCs w:val="24"/>
        </w:rPr>
        <w:t>3</w:t>
      </w:r>
      <w:r w:rsidRPr="00274228">
        <w:rPr>
          <w:rStyle w:val="eop"/>
          <w:rFonts w:ascii="Times New Roman" w:hAnsi="Times New Roman" w:cs="Times New Roman"/>
          <w:sz w:val="24"/>
          <w:szCs w:val="24"/>
        </w:rPr>
        <w:t>b for the APHV subsample.</w:t>
      </w:r>
    </w:p>
    <w:p w14:paraId="51F4CD62" w14:textId="77777777" w:rsidR="001806C7" w:rsidRPr="00274228" w:rsidRDefault="001806C7" w:rsidP="00115D16">
      <w:pPr>
        <w:spacing w:after="0" w:line="480" w:lineRule="auto"/>
        <w:ind w:firstLine="720"/>
        <w:rPr>
          <w:rStyle w:val="eop"/>
          <w:rFonts w:ascii="Times New Roman" w:hAnsi="Times New Roman" w:cs="Times New Roman"/>
          <w:sz w:val="24"/>
          <w:szCs w:val="24"/>
        </w:rPr>
      </w:pPr>
    </w:p>
    <w:p w14:paraId="62FACAB3" w14:textId="77777777" w:rsidR="00064328" w:rsidRPr="00274228" w:rsidRDefault="0006432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74228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A3F22B9" w14:textId="7FADB8B9" w:rsidR="009B5243" w:rsidRPr="00274228" w:rsidRDefault="009B5243" w:rsidP="009B5243">
      <w:pPr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  <w:r w:rsidRPr="0027422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Table S</w:t>
      </w:r>
      <w:r w:rsidR="000E4B14" w:rsidRPr="0027422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27422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901A6C" w:rsidRPr="0027422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274228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Forms </w:t>
      </w:r>
      <w:r w:rsidR="00901A6C" w:rsidRPr="00274228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used to assess exposures and outcomes: full sample </w:t>
      </w:r>
      <w:r w:rsidRPr="00274228">
        <w:rPr>
          <w:rFonts w:ascii="Times New Roman" w:hAnsi="Times New Roman" w:cs="Times New Roman"/>
          <w:b/>
          <w:iCs/>
          <w:sz w:val="20"/>
          <w:szCs w:val="20"/>
        </w:rPr>
        <w:t>(</w:t>
      </w:r>
      <w:r w:rsidRPr="00274228">
        <w:rPr>
          <w:rFonts w:ascii="Times New Roman" w:hAnsi="Times New Roman" w:cs="Times New Roman"/>
          <w:b/>
          <w:sz w:val="20"/>
          <w:szCs w:val="20"/>
        </w:rPr>
        <w:t>N</w:t>
      </w:r>
      <w:r w:rsidRPr="00274228"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="005A75D2" w:rsidRPr="00274228">
        <w:rPr>
          <w:rFonts w:ascii="Times New Roman" w:hAnsi="Times New Roman" w:cs="Times New Roman"/>
          <w:b/>
          <w:iCs/>
          <w:sz w:val="20"/>
          <w:szCs w:val="20"/>
        </w:rPr>
        <w:t>2818</w:t>
      </w:r>
      <w:r w:rsidRPr="00274228">
        <w:rPr>
          <w:rFonts w:ascii="Times New Roman" w:hAnsi="Times New Roman" w:cs="Times New Roman"/>
          <w:b/>
          <w:iCs/>
          <w:sz w:val="20"/>
          <w:szCs w:val="20"/>
        </w:rPr>
        <w:t>)</w:t>
      </w:r>
    </w:p>
    <w:tbl>
      <w:tblPr>
        <w:tblW w:w="4925" w:type="pct"/>
        <w:tblLayout w:type="fixed"/>
        <w:tblLook w:val="04A0" w:firstRow="1" w:lastRow="0" w:firstColumn="1" w:lastColumn="0" w:noHBand="0" w:noVBand="1"/>
      </w:tblPr>
      <w:tblGrid>
        <w:gridCol w:w="1458"/>
        <w:gridCol w:w="62"/>
        <w:gridCol w:w="849"/>
        <w:gridCol w:w="1162"/>
        <w:gridCol w:w="911"/>
        <w:gridCol w:w="911"/>
        <w:gridCol w:w="909"/>
        <w:gridCol w:w="1053"/>
        <w:gridCol w:w="1066"/>
        <w:gridCol w:w="1051"/>
      </w:tblGrid>
      <w:tr w:rsidR="000911C1" w:rsidRPr="00274228" w14:paraId="5BB39A5D" w14:textId="77777777" w:rsidTr="00F34F19">
        <w:trPr>
          <w:trHeight w:val="300"/>
        </w:trPr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3EA0C" w14:textId="77777777" w:rsidR="009B5243" w:rsidRPr="00274228" w:rsidRDefault="002B7DD9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Domain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6BC34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Set 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FBD2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Set 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7478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Set 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3D684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Set 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96543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Set 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96FB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Set 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D448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Set 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6915E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Set 8</w:t>
            </w:r>
          </w:p>
        </w:tc>
      </w:tr>
      <w:tr w:rsidR="000911C1" w:rsidRPr="00274228" w14:paraId="279A6A8C" w14:textId="77777777" w:rsidTr="00F34F19">
        <w:trPr>
          <w:trHeight w:val="300"/>
        </w:trPr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CC1D" w14:textId="77777777" w:rsidR="005A75D2" w:rsidRPr="00274228" w:rsidRDefault="005A75D2" w:rsidP="000A5C40">
            <w:pPr>
              <w:spacing w:after="0" w:line="240" w:lineRule="auto"/>
              <w:ind w:hanging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Aggressive Behavior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41E58" w14:textId="3385384A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CFD72" w14:textId="18CD3DA3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D269" w14:textId="14C24606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BD160" w14:textId="7C05034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1170" w14:textId="675CD134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5CD0F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63FC" w14:textId="6ED29A1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0827A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</w:tr>
      <w:tr w:rsidR="000911C1" w:rsidRPr="00274228" w14:paraId="1B8A7293" w14:textId="77777777" w:rsidTr="00F34F19">
        <w:trPr>
          <w:trHeight w:val="30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49BC" w14:textId="77777777" w:rsidR="005A75D2" w:rsidRPr="00274228" w:rsidRDefault="005A75D2" w:rsidP="000A5C40">
            <w:pPr>
              <w:spacing w:after="0" w:line="240" w:lineRule="auto"/>
              <w:ind w:hanging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Anxiety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9913" w14:textId="206F7620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83756" w14:textId="6F135B9A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9204" w14:textId="54AE02B4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9100" w14:textId="32AA92A0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760E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D4BF" w14:textId="54C7D8CB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B7F2D" w14:textId="11D4C754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PROMIS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A861" w14:textId="2AEFA45A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</w:tr>
      <w:tr w:rsidR="000911C1" w:rsidRPr="00274228" w14:paraId="7CE49CD2" w14:textId="77777777" w:rsidTr="00F34F19">
        <w:trPr>
          <w:trHeight w:val="30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2302" w14:textId="77777777" w:rsidR="005A75D2" w:rsidRPr="00274228" w:rsidRDefault="005A75D2" w:rsidP="000A5C40">
            <w:pPr>
              <w:spacing w:after="0" w:line="240" w:lineRule="auto"/>
              <w:ind w:hanging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Anxious Depressed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DC0A6" w14:textId="4680EB6F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44744" w14:textId="5AD4D9E3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E6EE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002B" w14:textId="32B7CE21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44F0" w14:textId="506B9AB5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AACB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2EE1C" w14:textId="4B1AFFF9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8323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</w:tr>
      <w:tr w:rsidR="000911C1" w:rsidRPr="00274228" w14:paraId="1F3E2A8C" w14:textId="77777777" w:rsidTr="00F34F19">
        <w:trPr>
          <w:trHeight w:val="30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0C96" w14:textId="77777777" w:rsidR="005A75D2" w:rsidRPr="00274228" w:rsidRDefault="005A75D2" w:rsidP="000A5C40">
            <w:pPr>
              <w:spacing w:after="0" w:line="240" w:lineRule="auto"/>
              <w:ind w:hanging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Conduct Problems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CD0B3" w14:textId="65DAD4B6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F46AF" w14:textId="171F417B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7161" w14:textId="251FCCB9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6CDC" w14:textId="4FFDA228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E67F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08747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9345" w14:textId="5042C746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AE29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</w:tr>
      <w:tr w:rsidR="000911C1" w:rsidRPr="00274228" w14:paraId="198E171D" w14:textId="77777777" w:rsidTr="00F34F19">
        <w:trPr>
          <w:trHeight w:val="30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F38F" w14:textId="77777777" w:rsidR="005A75D2" w:rsidRPr="00274228" w:rsidRDefault="005A75D2" w:rsidP="000A5C40">
            <w:pPr>
              <w:spacing w:after="0" w:line="240" w:lineRule="auto"/>
              <w:ind w:hanging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Depression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7F5B" w14:textId="2CE3B41A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87B3" w14:textId="368123F6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9600" w14:textId="134D5808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4BC7" w14:textId="1936DF35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4D99A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A749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A7A28" w14:textId="691DC5D9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PROMIS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D13D0" w14:textId="363C0E9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</w:tr>
      <w:tr w:rsidR="000911C1" w:rsidRPr="00274228" w14:paraId="79970021" w14:textId="77777777" w:rsidTr="00F34F19">
        <w:trPr>
          <w:trHeight w:val="30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7372" w14:textId="77777777" w:rsidR="005A75D2" w:rsidRPr="00274228" w:rsidRDefault="005A75D2" w:rsidP="001A1609">
            <w:pPr>
              <w:spacing w:after="0" w:line="240" w:lineRule="auto"/>
              <w:ind w:hanging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Oppositional Defiant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EDA4C" w14:textId="390995BF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94F15" w14:textId="3FC28BC4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B9851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F4466" w14:textId="2578ADB4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FE941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212F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9AEE2" w14:textId="21ACA184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717C0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</w:tr>
      <w:tr w:rsidR="000911C1" w:rsidRPr="00274228" w14:paraId="1AED223A" w14:textId="77777777" w:rsidTr="00F34F19">
        <w:trPr>
          <w:trHeight w:val="30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FAF5" w14:textId="77777777" w:rsidR="005A75D2" w:rsidRPr="00274228" w:rsidRDefault="005A75D2" w:rsidP="000A5C40">
            <w:pPr>
              <w:spacing w:after="0" w:line="240" w:lineRule="auto"/>
              <w:ind w:hanging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Rule-Breaking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46458" w14:textId="76BD1799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A478E" w14:textId="4F3F2FD5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E648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A2DDF" w14:textId="461AE3E8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BC6C" w14:textId="10A619D8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F511B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7326E" w14:textId="4F3A2FC9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67396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11C1" w:rsidRPr="00274228" w14:paraId="1A05BAE0" w14:textId="77777777" w:rsidTr="00F34F19">
        <w:trPr>
          <w:trHeight w:val="30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D1A8" w14:textId="77777777" w:rsidR="005A75D2" w:rsidRPr="00274228" w:rsidRDefault="005A75D2" w:rsidP="000A5C40">
            <w:pPr>
              <w:spacing w:after="0" w:line="240" w:lineRule="auto"/>
              <w:ind w:hanging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Withdrawn Depressed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5D18E" w14:textId="06481454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4FEEA" w14:textId="164099FC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380A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6BA17" w14:textId="47600641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D1E9" w14:textId="49DCBDCF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A8B0B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1610" w14:textId="346A9201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4166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</w:tr>
      <w:tr w:rsidR="000911C1" w:rsidRPr="00274228" w14:paraId="5EAD1359" w14:textId="77777777" w:rsidTr="00F34F19">
        <w:trPr>
          <w:trHeight w:val="30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EE87" w14:textId="77777777" w:rsidR="005A75D2" w:rsidRPr="00274228" w:rsidRDefault="005A75D2" w:rsidP="000A5C40">
            <w:pPr>
              <w:spacing w:after="0" w:line="240" w:lineRule="auto"/>
              <w:ind w:hanging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19200" w14:textId="7770081A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E57C" w14:textId="1FF3C230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CADHD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BDEE" w14:textId="656D5EE9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D4547" w14:textId="2FDF08A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78B42" w14:textId="1A5CD49A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5458" w14:textId="7654E62B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E86FD" w14:textId="320EF1BD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D7BA5" w14:textId="025CABB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</w:tr>
      <w:tr w:rsidR="000911C1" w:rsidRPr="00274228" w14:paraId="4726DBDF" w14:textId="77777777" w:rsidTr="00F34F19">
        <w:trPr>
          <w:trHeight w:val="300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3631" w14:textId="77777777" w:rsidR="005A75D2" w:rsidRPr="00274228" w:rsidRDefault="005A75D2" w:rsidP="000A5C40">
            <w:pPr>
              <w:spacing w:after="0" w:line="240" w:lineRule="auto"/>
              <w:ind w:hanging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Attention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CF1E" w14:textId="38344CF8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17928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1C368" w14:textId="4979967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23862" w14:textId="588F4CCB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9EC01" w14:textId="0C81EC9A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FCB7C" w14:textId="6F5E962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4E41" w14:textId="1AB33794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CF745" w14:textId="6867E156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</w:tr>
      <w:tr w:rsidR="000911C1" w:rsidRPr="00274228" w14:paraId="225ADDAE" w14:textId="77777777" w:rsidTr="00F34F19">
        <w:trPr>
          <w:trHeight w:val="300"/>
        </w:trPr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D0A1" w14:textId="77777777" w:rsidR="005A75D2" w:rsidRPr="00274228" w:rsidRDefault="005A75D2" w:rsidP="000A5C40">
            <w:pPr>
              <w:spacing w:after="0" w:line="240" w:lineRule="auto"/>
              <w:ind w:hanging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Hyperactivity Impulsivity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896E" w14:textId="77777777" w:rsidR="005A75D2" w:rsidRPr="00274228" w:rsidRDefault="005A75D2" w:rsidP="000A5C40">
            <w:pPr>
              <w:spacing w:after="0" w:line="240" w:lineRule="auto"/>
              <w:ind w:hanging="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A0BBE" w14:textId="743C7F66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13625" w14:textId="4FF0601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6CCD0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BF0D9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91E5" w14:textId="53A446AC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0C898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C5738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11C1" w:rsidRPr="00274228" w14:paraId="1892C68B" w14:textId="77777777" w:rsidTr="00F34F19">
        <w:trPr>
          <w:trHeight w:val="300"/>
        </w:trPr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29FD" w14:textId="77777777" w:rsidR="005A75D2" w:rsidRPr="00274228" w:rsidRDefault="005A75D2" w:rsidP="000A5C40">
            <w:pPr>
              <w:spacing w:after="0" w:line="240" w:lineRule="auto"/>
              <w:ind w:hanging="13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Number of Participants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29738" w14:textId="6038244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FFDAE" w14:textId="64D491E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F40135" w14:textId="49EF4501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380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DF37FA" w14:textId="7B3726A1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167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3570C" w14:textId="0DD1E494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41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F5068" w14:textId="483ABF6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C9919" w14:textId="10CECB9C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A1C77" w14:textId="6865E1A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</w:tr>
    </w:tbl>
    <w:p w14:paraId="51D776A5" w14:textId="77777777" w:rsidR="009B5243" w:rsidRPr="00274228" w:rsidRDefault="00643DF9" w:rsidP="009B524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74228">
        <w:rPr>
          <w:rFonts w:ascii="Times New Roman" w:hAnsi="Times New Roman" w:cs="Times New Roman"/>
          <w:color w:val="000000"/>
          <w:sz w:val="20"/>
          <w:szCs w:val="20"/>
        </w:rPr>
        <w:t xml:space="preserve">ADHD, attention-deficit/hyperactivity disorder; </w:t>
      </w:r>
      <w:r w:rsidR="00CC475F" w:rsidRPr="00274228">
        <w:rPr>
          <w:rFonts w:ascii="Times New Roman" w:hAnsi="Times New Roman" w:cs="Times New Roman"/>
          <w:sz w:val="20"/>
          <w:szCs w:val="20"/>
        </w:rPr>
        <w:t>APHV, age at peak height velocity</w:t>
      </w:r>
      <w:r w:rsidR="00CC475F" w:rsidRPr="00274228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B10427" w:rsidRPr="00274228">
        <w:rPr>
          <w:rFonts w:ascii="Times New Roman" w:hAnsi="Times New Roman" w:cs="Times New Roman"/>
          <w:color w:val="000000"/>
          <w:sz w:val="20"/>
          <w:szCs w:val="20"/>
        </w:rPr>
        <w:t>BASC, Behavior Assessment System for Children; CBCL, Child Behavior Checklist.</w:t>
      </w:r>
    </w:p>
    <w:p w14:paraId="51EF81F7" w14:textId="77777777" w:rsidR="009B5243" w:rsidRPr="00274228" w:rsidRDefault="009B5243" w:rsidP="009B524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C59BB64" w14:textId="77777777" w:rsidR="00901A6C" w:rsidRPr="00274228" w:rsidRDefault="00901A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76E34A" w14:textId="46947FE1" w:rsidR="009B5243" w:rsidRPr="00274228" w:rsidRDefault="009B5243" w:rsidP="009B5243">
      <w:pPr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</w:pPr>
      <w:r w:rsidRPr="00274228">
        <w:rPr>
          <w:rFonts w:ascii="Times New Roman" w:hAnsi="Times New Roman" w:cs="Times New Roman"/>
          <w:b/>
          <w:bCs/>
          <w:sz w:val="20"/>
          <w:szCs w:val="20"/>
        </w:rPr>
        <w:t>Table S</w:t>
      </w:r>
      <w:r w:rsidR="000E4B14" w:rsidRPr="0027422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74228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F366CC" w:rsidRPr="0027422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274228">
        <w:rPr>
          <w:rFonts w:ascii="Times New Roman" w:hAnsi="Times New Roman" w:cs="Times New Roman"/>
          <w:b/>
          <w:iCs/>
          <w:sz w:val="20"/>
          <w:szCs w:val="20"/>
        </w:rPr>
        <w:t xml:space="preserve">Forms </w:t>
      </w:r>
      <w:r w:rsidR="00F366CC" w:rsidRPr="00274228">
        <w:rPr>
          <w:rFonts w:ascii="Times New Roman" w:hAnsi="Times New Roman" w:cs="Times New Roman"/>
          <w:b/>
          <w:iCs/>
          <w:sz w:val="20"/>
          <w:szCs w:val="20"/>
        </w:rPr>
        <w:t>u</w:t>
      </w:r>
      <w:r w:rsidRPr="00274228">
        <w:rPr>
          <w:rFonts w:ascii="Times New Roman" w:hAnsi="Times New Roman" w:cs="Times New Roman"/>
          <w:b/>
          <w:iCs/>
          <w:sz w:val="20"/>
          <w:szCs w:val="20"/>
        </w:rPr>
        <w:t xml:space="preserve">sed to </w:t>
      </w:r>
      <w:r w:rsidR="00F366CC" w:rsidRPr="00274228">
        <w:rPr>
          <w:rFonts w:ascii="Times New Roman" w:hAnsi="Times New Roman" w:cs="Times New Roman"/>
          <w:b/>
          <w:iCs/>
          <w:sz w:val="20"/>
          <w:szCs w:val="20"/>
        </w:rPr>
        <w:t>assess exposures and outcomes</w:t>
      </w:r>
      <w:r w:rsidRPr="00274228">
        <w:rPr>
          <w:rFonts w:ascii="Times New Roman" w:hAnsi="Times New Roman" w:cs="Times New Roman"/>
          <w:b/>
          <w:iCs/>
          <w:sz w:val="20"/>
          <w:szCs w:val="20"/>
        </w:rPr>
        <w:t xml:space="preserve">: APHV </w:t>
      </w:r>
      <w:r w:rsidR="00F366CC" w:rsidRPr="00274228">
        <w:rPr>
          <w:rFonts w:ascii="Times New Roman" w:hAnsi="Times New Roman" w:cs="Times New Roman"/>
          <w:b/>
          <w:iCs/>
          <w:sz w:val="20"/>
          <w:szCs w:val="20"/>
        </w:rPr>
        <w:t xml:space="preserve">subsample </w:t>
      </w:r>
      <w:r w:rsidRPr="00274228">
        <w:rPr>
          <w:rFonts w:ascii="Times New Roman" w:hAnsi="Times New Roman" w:cs="Times New Roman"/>
          <w:b/>
          <w:iCs/>
          <w:sz w:val="20"/>
          <w:szCs w:val="20"/>
        </w:rPr>
        <w:t>(</w:t>
      </w:r>
      <w:r w:rsidRPr="00274228">
        <w:rPr>
          <w:rFonts w:ascii="Times New Roman" w:hAnsi="Times New Roman" w:cs="Times New Roman"/>
          <w:b/>
          <w:sz w:val="20"/>
          <w:szCs w:val="20"/>
        </w:rPr>
        <w:t>N</w:t>
      </w:r>
      <w:r w:rsidRPr="00274228">
        <w:rPr>
          <w:rFonts w:ascii="Times New Roman" w:hAnsi="Times New Roman" w:cs="Times New Roman"/>
          <w:b/>
          <w:iCs/>
          <w:sz w:val="20"/>
          <w:szCs w:val="20"/>
        </w:rPr>
        <w:t>=</w:t>
      </w:r>
      <w:r w:rsidR="005A75D2" w:rsidRPr="00274228">
        <w:rPr>
          <w:rFonts w:ascii="Times New Roman" w:hAnsi="Times New Roman" w:cs="Times New Roman"/>
          <w:b/>
          <w:iCs/>
          <w:sz w:val="20"/>
          <w:szCs w:val="20"/>
        </w:rPr>
        <w:t>2160</w:t>
      </w:r>
      <w:r w:rsidRPr="00274228">
        <w:rPr>
          <w:rFonts w:ascii="Times New Roman" w:hAnsi="Times New Roman" w:cs="Times New Roman"/>
          <w:b/>
          <w:iCs/>
          <w:sz w:val="20"/>
          <w:szCs w:val="20"/>
        </w:rPr>
        <w:t>)</w:t>
      </w:r>
    </w:p>
    <w:tbl>
      <w:tblPr>
        <w:tblW w:w="4913" w:type="pct"/>
        <w:tblLayout w:type="fixed"/>
        <w:tblLook w:val="04A0" w:firstRow="1" w:lastRow="0" w:firstColumn="1" w:lastColumn="0" w:noHBand="0" w:noVBand="1"/>
      </w:tblPr>
      <w:tblGrid>
        <w:gridCol w:w="1819"/>
        <w:gridCol w:w="127"/>
        <w:gridCol w:w="753"/>
        <w:gridCol w:w="1191"/>
        <w:gridCol w:w="1035"/>
        <w:gridCol w:w="1035"/>
        <w:gridCol w:w="1035"/>
        <w:gridCol w:w="1035"/>
        <w:gridCol w:w="1379"/>
      </w:tblGrid>
      <w:tr w:rsidR="00F34F19" w:rsidRPr="00274228" w14:paraId="65CB1F95" w14:textId="77777777" w:rsidTr="000911C1">
        <w:trPr>
          <w:trHeight w:val="300"/>
        </w:trPr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6060" w14:textId="77777777" w:rsidR="009B5243" w:rsidRPr="00274228" w:rsidRDefault="002B7DD9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sz w:val="20"/>
                <w:szCs w:val="20"/>
              </w:rPr>
              <w:t>Domain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0428D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Set 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08D8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Set 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E1658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Set 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F992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Set 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3A72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Set 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8EA2D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Set 6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941F" w14:textId="77777777" w:rsidR="009B5243" w:rsidRPr="00274228" w:rsidRDefault="009B5243" w:rsidP="001958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Set 7</w:t>
            </w:r>
          </w:p>
        </w:tc>
      </w:tr>
      <w:tr w:rsidR="000911C1" w:rsidRPr="00274228" w14:paraId="2CE0AEC5" w14:textId="77777777" w:rsidTr="000911C1">
        <w:trPr>
          <w:trHeight w:val="300"/>
        </w:trPr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8B6B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Aggressive Behavior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5E1D" w14:textId="5360A27F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5B00" w14:textId="3D46D2A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C806" w14:textId="610D304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44A6D" w14:textId="52030B08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7EC92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86FD" w14:textId="59CB24EC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6BC1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11C1" w:rsidRPr="00274228" w14:paraId="2A8831C0" w14:textId="77777777" w:rsidTr="000911C1">
        <w:trPr>
          <w:trHeight w:val="30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855F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Anxiety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26421" w14:textId="6154449A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1EED" w14:textId="78D8C419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5B3E" w14:textId="2EE7F276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417A5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B850" w14:textId="134D6A9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A9558" w14:textId="1BFFE965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03830" w14:textId="43A991CC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PROMIS</w:t>
            </w:r>
          </w:p>
        </w:tc>
      </w:tr>
      <w:tr w:rsidR="000911C1" w:rsidRPr="00274228" w14:paraId="5F71DFF7" w14:textId="77777777" w:rsidTr="000911C1">
        <w:trPr>
          <w:trHeight w:val="30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61F3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Anxious Depressed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F80E5" w14:textId="5B4B0B3C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8DF5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2D5C1" w14:textId="68FAEB9D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F4093" w14:textId="7D2DD8AC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D4414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9BD10" w14:textId="62DE3B3D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6C3C9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11C1" w:rsidRPr="00274228" w14:paraId="7D2E492E" w14:textId="77777777" w:rsidTr="000911C1">
        <w:trPr>
          <w:trHeight w:val="30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00F1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Conduct Problems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DAD7" w14:textId="02937DA3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25A45" w14:textId="6F478DF5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060B" w14:textId="271DF59B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D34C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8FBD4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1B919" w14:textId="4364009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6E00D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11C1" w:rsidRPr="00274228" w14:paraId="1B62549F" w14:textId="77777777" w:rsidTr="000911C1">
        <w:trPr>
          <w:trHeight w:val="30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7094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Depression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DDC2B" w14:textId="6E7887E9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447F2" w14:textId="2102DFAC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8DF17" w14:textId="064B7DDD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33677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6D83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2537" w14:textId="1928397D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374BD" w14:textId="37323EB6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PROMIS</w:t>
            </w:r>
          </w:p>
        </w:tc>
      </w:tr>
      <w:tr w:rsidR="000911C1" w:rsidRPr="00274228" w14:paraId="76A77131" w14:textId="77777777" w:rsidTr="000911C1">
        <w:trPr>
          <w:trHeight w:val="30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2910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Oppositional Defiant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015D" w14:textId="1D9C9ED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0941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CC7E" w14:textId="1C8665F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6DB5C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2D3D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6EAD" w14:textId="6B026F9F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C3E1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11C1" w:rsidRPr="00274228" w14:paraId="52B56CF1" w14:textId="77777777" w:rsidTr="000911C1">
        <w:trPr>
          <w:trHeight w:val="30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5891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Rule-Breaking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87E95" w14:textId="57811E1F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CCDAF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64D9" w14:textId="0F6D72B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8D476" w14:textId="74D79094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BA7FB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1E5A" w14:textId="0CD26864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13830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11C1" w:rsidRPr="00274228" w14:paraId="5DB0FFAC" w14:textId="77777777" w:rsidTr="000911C1">
        <w:trPr>
          <w:trHeight w:val="30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3BC9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Withdrawn Depressed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F4684" w14:textId="7EFB8A15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0E24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87344" w14:textId="12ED4BF5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AB8AB" w14:textId="3487A11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B3E1B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A5E4F" w14:textId="523BB3D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0E7FF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11C1" w:rsidRPr="00274228" w14:paraId="6EAC49DE" w14:textId="77777777" w:rsidTr="000911C1">
        <w:trPr>
          <w:trHeight w:val="30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41BF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ADHD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3B8B" w14:textId="576F19B1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90057" w14:textId="5C398C4B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CADHD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ECFF6" w14:textId="26C7EFCA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FFB6" w14:textId="5F46EA5A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BFCF" w14:textId="3E9973F5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D481B" w14:textId="2002621C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BASC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20D5" w14:textId="167A996D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CBCL</w:t>
            </w:r>
          </w:p>
        </w:tc>
      </w:tr>
      <w:tr w:rsidR="000E4B14" w:rsidRPr="00274228" w14:paraId="7A7A247D" w14:textId="77777777" w:rsidTr="000911C1">
        <w:trPr>
          <w:trHeight w:val="300"/>
        </w:trPr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B638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Attention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D63D3" w14:textId="785CA87C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CBCL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B7B8F" w14:textId="15B89E9A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FD19F" w14:textId="66A92FAB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9B533" w14:textId="03969608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BASC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49B5" w14:textId="43065B64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CBCL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D78F8" w14:textId="65ECE4CA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BASC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6C897" w14:textId="4C1214F0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CBCL</w:t>
            </w:r>
          </w:p>
        </w:tc>
      </w:tr>
      <w:tr w:rsidR="000E4B14" w:rsidRPr="00274228" w14:paraId="183B7AD9" w14:textId="77777777" w:rsidTr="000911C1">
        <w:trPr>
          <w:trHeight w:val="300"/>
        </w:trPr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D53C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Hyperactivity Impulsivity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F2228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E3DAF" w14:textId="6CBA292E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144A8" w14:textId="3CCABC6D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BASC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3B1F5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BASC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BE13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AFFA" w14:textId="48AB7F08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BASC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1D1D3" w14:textId="77777777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14" w:rsidRPr="00274228" w14:paraId="2D93F0A8" w14:textId="77777777" w:rsidTr="000911C1">
        <w:trPr>
          <w:trHeight w:val="300"/>
        </w:trPr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9F97" w14:textId="77777777" w:rsidR="005A75D2" w:rsidRPr="00274228" w:rsidRDefault="005A75D2" w:rsidP="001958CD">
            <w:pPr>
              <w:spacing w:after="0" w:line="240" w:lineRule="auto"/>
              <w:ind w:left="350" w:hanging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Number of Participants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CB25A5" w14:textId="76354326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FF0D9" w14:textId="745E028F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409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77A0BA" w14:textId="55952E98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321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DEEFC" w14:textId="572966CB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152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63DA4" w14:textId="6A5950F6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97C5C6" w14:textId="7F83D7B0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B06E2" w14:textId="7FF67178" w:rsidR="005A75D2" w:rsidRPr="00274228" w:rsidRDefault="005A75D2" w:rsidP="001958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8"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</w:tr>
    </w:tbl>
    <w:p w14:paraId="1F842DBB" w14:textId="77777777" w:rsidR="00CC475F" w:rsidRPr="00274228" w:rsidRDefault="00CC475F" w:rsidP="00CC475F">
      <w:pPr>
        <w:rPr>
          <w:rFonts w:ascii="Times New Roman" w:hAnsi="Times New Roman" w:cs="Times New Roman"/>
          <w:sz w:val="20"/>
          <w:szCs w:val="20"/>
        </w:rPr>
      </w:pPr>
      <w:r w:rsidRPr="00274228">
        <w:rPr>
          <w:rFonts w:ascii="Times New Roman" w:hAnsi="Times New Roman" w:cs="Times New Roman"/>
          <w:sz w:val="20"/>
          <w:szCs w:val="20"/>
        </w:rPr>
        <w:t>ADHD, attention-deficit/hyperactivity disorder; BASC, Behavior Assessment System for Children; CBCL, Child Behavior Checklist.</w:t>
      </w:r>
    </w:p>
    <w:p w14:paraId="576A8C5C" w14:textId="3C9534DA" w:rsidR="008844E6" w:rsidRPr="00274228" w:rsidRDefault="008844E6" w:rsidP="008844E6">
      <w:pPr>
        <w:spacing w:after="0" w:line="480" w:lineRule="auto"/>
        <w:rPr>
          <w:rStyle w:val="eop"/>
          <w:rFonts w:ascii="Times New Roman" w:hAnsi="Times New Roman" w:cs="Times New Roman"/>
          <w:b/>
          <w:bCs/>
          <w:sz w:val="24"/>
          <w:szCs w:val="24"/>
        </w:rPr>
      </w:pPr>
      <w:r w:rsidRPr="00274228">
        <w:rPr>
          <w:rStyle w:val="eop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Proportion of Participants with Outcome Assessments </w:t>
      </w:r>
      <w:proofErr w:type="gramStart"/>
      <w:r w:rsidRPr="00274228">
        <w:rPr>
          <w:rStyle w:val="eop"/>
          <w:rFonts w:ascii="Times New Roman" w:hAnsi="Times New Roman" w:cs="Times New Roman"/>
          <w:b/>
          <w:bCs/>
          <w:sz w:val="24"/>
          <w:szCs w:val="24"/>
        </w:rPr>
        <w:t>in Regard to</w:t>
      </w:r>
      <w:proofErr w:type="gramEnd"/>
      <w:r w:rsidRPr="00274228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 their Estimated APHV</w:t>
      </w:r>
    </w:p>
    <w:p w14:paraId="5E55BD7E" w14:textId="1929107F" w:rsidR="008844E6" w:rsidRPr="00274228" w:rsidRDefault="008844E6" w:rsidP="008844E6">
      <w:pPr>
        <w:spacing w:after="0" w:line="480" w:lineRule="auto"/>
        <w:ind w:firstLine="720"/>
        <w:rPr>
          <w:rStyle w:val="eop"/>
          <w:rFonts w:ascii="Times New Roman" w:hAnsi="Times New Roman" w:cs="Times New Roman"/>
          <w:sz w:val="24"/>
          <w:szCs w:val="24"/>
        </w:rPr>
      </w:pPr>
      <w:r w:rsidRPr="00274228">
        <w:rPr>
          <w:rStyle w:val="eop"/>
          <w:rFonts w:ascii="Times New Roman" w:hAnsi="Times New Roman" w:cs="Times New Roman"/>
          <w:sz w:val="24"/>
          <w:szCs w:val="24"/>
        </w:rPr>
        <w:t>Table 4 shows proportions of males and females with outcome assessments after their estimated APHV for each outcome and analysis sample.</w:t>
      </w:r>
    </w:p>
    <w:p w14:paraId="695AE898" w14:textId="77777777" w:rsidR="007B4709" w:rsidRPr="00274228" w:rsidRDefault="007B4709" w:rsidP="007B47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he-IL"/>
        </w:rPr>
        <w:sectPr w:rsidR="007B4709" w:rsidRPr="00274228" w:rsidSect="00D3003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691" w:type="dxa"/>
        <w:tblInd w:w="108" w:type="dxa"/>
        <w:tblLook w:val="04A0" w:firstRow="1" w:lastRow="0" w:firstColumn="1" w:lastColumn="0" w:noHBand="0" w:noVBand="1"/>
      </w:tblPr>
      <w:tblGrid>
        <w:gridCol w:w="941"/>
        <w:gridCol w:w="2049"/>
        <w:gridCol w:w="1720"/>
        <w:gridCol w:w="1607"/>
        <w:gridCol w:w="1873"/>
        <w:gridCol w:w="6"/>
        <w:gridCol w:w="1714"/>
        <w:gridCol w:w="1970"/>
        <w:gridCol w:w="1811"/>
      </w:tblGrid>
      <w:tr w:rsidR="003B070D" w:rsidRPr="00274228" w14:paraId="16ED1BC8" w14:textId="77777777" w:rsidTr="003B070D">
        <w:trPr>
          <w:trHeight w:val="262"/>
        </w:trPr>
        <w:tc>
          <w:tcPr>
            <w:tcW w:w="11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826F" w14:textId="77777777" w:rsidR="007B4709" w:rsidRPr="00274228" w:rsidRDefault="007B4709" w:rsidP="003B070D">
            <w:pPr>
              <w:spacing w:after="0" w:line="240" w:lineRule="auto"/>
              <w:ind w:right="-3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 xml:space="preserve">Table S4. Proportions of males and females with outcome assessments after their estimated APHV for each outcome and analysis sample,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A322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</w:p>
        </w:tc>
      </w:tr>
      <w:tr w:rsidR="003B070D" w:rsidRPr="00274228" w14:paraId="40FE2632" w14:textId="77777777" w:rsidTr="003B070D">
        <w:trPr>
          <w:trHeight w:val="262"/>
        </w:trPr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85A0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06EC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43D44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F0FA7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8621E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8CCD4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68FC6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65F99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</w:tr>
      <w:tr w:rsidR="003B070D" w:rsidRPr="00274228" w14:paraId="31921651" w14:textId="77777777" w:rsidTr="003B070D">
        <w:trPr>
          <w:trHeight w:val="262"/>
        </w:trPr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C116F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5C7E1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 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20CFB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Full Sample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8D7F8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APHV Subsample</w:t>
            </w:r>
          </w:p>
        </w:tc>
      </w:tr>
      <w:tr w:rsidR="003B070D" w:rsidRPr="00274228" w14:paraId="47A05C93" w14:textId="77777777" w:rsidTr="003B070D">
        <w:trPr>
          <w:trHeight w:val="524"/>
        </w:trPr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EF75E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Child Sex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4B819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Outcome Domain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786F4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*N with APHV&lt;=Outcome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0F963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**N with Outcome&gt;APHV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C0E07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***Proportion with Outcome After APHV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2EBD2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^N with APHV&lt;=Outcome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DC9DC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^^N with Outcome&gt;APHV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5A60F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^^^Proportion with Outcome After APHV</w:t>
            </w:r>
          </w:p>
        </w:tc>
      </w:tr>
      <w:tr w:rsidR="003B070D" w:rsidRPr="00274228" w14:paraId="38214C56" w14:textId="77777777" w:rsidTr="003B070D">
        <w:trPr>
          <w:trHeight w:val="262"/>
        </w:trPr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460C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Female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219C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Aggressive Behavior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4333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DA16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827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60AC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0.793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88DD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216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7314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827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BC95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0.793</w:t>
            </w:r>
          </w:p>
        </w:tc>
      </w:tr>
      <w:tr w:rsidR="003B070D" w:rsidRPr="00274228" w14:paraId="18A8B566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A5F86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812E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Anxiety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91F5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5273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818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D594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0.790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5367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218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5894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818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0E83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0.790</w:t>
            </w:r>
          </w:p>
        </w:tc>
      </w:tr>
      <w:tr w:rsidR="003B070D" w:rsidRPr="00274228" w14:paraId="737CF161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3BCA2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5DA2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Anxious/Depressed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CDF8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6CD3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766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AA4E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0.780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2908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216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08AC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766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967D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0.780</w:t>
            </w:r>
          </w:p>
        </w:tc>
      </w:tr>
      <w:tr w:rsidR="003B070D" w:rsidRPr="00274228" w14:paraId="1F690DE4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50A61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F3B2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Conduct Problems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BFF1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56F1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816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45F3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0.791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526B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216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B63A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A35D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0.791</w:t>
            </w:r>
          </w:p>
        </w:tc>
      </w:tr>
      <w:tr w:rsidR="003B070D" w:rsidRPr="00274228" w14:paraId="49ED12E4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694E9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6125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Depression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B29D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19A2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816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4B92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0.791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F348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216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09CB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816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754F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0.791</w:t>
            </w:r>
          </w:p>
        </w:tc>
      </w:tr>
      <w:tr w:rsidR="003B070D" w:rsidRPr="00274228" w14:paraId="1D040986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AA1B3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26F1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Oppositional Defiant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E05E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3085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757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24E7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0.779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6971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215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DE62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757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1046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0.779</w:t>
            </w:r>
          </w:p>
        </w:tc>
      </w:tr>
      <w:tr w:rsidR="003B070D" w:rsidRPr="00274228" w14:paraId="355160A1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E2715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C75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Rule Breaking Behavior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8774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238A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764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3A07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0.780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F0AA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216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8698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764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5114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0.780</w:t>
            </w:r>
          </w:p>
        </w:tc>
      </w:tr>
      <w:tr w:rsidR="003B070D" w:rsidRPr="00274228" w14:paraId="2F682F86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4DDB4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F45F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Withdrawn/Depressed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99E7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385D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765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34F6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0.781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676F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215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CB4A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765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B80A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0.781</w:t>
            </w:r>
          </w:p>
        </w:tc>
      </w:tr>
      <w:tr w:rsidR="003B070D" w:rsidRPr="00274228" w14:paraId="38FE9066" w14:textId="77777777" w:rsidTr="003B070D">
        <w:trPr>
          <w:trHeight w:val="262"/>
        </w:trPr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03FE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Male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F8B9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Aggressive Behavior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95B1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681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81E3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426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D275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0.385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A90D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680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0354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426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A2C8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0.385</w:t>
            </w:r>
          </w:p>
        </w:tc>
      </w:tr>
      <w:tr w:rsidR="003B070D" w:rsidRPr="00274228" w14:paraId="41A07069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6664F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A297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Anxiety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560B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663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C003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420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E8AB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0.388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96BA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662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36A9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CA1C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0.388</w:t>
            </w:r>
          </w:p>
        </w:tc>
      </w:tr>
      <w:tr w:rsidR="003B070D" w:rsidRPr="00274228" w14:paraId="5DA0635A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536A0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60BB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Anxious/Depressed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C026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613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3FF5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404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5ECB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0.397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3B7B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612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BE32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35D8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0.398</w:t>
            </w:r>
          </w:p>
        </w:tc>
      </w:tr>
      <w:tr w:rsidR="003B070D" w:rsidRPr="00274228" w14:paraId="78D61FB1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06343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ECF0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Conduct Problems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86BB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658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A214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419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B3B5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0.389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E372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657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6B33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419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54C1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0.389</w:t>
            </w:r>
          </w:p>
        </w:tc>
      </w:tr>
      <w:tr w:rsidR="003B070D" w:rsidRPr="00274228" w14:paraId="79062E87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AB041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7744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Depression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5ABF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662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3291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420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D511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0.388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D8B2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661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179B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6136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0.389</w:t>
            </w:r>
          </w:p>
        </w:tc>
      </w:tr>
      <w:tr w:rsidR="003B070D" w:rsidRPr="00274228" w14:paraId="3F7FB55C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3F00B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D1B4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Oppositional Defiant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BC08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591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7059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398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E051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0.402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8965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590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DF34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398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9CDD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0.403</w:t>
            </w:r>
          </w:p>
        </w:tc>
      </w:tr>
      <w:tr w:rsidR="003B070D" w:rsidRPr="00274228" w14:paraId="1B5CC22F" w14:textId="77777777" w:rsidTr="003B070D">
        <w:trPr>
          <w:trHeight w:val="262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D53A1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0CBA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Rule Breaking Behavior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E8C0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613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FBE5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404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5AA2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0.397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B58B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612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7447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BF61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0.398</w:t>
            </w:r>
          </w:p>
        </w:tc>
      </w:tr>
      <w:tr w:rsidR="003B070D" w:rsidRPr="00274228" w14:paraId="5D3D63B8" w14:textId="77777777" w:rsidTr="003B070D">
        <w:trPr>
          <w:trHeight w:val="393"/>
        </w:trPr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245A9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5444" w14:textId="77777777" w:rsidR="007B4709" w:rsidRPr="00274228" w:rsidRDefault="007B4709" w:rsidP="003B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Withdrawn/Depressed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6F72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613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51D7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404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6E62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0.397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982C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612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790C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404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8984" w14:textId="77777777" w:rsidR="007B4709" w:rsidRPr="00274228" w:rsidRDefault="007B4709" w:rsidP="007B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0.398</w:t>
            </w:r>
          </w:p>
        </w:tc>
      </w:tr>
      <w:tr w:rsidR="003B070D" w:rsidRPr="00274228" w14:paraId="5F1C2BBE" w14:textId="77777777" w:rsidTr="003B070D">
        <w:trPr>
          <w:trHeight w:val="1381"/>
        </w:trPr>
        <w:tc>
          <w:tcPr>
            <w:tcW w:w="1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770B9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r w:rsidRPr="0027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  <w:t>*Column presents numbers of children whose age at peak height velocity (APHV) was before or at the same time as the age at outcome data collection ("APHV &lt;= Outcome") from the full sample; **Column presents number whose APHV was after the age at outcome data collection ("Outcome&lt;APHV") for the full sample; ***Column presents the proportion of children who were past the APHV at the time of follow-up for the full sample. ^Column presents numbers of children whose APHV was before or at the same time as the age at outcome data collection for the APHV subsample; ^^Column presents the proportion of children who were past the APHV at the time of follow-up for the APHV subsample; ^^^Column presents the proportion of children who were past the APHV at the time of follow-up for the APHV subsample.</w:t>
            </w:r>
          </w:p>
        </w:tc>
      </w:tr>
      <w:tr w:rsidR="003B070D" w:rsidRPr="00274228" w14:paraId="2D38C9AF" w14:textId="77777777" w:rsidTr="003B070D">
        <w:trPr>
          <w:trHeight w:val="26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FD40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694D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7BC7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3BBD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8F36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462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4E4F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3D9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3B070D" w:rsidRPr="00274228" w14:paraId="5227CDB1" w14:textId="77777777" w:rsidTr="003B070D">
        <w:trPr>
          <w:trHeight w:val="26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0DD8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1E6B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798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38F3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AE1A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DD9B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6C10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52E3" w14:textId="77777777" w:rsidR="007B4709" w:rsidRPr="00274228" w:rsidRDefault="007B4709" w:rsidP="007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14:paraId="7E2A6339" w14:textId="77777777" w:rsidR="007B4709" w:rsidRPr="00274228" w:rsidRDefault="007B4709">
      <w:pPr>
        <w:rPr>
          <w:rFonts w:ascii="Times New Roman" w:hAnsi="Times New Roman" w:cs="Times New Roman"/>
          <w:sz w:val="20"/>
          <w:szCs w:val="20"/>
        </w:rPr>
        <w:sectPr w:rsidR="007B4709" w:rsidRPr="00274228" w:rsidSect="00D3003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EF8CE4D" w14:textId="77777777" w:rsidR="00154287" w:rsidRPr="00274228" w:rsidRDefault="00901A6C" w:rsidP="000911C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7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REFERENCES</w:t>
      </w:r>
    </w:p>
    <w:p w14:paraId="5A0F4D38" w14:textId="77777777" w:rsidR="00FE6F55" w:rsidRPr="00274228" w:rsidRDefault="00FE6F55" w:rsidP="00FE6F5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Bitsko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 Holbrook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 Ghandour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 Blumberg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 Visser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 Perou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 Walkup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(2018).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Epidemiology and impact of healthcare provider diagnosed anxiety and depression among US children. </w:t>
      </w:r>
      <w:r w:rsidRPr="002742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Journal of Developmental and Behavioral Pediatrics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 39(5), 395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B44A2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403.</w:t>
      </w:r>
    </w:p>
    <w:p w14:paraId="181230E4" w14:textId="77777777" w:rsidR="00FE6F55" w:rsidRPr="00274228" w:rsidRDefault="00FE6F55" w:rsidP="00FE6F5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Danielson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 Bitsko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 Ghandour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 Holbrook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 Blumberg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(2018)</w:t>
      </w: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Prevalence of parent-reported ADHD diagnosis and associated treatment among U.S. children and adolescents, 2016.  Journal of Clinical Child and Adolescent Psychology</w:t>
      </w:r>
      <w:r w:rsidR="00A802E9"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, 47(2), 199-212.</w:t>
      </w:r>
    </w:p>
    <w:p w14:paraId="0CEA629D" w14:textId="77777777" w:rsidR="00FE6F55" w:rsidRPr="00274228" w:rsidRDefault="00FE6F55" w:rsidP="00FE6F5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Center for Health Statistics, 2019: National Center for Health Statistics. Percentage of ever having a learning disability for children aged 3-17 years, United States, 2019. National Health Interview Survey. Generated interactively: Dec 06 2021 from https://wwwn.cdc.gov/NHISDataQueryTool/SHS_2019_CHILD3/index.html</w:t>
      </w:r>
    </w:p>
    <w:p w14:paraId="16D5D4F7" w14:textId="77777777" w:rsidR="00FE6F55" w:rsidRPr="00274228" w:rsidRDefault="00FE6F55" w:rsidP="00FE6F5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US Census Bureau, 2021a: https://data.census.gov/cedsci/table?tid=DECENNIALPL2020.P1</w:t>
      </w:r>
    </w:p>
    <w:p w14:paraId="2457B67D" w14:textId="77777777" w:rsidR="00FE6F55" w:rsidRPr="00274228" w:rsidRDefault="00FE6F55" w:rsidP="00FE6F5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US Census Bureau, 2021b: https://data.census.gov/cedsci/table?tid=DECENNIALPL2020.P2</w:t>
      </w:r>
    </w:p>
    <w:p w14:paraId="54009A13" w14:textId="77777777" w:rsidR="00FE6F55" w:rsidRPr="00274228" w:rsidRDefault="00FE6F55" w:rsidP="00FE6F5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US Census Bureau, 2021c: https://data.census.gov/cedsci/table?tid=ACSST1Y2019.S1901</w:t>
      </w:r>
    </w:p>
    <w:p w14:paraId="36239B60" w14:textId="77777777" w:rsidR="00FE6F55" w:rsidRPr="00274228" w:rsidRDefault="00FE6F55" w:rsidP="00FE6F5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US Census Bureau, 2021d: https://data.census.gov/cedsci/table?tid=ACSST1Y2019.S1501</w:t>
      </w:r>
    </w:p>
    <w:p w14:paraId="0F0C8EDD" w14:textId="77777777" w:rsidR="00FE6F55" w:rsidRPr="00F34F19" w:rsidRDefault="00FE6F55" w:rsidP="00FE6F5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228">
        <w:rPr>
          <w:rFonts w:ascii="Times New Roman" w:eastAsia="Times New Roman" w:hAnsi="Times New Roman" w:cs="Times New Roman"/>
          <w:color w:val="000000"/>
          <w:sz w:val="24"/>
          <w:szCs w:val="24"/>
        </w:rPr>
        <w:t>Zablotsky, B., Black, L.I., &amp; Blumberg, S.J. (2017). Estimated prevalence of children with diagnosed developmental disabilities in the United States, 2014-2016. NCHS Data Brief, No. 291. Retrieved from https://www.cdc.gov/nchs/data/databriefs/db291.pdf</w:t>
      </w:r>
    </w:p>
    <w:p w14:paraId="6FD177B8" w14:textId="77777777" w:rsidR="00FE6F55" w:rsidRPr="00F34F19" w:rsidRDefault="00FE6F55" w:rsidP="0015428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EAB9F7" w14:textId="77777777" w:rsidR="00154287" w:rsidRPr="00F34F19" w:rsidRDefault="00154287" w:rsidP="00230C2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4287" w:rsidRPr="00F34F19" w:rsidSect="00D3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8838" w14:textId="77777777" w:rsidR="00D30035" w:rsidRDefault="00D30035" w:rsidP="00AD4D09">
      <w:pPr>
        <w:spacing w:after="0" w:line="240" w:lineRule="auto"/>
      </w:pPr>
      <w:r>
        <w:separator/>
      </w:r>
    </w:p>
  </w:endnote>
  <w:endnote w:type="continuationSeparator" w:id="0">
    <w:p w14:paraId="5D9D3526" w14:textId="77777777" w:rsidR="00D30035" w:rsidRDefault="00D30035" w:rsidP="00A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631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2EAB3" w14:textId="77777777" w:rsidR="00AD4D09" w:rsidRDefault="00FB6730">
        <w:pPr>
          <w:pStyle w:val="Footer"/>
          <w:jc w:val="center"/>
        </w:pPr>
        <w:r>
          <w:fldChar w:fldCharType="begin"/>
        </w:r>
        <w:r w:rsidR="00AD4D09">
          <w:instrText xml:space="preserve"> PAGE   \* MERGEFORMAT </w:instrText>
        </w:r>
        <w:r>
          <w:fldChar w:fldCharType="separate"/>
        </w:r>
        <w:r w:rsidR="00F34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42AEA3" w14:textId="77777777" w:rsidR="00AD4D09" w:rsidRDefault="00AD4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AC0B" w14:textId="77777777" w:rsidR="00D30035" w:rsidRDefault="00D30035" w:rsidP="00AD4D09">
      <w:pPr>
        <w:spacing w:after="0" w:line="240" w:lineRule="auto"/>
      </w:pPr>
      <w:r>
        <w:separator/>
      </w:r>
    </w:p>
  </w:footnote>
  <w:footnote w:type="continuationSeparator" w:id="0">
    <w:p w14:paraId="73A1DB4F" w14:textId="77777777" w:rsidR="00D30035" w:rsidRDefault="00D30035" w:rsidP="00AD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1CC3"/>
    <w:multiLevelType w:val="hybridMultilevel"/>
    <w:tmpl w:val="CCD2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54A36"/>
    <w:multiLevelType w:val="hybridMultilevel"/>
    <w:tmpl w:val="92AE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608465">
    <w:abstractNumId w:val="1"/>
  </w:num>
  <w:num w:numId="2" w16cid:durableId="186235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420"/>
    <w:rsid w:val="00025748"/>
    <w:rsid w:val="000543EC"/>
    <w:rsid w:val="00064328"/>
    <w:rsid w:val="000911C1"/>
    <w:rsid w:val="000A5C40"/>
    <w:rsid w:val="000A6EC9"/>
    <w:rsid w:val="000D4CEA"/>
    <w:rsid w:val="000E4B14"/>
    <w:rsid w:val="00115D16"/>
    <w:rsid w:val="00154287"/>
    <w:rsid w:val="001806C7"/>
    <w:rsid w:val="001A1609"/>
    <w:rsid w:val="001A3FE6"/>
    <w:rsid w:val="001B6902"/>
    <w:rsid w:val="001D2698"/>
    <w:rsid w:val="001D3456"/>
    <w:rsid w:val="001D7870"/>
    <w:rsid w:val="00230C22"/>
    <w:rsid w:val="00232030"/>
    <w:rsid w:val="002566FD"/>
    <w:rsid w:val="0025713C"/>
    <w:rsid w:val="00257EBE"/>
    <w:rsid w:val="002623F7"/>
    <w:rsid w:val="002725CE"/>
    <w:rsid w:val="00274228"/>
    <w:rsid w:val="002952D7"/>
    <w:rsid w:val="002A5A1C"/>
    <w:rsid w:val="002B44A2"/>
    <w:rsid w:val="002B6BDA"/>
    <w:rsid w:val="002B7DD9"/>
    <w:rsid w:val="002C359E"/>
    <w:rsid w:val="002E03CD"/>
    <w:rsid w:val="003B070D"/>
    <w:rsid w:val="003B63BC"/>
    <w:rsid w:val="003E46C1"/>
    <w:rsid w:val="004148D5"/>
    <w:rsid w:val="004303A6"/>
    <w:rsid w:val="004573FA"/>
    <w:rsid w:val="0047530B"/>
    <w:rsid w:val="004C43D5"/>
    <w:rsid w:val="005019FD"/>
    <w:rsid w:val="00573844"/>
    <w:rsid w:val="005A75D2"/>
    <w:rsid w:val="00622FAE"/>
    <w:rsid w:val="00643DF9"/>
    <w:rsid w:val="0066420E"/>
    <w:rsid w:val="00691C8D"/>
    <w:rsid w:val="006A6812"/>
    <w:rsid w:val="006C1A15"/>
    <w:rsid w:val="006D137A"/>
    <w:rsid w:val="006D401F"/>
    <w:rsid w:val="006F2C9D"/>
    <w:rsid w:val="007365D4"/>
    <w:rsid w:val="007905F8"/>
    <w:rsid w:val="007A0841"/>
    <w:rsid w:val="007B4709"/>
    <w:rsid w:val="0086238E"/>
    <w:rsid w:val="008844E6"/>
    <w:rsid w:val="008B24E4"/>
    <w:rsid w:val="008B6F69"/>
    <w:rsid w:val="00901A6C"/>
    <w:rsid w:val="009B5243"/>
    <w:rsid w:val="009C2ACB"/>
    <w:rsid w:val="00A02737"/>
    <w:rsid w:val="00A3408D"/>
    <w:rsid w:val="00A63BFE"/>
    <w:rsid w:val="00A802E9"/>
    <w:rsid w:val="00A91C76"/>
    <w:rsid w:val="00AD0DA2"/>
    <w:rsid w:val="00AD4D09"/>
    <w:rsid w:val="00AE3344"/>
    <w:rsid w:val="00B05CCD"/>
    <w:rsid w:val="00B10427"/>
    <w:rsid w:val="00B12450"/>
    <w:rsid w:val="00B13949"/>
    <w:rsid w:val="00B304C8"/>
    <w:rsid w:val="00B37A94"/>
    <w:rsid w:val="00B45599"/>
    <w:rsid w:val="00B53877"/>
    <w:rsid w:val="00B56292"/>
    <w:rsid w:val="00B71D51"/>
    <w:rsid w:val="00B7686B"/>
    <w:rsid w:val="00BA61CF"/>
    <w:rsid w:val="00BD0DE9"/>
    <w:rsid w:val="00BF6420"/>
    <w:rsid w:val="00C30B77"/>
    <w:rsid w:val="00C55739"/>
    <w:rsid w:val="00C839B4"/>
    <w:rsid w:val="00CC298E"/>
    <w:rsid w:val="00CC459E"/>
    <w:rsid w:val="00CC475F"/>
    <w:rsid w:val="00CE4719"/>
    <w:rsid w:val="00D10C1A"/>
    <w:rsid w:val="00D30035"/>
    <w:rsid w:val="00D80E98"/>
    <w:rsid w:val="00D9737D"/>
    <w:rsid w:val="00DF67ED"/>
    <w:rsid w:val="00E00BF9"/>
    <w:rsid w:val="00E76CC8"/>
    <w:rsid w:val="00EA739A"/>
    <w:rsid w:val="00EB553D"/>
    <w:rsid w:val="00F05558"/>
    <w:rsid w:val="00F25518"/>
    <w:rsid w:val="00F34F19"/>
    <w:rsid w:val="00F366CC"/>
    <w:rsid w:val="00F66888"/>
    <w:rsid w:val="00FB6730"/>
    <w:rsid w:val="00FD1AC9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47B9"/>
  <w15:docId w15:val="{4031709F-037C-430E-BFB6-82CC077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42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37D"/>
    <w:rPr>
      <w:sz w:val="20"/>
      <w:szCs w:val="20"/>
    </w:rPr>
  </w:style>
  <w:style w:type="character" w:customStyle="1" w:styleId="eop">
    <w:name w:val="eop"/>
    <w:basedOn w:val="DefaultParagraphFont"/>
    <w:rsid w:val="00F05558"/>
  </w:style>
  <w:style w:type="paragraph" w:styleId="Header">
    <w:name w:val="header"/>
    <w:basedOn w:val="Normal"/>
    <w:link w:val="HeaderChar"/>
    <w:uiPriority w:val="99"/>
    <w:unhideWhenUsed/>
    <w:rsid w:val="00AD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09"/>
  </w:style>
  <w:style w:type="paragraph" w:styleId="Footer">
    <w:name w:val="footer"/>
    <w:basedOn w:val="Normal"/>
    <w:link w:val="FooterChar"/>
    <w:uiPriority w:val="99"/>
    <w:unhideWhenUsed/>
    <w:rsid w:val="00AD4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09"/>
  </w:style>
  <w:style w:type="paragraph" w:styleId="BalloonText">
    <w:name w:val="Balloon Text"/>
    <w:basedOn w:val="Normal"/>
    <w:link w:val="BalloonTextChar"/>
    <w:uiPriority w:val="99"/>
    <w:semiHidden/>
    <w:unhideWhenUsed/>
    <w:rsid w:val="00F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C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7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6F55"/>
    <w:pPr>
      <w:ind w:left="720"/>
      <w:contextualSpacing/>
    </w:pPr>
  </w:style>
  <w:style w:type="paragraph" w:styleId="Revision">
    <w:name w:val="Revision"/>
    <w:hidden/>
    <w:uiPriority w:val="99"/>
    <w:semiHidden/>
    <w:rsid w:val="00E00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 Schweitzer</dc:creator>
  <cp:lastModifiedBy>Julie B Schweitzer</cp:lastModifiedBy>
  <cp:revision>2</cp:revision>
  <dcterms:created xsi:type="dcterms:W3CDTF">2024-02-26T19:05:00Z</dcterms:created>
  <dcterms:modified xsi:type="dcterms:W3CDTF">2024-02-26T19:05:00Z</dcterms:modified>
</cp:coreProperties>
</file>