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160" w14:textId="77777777" w:rsidR="007F781D" w:rsidRDefault="004017D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Supplementary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Material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(SM)</w:t>
      </w:r>
    </w:p>
    <w:p w14:paraId="4C157B7A" w14:textId="77777777" w:rsidR="007F781D" w:rsidRDefault="004017D0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Factor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Analysis for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Scale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Pandemic-Related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Difficulties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Adolescents</w:t>
      </w:r>
      <w:proofErr w:type="spellEnd"/>
    </w:p>
    <w:p w14:paraId="6F2EDBB9" w14:textId="77777777" w:rsidR="007F781D" w:rsidRDefault="004017D0">
      <w:pPr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data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suitable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Kaiser-Meyer-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measure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.82 was high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Bartlett's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sphericity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Chi2(120) = 1927.26,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.001.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data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adequate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exploratory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component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correlation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matrix. As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correlations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components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(.12-.44), 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eigenvalue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64%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S1). 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high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ross-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eigenvalue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1.0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61%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S2):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Household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elationship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ifficulties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overloaded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problematic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coming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stationary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α = .726), (ii)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connections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extracurricular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recreational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COVID-19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restrictions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α = .</w:t>
      </w:r>
      <w:r>
        <w:rPr>
          <w:rFonts w:ascii="Times New Roman" w:eastAsia="Times New Roman" w:hAnsi="Times New Roman" w:cs="Times New Roman"/>
          <w:color w:val="010205"/>
          <w:sz w:val="24"/>
          <w:szCs w:val="24"/>
        </w:rPr>
        <w:t>836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and (ii)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uncertainty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Covid-19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infection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α = .786).</w:t>
      </w:r>
    </w:p>
    <w:p w14:paraId="73B03154" w14:textId="77777777" w:rsidR="007F781D" w:rsidRDefault="004017D0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615DB9" w14:textId="77777777" w:rsidR="007F781D" w:rsidRDefault="004017D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75565F0" w14:textId="77777777" w:rsidR="007F781D" w:rsidRDefault="004017D0">
      <w:p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Loadings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initial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Exploratory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Analysis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Pandemic-Related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Adolescents</w:t>
      </w:r>
      <w:proofErr w:type="spellEnd"/>
    </w:p>
    <w:tbl>
      <w:tblPr>
        <w:tblStyle w:val="a1"/>
        <w:tblW w:w="906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9"/>
        <w:gridCol w:w="826"/>
        <w:gridCol w:w="585"/>
        <w:gridCol w:w="585"/>
        <w:gridCol w:w="585"/>
      </w:tblGrid>
      <w:tr w:rsidR="007F781D" w14:paraId="3BFEC29A" w14:textId="77777777">
        <w:trPr>
          <w:trHeight w:val="495"/>
        </w:trPr>
        <w:tc>
          <w:tcPr>
            <w:tcW w:w="64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3478F5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1147DE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Component</w:t>
            </w:r>
          </w:p>
        </w:tc>
      </w:tr>
      <w:tr w:rsidR="007F781D" w14:paraId="084CD54B" w14:textId="77777777">
        <w:trPr>
          <w:trHeight w:val="495"/>
        </w:trPr>
        <w:tc>
          <w:tcPr>
            <w:tcW w:w="64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7C5534" w14:textId="77777777" w:rsidR="007F781D" w:rsidRDefault="007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DD7BC4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E1D9CE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6D983D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764549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F781D" w14:paraId="42CA67CB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9F5493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7C32F7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.848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BC03FA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F143EA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C76DC2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1F14002C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FCB90D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Closure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theaters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540D8D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.817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98AE4A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634571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6BE3EF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0A8156B3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57623D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Restrictions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pursuing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interests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609838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.791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BCA949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B722A0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B80415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10AE7CED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E7D16E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real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acquaintances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5A343A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926D4D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77E50E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9B523A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.329</w:t>
            </w:r>
          </w:p>
        </w:tc>
      </w:tr>
      <w:tr w:rsidR="007F781D" w14:paraId="4092B863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FB3B56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inconvenience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having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maintain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distancing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restrictions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gatherings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1FFE4E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.581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36BA252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33EEF2B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6A141F" w14:textId="77777777" w:rsidR="007F781D" w:rsidRDefault="00401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.497</w:t>
            </w:r>
          </w:p>
        </w:tc>
      </w:tr>
      <w:tr w:rsidR="007F781D" w14:paraId="0C97DFB3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B8809C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inconvenience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wearing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masks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2AC7EC" w14:textId="77777777" w:rsidR="007F781D" w:rsidRDefault="00401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.523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448E1C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10CBF29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0E4C75" w14:textId="77777777" w:rsidR="007F781D" w:rsidRDefault="004017D0">
            <w:pPr>
              <w:widowControl w:val="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.418</w:t>
            </w:r>
          </w:p>
        </w:tc>
      </w:tr>
      <w:tr w:rsidR="007F781D" w14:paraId="04E35FAC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6D9C89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duties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1B0AB0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75D063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C846A0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4A27BE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3A746495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D9ED14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68D675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F81734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9EF16C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A0734F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781D" w14:paraId="7182EDA4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437B87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E6A3E4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2A1DFF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.665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CD9401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B3D86F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781D" w14:paraId="2C676A27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E3AC2E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514771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2E6EA6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.646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57C3C7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FE6B4F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781D" w14:paraId="3618E969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601357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family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coronavirus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D2BAC8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54841D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5D374F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.894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1FA566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781D" w14:paraId="04E079B2" w14:textId="77777777">
        <w:trPr>
          <w:trHeight w:val="100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BF3330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coronavirus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1BC021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A6B064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C9D695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.857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39B4F9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781D" w14:paraId="32327F78" w14:textId="77777777">
        <w:trPr>
          <w:trHeight w:val="100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A965DA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Uncertainty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B51AE9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D637C1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25E285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.668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6FE85F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781D" w14:paraId="74A9D019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50FB47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Remote learning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C4C714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1646DF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A9B58C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A6A236" w14:textId="77777777" w:rsidR="007F781D" w:rsidRDefault="004017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.726</w:t>
            </w:r>
          </w:p>
        </w:tc>
      </w:tr>
      <w:tr w:rsidR="007F781D" w14:paraId="4486803F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A15129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B351F6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C0975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.348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E3A518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417086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.646</w:t>
            </w:r>
          </w:p>
        </w:tc>
      </w:tr>
      <w:tr w:rsidR="007F781D" w14:paraId="5B6AA509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F2DA3C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Boredom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monotony</w:t>
            </w:r>
            <w:proofErr w:type="spellEnd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AB1878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D6AA5C" w14:textId="77777777" w:rsidR="007F781D" w:rsidRDefault="004017D0">
            <w:pPr>
              <w:widowControl w:val="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.473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523B13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B135D2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</w:rPr>
              <w:t>.566</w:t>
            </w:r>
          </w:p>
        </w:tc>
      </w:tr>
    </w:tbl>
    <w:p w14:paraId="254A2BC1" w14:textId="77777777" w:rsidR="007F781D" w:rsidRDefault="004017D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Note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Method was a principal component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varimax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 Kaiser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normalization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smaller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± .30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297D4AA7" w14:textId="77777777" w:rsidR="007F781D" w:rsidRDefault="007F781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46A5C3B5" w14:textId="77777777" w:rsidR="007F781D" w:rsidRDefault="004017D0">
      <w:pPr>
        <w:spacing w:before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Loadings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Exploratory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Analysis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Pandemic-Related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Adolescents</w:t>
      </w:r>
      <w:proofErr w:type="spellEnd"/>
    </w:p>
    <w:tbl>
      <w:tblPr>
        <w:tblStyle w:val="a2"/>
        <w:tblW w:w="847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9"/>
        <w:gridCol w:w="826"/>
        <w:gridCol w:w="585"/>
        <w:gridCol w:w="585"/>
      </w:tblGrid>
      <w:tr w:rsidR="007F781D" w14:paraId="3BF8DD32" w14:textId="77777777">
        <w:trPr>
          <w:gridAfter w:val="3"/>
          <w:wAfter w:w="1996" w:type="dxa"/>
          <w:trHeight w:val="495"/>
        </w:trPr>
        <w:tc>
          <w:tcPr>
            <w:tcW w:w="64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051C4D4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F781D" w14:paraId="108A0ED8" w14:textId="77777777">
        <w:trPr>
          <w:trHeight w:val="495"/>
        </w:trPr>
        <w:tc>
          <w:tcPr>
            <w:tcW w:w="64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54A9B62" w14:textId="77777777" w:rsidR="007F781D" w:rsidRDefault="007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37DEBC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68ADDC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E2A96A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F781D" w14:paraId="068DA283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824F3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possibility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5E45C3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.842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A70842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F48B36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6652E27D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A033DD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Restrictions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pursuing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interests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F26892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.833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A2873A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2A92E9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4BD9A48F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C7BA57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real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acquaintances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4468C8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.808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49DF1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DC05DD" w14:textId="77777777" w:rsidR="007F781D" w:rsidRDefault="007F78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44C5872D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8AE168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Closure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theaters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F63C5B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.732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64659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75B5A0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0F0E2AE4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FB132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9DC1EC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.542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25771E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.352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578175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74D3E003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027F3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Remote learning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5954D2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.534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17B0F7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ECC1CE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3E4D74B7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45CDBE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duties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F2FF90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315CD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.749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80ED3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81D" w14:paraId="0E077FD7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8375EF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to stadiony learning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50296B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51AE50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8EEA2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781D" w14:paraId="08879C47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C01D6B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356231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.345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04E737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.718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26F4BD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F781D" w14:paraId="138A0E4F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830A50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2F8A94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.302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E40D0E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.641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D5C241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highlight w:val="white"/>
              </w:rPr>
            </w:pPr>
          </w:p>
        </w:tc>
      </w:tr>
      <w:tr w:rsidR="007F781D" w14:paraId="49105353" w14:textId="77777777">
        <w:trPr>
          <w:trHeight w:val="76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53A63F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family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coronavirus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1D858B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990A59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2EE4E7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.905</w:t>
            </w:r>
          </w:p>
        </w:tc>
      </w:tr>
      <w:tr w:rsidR="007F781D" w14:paraId="4948F528" w14:textId="77777777">
        <w:trPr>
          <w:trHeight w:val="100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597617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coronavirus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140928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AFEADE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22E59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.850</w:t>
            </w:r>
          </w:p>
        </w:tc>
      </w:tr>
      <w:tr w:rsidR="007F781D" w14:paraId="73515844" w14:textId="77777777">
        <w:trPr>
          <w:trHeight w:val="1005"/>
        </w:trPr>
        <w:tc>
          <w:tcPr>
            <w:tcW w:w="6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F1DDDF" w14:textId="77777777" w:rsidR="007F781D" w:rsidRDefault="004017D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Uncertainty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D95B6C" w14:textId="77777777" w:rsidR="007F781D" w:rsidRDefault="007F781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952CE8" w14:textId="77777777" w:rsidR="007F781D" w:rsidRDefault="007F78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E87EB2" w14:textId="77777777" w:rsidR="007F781D" w:rsidRDefault="004017D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10205"/>
                <w:sz w:val="24"/>
                <w:szCs w:val="24"/>
              </w:rPr>
              <w:t>.697</w:t>
            </w:r>
          </w:p>
        </w:tc>
      </w:tr>
    </w:tbl>
    <w:p w14:paraId="12B419C6" w14:textId="77777777" w:rsidR="007F781D" w:rsidRDefault="004017D0">
      <w:pPr>
        <w:spacing w:before="240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Note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Method was a principal component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varimax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 Kaiser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normalization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smaller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± .30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224D7827" w14:textId="77777777" w:rsidR="007F781D" w:rsidRDefault="007F781D">
      <w:pPr>
        <w:spacing w:before="240"/>
      </w:pPr>
    </w:p>
    <w:sectPr w:rsidR="007F78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1D"/>
    <w:rsid w:val="004017D0"/>
    <w:rsid w:val="007F781D"/>
    <w:rsid w:val="00C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6910"/>
  <w15:docId w15:val="{3A7E7DEC-0853-476A-A9F1-0AF146B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D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osWsfHxVEz/IsW1m2h+vvd2kQ==">AMUW2mUbi+bydZY4z1b2EpYqoAMB3hWM2LSnSZpoit8JfaBnZLQfkDEipD3bLuiXchE0KTXtKinhIk1rKccDWDY1MC93EpaSzkFWBuHbN12FmkNl1PAnsKlsXKtcvaE4+P/Ny/217xdZNc4F/t+vyiY8cettQ/uT0QFBk3DVPZJ4gOAiGQPhGfl14OAiZZLjPEu/VL0umZjdnHPW01qx0vPonRJJvaPU6M4IR+q5g1s30fBq4oiaiL6ZVl0aoJvDd9D676wzj56w/rqgbFOKvFoaQFSI+cKiVr9WtS2/RYshseGDdRZp6NXU54q/ZLJztjcXEU75K+ugMVBKmFcDnsqI2hEUJf8+2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3449</Characters>
  <Application>Microsoft Office Word</Application>
  <DocSecurity>0</DocSecurity>
  <Lines>191</Lines>
  <Paragraphs>98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Malgorzata Gambin</cp:lastModifiedBy>
  <cp:revision>2</cp:revision>
  <dcterms:created xsi:type="dcterms:W3CDTF">2023-06-27T12:02:00Z</dcterms:created>
  <dcterms:modified xsi:type="dcterms:W3CDTF">2023-06-27T12:02:00Z</dcterms:modified>
</cp:coreProperties>
</file>