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3256"/>
        <w:gridCol w:w="1451"/>
        <w:gridCol w:w="1452"/>
        <w:gridCol w:w="1451"/>
        <w:gridCol w:w="1452"/>
      </w:tblGrid>
      <w:tr w:rsidR="008D1660" w:rsidRPr="00825466" w:rsidTr="008D1660">
        <w:tc>
          <w:tcPr>
            <w:tcW w:w="3256" w:type="dxa"/>
          </w:tcPr>
          <w:p w:rsidR="00123347" w:rsidRPr="00825466" w:rsidRDefault="007C4077">
            <w:pPr>
              <w:rPr>
                <w:rFonts w:ascii="Times New Roman" w:hAnsi="Times New Roman" w:cs="Times New Roman"/>
                <w:b/>
                <w:sz w:val="16"/>
                <w:szCs w:val="16"/>
                <w:lang w:val="en-US"/>
              </w:rPr>
            </w:pPr>
            <w:r w:rsidRPr="00825466">
              <w:rPr>
                <w:rFonts w:ascii="Times New Roman" w:hAnsi="Times New Roman" w:cs="Times New Roman"/>
                <w:b/>
                <w:sz w:val="16"/>
                <w:szCs w:val="16"/>
                <w:lang w:val="en-US"/>
              </w:rPr>
              <w:t>Part of article: coded t</w:t>
            </w:r>
            <w:r w:rsidR="00123347" w:rsidRPr="00825466">
              <w:rPr>
                <w:rFonts w:ascii="Times New Roman" w:hAnsi="Times New Roman" w:cs="Times New Roman"/>
                <w:b/>
                <w:sz w:val="16"/>
                <w:szCs w:val="16"/>
                <w:lang w:val="en-US"/>
              </w:rPr>
              <w:t>ext (reference)</w:t>
            </w:r>
          </w:p>
        </w:tc>
        <w:tc>
          <w:tcPr>
            <w:tcW w:w="1451" w:type="dxa"/>
          </w:tcPr>
          <w:p w:rsidR="00123347" w:rsidRPr="00825466" w:rsidRDefault="00123347">
            <w:pPr>
              <w:rPr>
                <w:rFonts w:ascii="Times New Roman" w:hAnsi="Times New Roman" w:cs="Times New Roman"/>
                <w:b/>
                <w:sz w:val="16"/>
                <w:szCs w:val="16"/>
              </w:rPr>
            </w:pPr>
            <w:r w:rsidRPr="00825466">
              <w:rPr>
                <w:rFonts w:ascii="Times New Roman" w:hAnsi="Times New Roman" w:cs="Times New Roman"/>
                <w:b/>
                <w:sz w:val="16"/>
                <w:szCs w:val="16"/>
              </w:rPr>
              <w:t>Code</w:t>
            </w:r>
          </w:p>
        </w:tc>
        <w:tc>
          <w:tcPr>
            <w:tcW w:w="1452" w:type="dxa"/>
          </w:tcPr>
          <w:p w:rsidR="00123347" w:rsidRPr="00825466" w:rsidRDefault="00123347">
            <w:pPr>
              <w:rPr>
                <w:rFonts w:ascii="Times New Roman" w:hAnsi="Times New Roman" w:cs="Times New Roman"/>
                <w:b/>
                <w:sz w:val="16"/>
                <w:szCs w:val="16"/>
              </w:rPr>
            </w:pPr>
            <w:r w:rsidRPr="00825466">
              <w:rPr>
                <w:rFonts w:ascii="Times New Roman" w:hAnsi="Times New Roman" w:cs="Times New Roman"/>
                <w:b/>
                <w:sz w:val="16"/>
                <w:szCs w:val="16"/>
              </w:rPr>
              <w:t>Descriptive theme (barrier/facilitator)</w:t>
            </w:r>
          </w:p>
        </w:tc>
        <w:tc>
          <w:tcPr>
            <w:tcW w:w="1451" w:type="dxa"/>
          </w:tcPr>
          <w:p w:rsidR="00123347" w:rsidRPr="00825466" w:rsidRDefault="00123347">
            <w:pPr>
              <w:rPr>
                <w:rFonts w:ascii="Times New Roman" w:hAnsi="Times New Roman" w:cs="Times New Roman"/>
                <w:b/>
                <w:sz w:val="16"/>
                <w:szCs w:val="16"/>
              </w:rPr>
            </w:pPr>
            <w:r w:rsidRPr="00825466">
              <w:rPr>
                <w:rFonts w:ascii="Times New Roman" w:hAnsi="Times New Roman" w:cs="Times New Roman"/>
                <w:b/>
                <w:sz w:val="16"/>
                <w:szCs w:val="16"/>
              </w:rPr>
              <w:t>Analytical theme</w:t>
            </w:r>
          </w:p>
        </w:tc>
        <w:tc>
          <w:tcPr>
            <w:tcW w:w="1452" w:type="dxa"/>
          </w:tcPr>
          <w:p w:rsidR="00123347" w:rsidRPr="00825466" w:rsidRDefault="00123347">
            <w:pPr>
              <w:rPr>
                <w:rFonts w:ascii="Times New Roman" w:hAnsi="Times New Roman" w:cs="Times New Roman"/>
                <w:b/>
                <w:sz w:val="16"/>
                <w:szCs w:val="16"/>
              </w:rPr>
            </w:pPr>
            <w:r w:rsidRPr="00825466">
              <w:rPr>
                <w:rFonts w:ascii="Times New Roman" w:hAnsi="Times New Roman" w:cs="Times New Roman"/>
                <w:b/>
                <w:sz w:val="16"/>
                <w:szCs w:val="16"/>
              </w:rPr>
              <w:t>WHO dimension</w:t>
            </w:r>
          </w:p>
        </w:tc>
      </w:tr>
      <w:tr w:rsidR="008D1660" w:rsidRPr="00825466" w:rsidTr="008D1660">
        <w:tc>
          <w:tcPr>
            <w:tcW w:w="3256" w:type="dxa"/>
          </w:tcPr>
          <w:p w:rsidR="00BE54D9" w:rsidRPr="00825466" w:rsidRDefault="00BE54D9" w:rsidP="004B597C">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Result section: The main reason for not ingesting the protocolized protein intake was due to taste and texture (</w:t>
            </w:r>
            <w:proofErr w:type="spellStart"/>
            <w:r w:rsidRPr="00825466">
              <w:rPr>
                <w:rFonts w:ascii="Times New Roman" w:hAnsi="Times New Roman" w:cs="Times New Roman"/>
                <w:sz w:val="16"/>
                <w:szCs w:val="16"/>
                <w:lang w:val="en-US"/>
              </w:rPr>
              <w:t>Bojesen</w:t>
            </w:r>
            <w:proofErr w:type="spellEnd"/>
            <w:r w:rsidRPr="00825466">
              <w:rPr>
                <w:rFonts w:ascii="Times New Roman" w:hAnsi="Times New Roman" w:cs="Times New Roman"/>
                <w:sz w:val="16"/>
                <w:szCs w:val="16"/>
                <w:lang w:val="en-US"/>
              </w:rPr>
              <w:t xml:space="preserve"> et al.</w:t>
            </w:r>
            <w:r w:rsidR="007667D7" w:rsidRPr="00825466">
              <w:rPr>
                <w:rFonts w:ascii="Times New Roman" w:hAnsi="Times New Roman" w:cs="Times New Roman"/>
                <w:sz w:val="16"/>
                <w:szCs w:val="16"/>
                <w:lang w:val="en-US"/>
              </w:rPr>
              <w:t>,</w:t>
            </w:r>
            <w:r w:rsidRPr="00825466">
              <w:rPr>
                <w:rFonts w:ascii="Times New Roman" w:hAnsi="Times New Roman" w:cs="Times New Roman"/>
                <w:sz w:val="16"/>
                <w:szCs w:val="16"/>
                <w:lang w:val="en-US"/>
              </w:rPr>
              <w:t xml:space="preserve"> 2022)</w:t>
            </w:r>
          </w:p>
          <w:p w:rsidR="00BE54D9" w:rsidRPr="00825466" w:rsidRDefault="00BE54D9">
            <w:pPr>
              <w:rPr>
                <w:rFonts w:ascii="Times New Roman" w:hAnsi="Times New Roman" w:cs="Times New Roman"/>
                <w:sz w:val="16"/>
                <w:szCs w:val="16"/>
                <w:lang w:val="en-US"/>
              </w:rPr>
            </w:pPr>
          </w:p>
        </w:tc>
        <w:tc>
          <w:tcPr>
            <w:tcW w:w="1451" w:type="dxa"/>
            <w:vMerge w:val="restart"/>
          </w:tcPr>
          <w:p w:rsidR="00BE54D9" w:rsidRPr="00825466" w:rsidRDefault="00BE54D9">
            <w:pPr>
              <w:rPr>
                <w:rFonts w:ascii="Times New Roman" w:hAnsi="Times New Roman" w:cs="Times New Roman"/>
                <w:sz w:val="16"/>
                <w:szCs w:val="16"/>
              </w:rPr>
            </w:pPr>
            <w:r w:rsidRPr="00825466">
              <w:rPr>
                <w:rFonts w:ascii="Times New Roman" w:hAnsi="Times New Roman" w:cs="Times New Roman"/>
                <w:sz w:val="16"/>
                <w:szCs w:val="16"/>
              </w:rPr>
              <w:t>Dislike taste (B)</w:t>
            </w:r>
          </w:p>
        </w:tc>
        <w:tc>
          <w:tcPr>
            <w:tcW w:w="1452" w:type="dxa"/>
            <w:vMerge w:val="restart"/>
          </w:tcPr>
          <w:p w:rsidR="00BE54D9" w:rsidRPr="00825466" w:rsidRDefault="00BE54D9">
            <w:pPr>
              <w:rPr>
                <w:rFonts w:ascii="Times New Roman" w:hAnsi="Times New Roman" w:cs="Times New Roman"/>
                <w:sz w:val="16"/>
                <w:szCs w:val="16"/>
                <w:lang w:val="en-US"/>
              </w:rPr>
            </w:pPr>
            <w:r w:rsidRPr="00825466">
              <w:rPr>
                <w:rFonts w:ascii="Times New Roman" w:hAnsi="Times New Roman" w:cs="Times New Roman"/>
                <w:sz w:val="16"/>
                <w:szCs w:val="16"/>
                <w:lang w:val="en-US"/>
              </w:rPr>
              <w:t>Poor acceptance and taste (B)</w:t>
            </w:r>
          </w:p>
        </w:tc>
        <w:tc>
          <w:tcPr>
            <w:tcW w:w="1451" w:type="dxa"/>
            <w:vMerge w:val="restart"/>
          </w:tcPr>
          <w:p w:rsidR="00BE54D9" w:rsidRPr="00825466" w:rsidRDefault="00BE54D9">
            <w:pPr>
              <w:rPr>
                <w:rFonts w:ascii="Times New Roman" w:hAnsi="Times New Roman" w:cs="Times New Roman"/>
                <w:sz w:val="16"/>
                <w:szCs w:val="16"/>
                <w:lang w:val="en-US"/>
              </w:rPr>
            </w:pPr>
            <w:r w:rsidRPr="00825466">
              <w:rPr>
                <w:rFonts w:ascii="Times New Roman" w:hAnsi="Times New Roman" w:cs="Times New Roman"/>
                <w:sz w:val="16"/>
                <w:szCs w:val="16"/>
                <w:lang w:val="en-US"/>
              </w:rPr>
              <w:t>An ONS format with satisfactory product and sensory properties</w:t>
            </w:r>
          </w:p>
        </w:tc>
        <w:tc>
          <w:tcPr>
            <w:tcW w:w="1452" w:type="dxa"/>
            <w:vMerge w:val="restart"/>
          </w:tcPr>
          <w:p w:rsidR="00BE54D9" w:rsidRPr="00825466" w:rsidRDefault="00BE54D9">
            <w:pPr>
              <w:rPr>
                <w:rFonts w:ascii="Times New Roman" w:hAnsi="Times New Roman" w:cs="Times New Roman"/>
                <w:sz w:val="16"/>
                <w:szCs w:val="16"/>
              </w:rPr>
            </w:pPr>
            <w:r w:rsidRPr="00825466">
              <w:rPr>
                <w:rFonts w:ascii="Times New Roman" w:hAnsi="Times New Roman" w:cs="Times New Roman"/>
                <w:sz w:val="16"/>
                <w:szCs w:val="16"/>
              </w:rPr>
              <w:t>Therapy-related dimension</w:t>
            </w:r>
          </w:p>
        </w:tc>
      </w:tr>
      <w:tr w:rsidR="008D1660" w:rsidRPr="00825466" w:rsidTr="008D1660">
        <w:tc>
          <w:tcPr>
            <w:tcW w:w="3256" w:type="dxa"/>
          </w:tcPr>
          <w:p w:rsidR="00BE54D9" w:rsidRPr="00825466" w:rsidRDefault="00BE54D9" w:rsidP="004B597C">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Result section: 17% of patients reported that if they were offered ONS they declined to accept it due to various reasons (nausea, did not like it, did not feel well, etc). (</w:t>
            </w:r>
            <w:proofErr w:type="spellStart"/>
            <w:r w:rsidRPr="00825466">
              <w:rPr>
                <w:rFonts w:ascii="Times New Roman" w:hAnsi="Times New Roman" w:cs="Times New Roman"/>
                <w:sz w:val="16"/>
                <w:szCs w:val="16"/>
                <w:lang w:val="en-US"/>
              </w:rPr>
              <w:t>Citty</w:t>
            </w:r>
            <w:proofErr w:type="spellEnd"/>
            <w:r w:rsidRPr="00825466">
              <w:rPr>
                <w:rFonts w:ascii="Times New Roman" w:hAnsi="Times New Roman" w:cs="Times New Roman"/>
                <w:sz w:val="16"/>
                <w:szCs w:val="16"/>
                <w:lang w:val="en-US"/>
              </w:rPr>
              <w:t xml:space="preserve"> et al.</w:t>
            </w:r>
            <w:r w:rsidR="007667D7" w:rsidRPr="00825466">
              <w:rPr>
                <w:rFonts w:ascii="Times New Roman" w:hAnsi="Times New Roman" w:cs="Times New Roman"/>
                <w:sz w:val="16"/>
                <w:szCs w:val="16"/>
                <w:lang w:val="en-US"/>
              </w:rPr>
              <w:t xml:space="preserve">, </w:t>
            </w:r>
            <w:r w:rsidRPr="00825466">
              <w:rPr>
                <w:rFonts w:ascii="Times New Roman" w:hAnsi="Times New Roman" w:cs="Times New Roman"/>
                <w:sz w:val="16"/>
                <w:szCs w:val="16"/>
                <w:lang w:val="en-US"/>
              </w:rPr>
              <w:t>2017)</w:t>
            </w:r>
          </w:p>
          <w:p w:rsidR="00BE54D9" w:rsidRPr="00825466" w:rsidRDefault="00BE54D9" w:rsidP="004B597C">
            <w:pPr>
              <w:pStyle w:val="Normal0"/>
              <w:rPr>
                <w:rFonts w:ascii="Times New Roman" w:hAnsi="Times New Roman" w:cs="Times New Roman"/>
                <w:sz w:val="16"/>
                <w:szCs w:val="16"/>
                <w:lang w:val="en-US"/>
              </w:rPr>
            </w:pPr>
          </w:p>
        </w:tc>
        <w:tc>
          <w:tcPr>
            <w:tcW w:w="1451" w:type="dxa"/>
            <w:vMerge/>
          </w:tcPr>
          <w:p w:rsidR="00BE54D9" w:rsidRPr="00825466" w:rsidRDefault="00BE54D9">
            <w:pPr>
              <w:rPr>
                <w:rFonts w:ascii="Times New Roman" w:hAnsi="Times New Roman" w:cs="Times New Roman"/>
                <w:sz w:val="16"/>
                <w:szCs w:val="16"/>
                <w:lang w:val="en-US"/>
              </w:rPr>
            </w:pPr>
          </w:p>
        </w:tc>
        <w:tc>
          <w:tcPr>
            <w:tcW w:w="1452" w:type="dxa"/>
            <w:vMerge/>
          </w:tcPr>
          <w:p w:rsidR="00BE54D9" w:rsidRPr="00825466" w:rsidRDefault="00BE54D9">
            <w:pPr>
              <w:rPr>
                <w:rFonts w:ascii="Times New Roman" w:hAnsi="Times New Roman" w:cs="Times New Roman"/>
                <w:sz w:val="16"/>
                <w:szCs w:val="16"/>
                <w:lang w:val="en-US"/>
              </w:rPr>
            </w:pPr>
          </w:p>
        </w:tc>
        <w:tc>
          <w:tcPr>
            <w:tcW w:w="1451" w:type="dxa"/>
            <w:vMerge/>
          </w:tcPr>
          <w:p w:rsidR="00BE54D9" w:rsidRPr="00825466" w:rsidRDefault="00BE54D9">
            <w:pPr>
              <w:rPr>
                <w:rFonts w:ascii="Times New Roman" w:hAnsi="Times New Roman" w:cs="Times New Roman"/>
                <w:sz w:val="16"/>
                <w:szCs w:val="16"/>
                <w:lang w:val="en-US"/>
              </w:rPr>
            </w:pPr>
          </w:p>
        </w:tc>
        <w:tc>
          <w:tcPr>
            <w:tcW w:w="1452" w:type="dxa"/>
            <w:vMerge/>
          </w:tcPr>
          <w:p w:rsidR="00BE54D9" w:rsidRPr="00825466" w:rsidRDefault="00BE54D9">
            <w:pPr>
              <w:rPr>
                <w:rFonts w:ascii="Times New Roman" w:hAnsi="Times New Roman" w:cs="Times New Roman"/>
                <w:sz w:val="16"/>
                <w:szCs w:val="16"/>
                <w:lang w:val="en-US"/>
              </w:rPr>
            </w:pPr>
          </w:p>
        </w:tc>
      </w:tr>
      <w:tr w:rsidR="008D1660" w:rsidRPr="00825466" w:rsidTr="008D1660">
        <w:tc>
          <w:tcPr>
            <w:tcW w:w="3256" w:type="dxa"/>
          </w:tcPr>
          <w:p w:rsidR="00BE54D9" w:rsidRPr="00825466" w:rsidRDefault="00BE54D9" w:rsidP="007C4077">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Discussion section: In this inpatient context, clinicians offered a choice of various ONS flavors and categories, but repeated intake of the same ONS over time may contribute to monotony and the abandoning of ONS. (de Luis et al.</w:t>
            </w:r>
            <w:r w:rsidR="007667D7" w:rsidRPr="00825466">
              <w:rPr>
                <w:rFonts w:ascii="Times New Roman" w:hAnsi="Times New Roman" w:cs="Times New Roman"/>
                <w:sz w:val="16"/>
                <w:szCs w:val="16"/>
                <w:lang w:val="en-US"/>
              </w:rPr>
              <w:t xml:space="preserve">, </w:t>
            </w:r>
            <w:r w:rsidRPr="00825466">
              <w:rPr>
                <w:rFonts w:ascii="Times New Roman" w:hAnsi="Times New Roman" w:cs="Times New Roman"/>
                <w:sz w:val="16"/>
                <w:szCs w:val="16"/>
                <w:lang w:val="en-US"/>
              </w:rPr>
              <w:t>2015)</w:t>
            </w:r>
          </w:p>
          <w:p w:rsidR="00BE54D9" w:rsidRPr="00825466" w:rsidRDefault="00BE54D9">
            <w:pPr>
              <w:rPr>
                <w:rFonts w:ascii="Times New Roman" w:hAnsi="Times New Roman" w:cs="Times New Roman"/>
                <w:sz w:val="16"/>
                <w:szCs w:val="16"/>
                <w:lang w:val="en-US"/>
              </w:rPr>
            </w:pPr>
          </w:p>
        </w:tc>
        <w:tc>
          <w:tcPr>
            <w:tcW w:w="1451" w:type="dxa"/>
          </w:tcPr>
          <w:p w:rsidR="00BE54D9" w:rsidRPr="00825466" w:rsidRDefault="00BE54D9">
            <w:pPr>
              <w:rPr>
                <w:rFonts w:ascii="Times New Roman" w:hAnsi="Times New Roman" w:cs="Times New Roman"/>
                <w:sz w:val="16"/>
                <w:szCs w:val="16"/>
              </w:rPr>
            </w:pPr>
            <w:r w:rsidRPr="00825466">
              <w:rPr>
                <w:rFonts w:ascii="Times New Roman" w:hAnsi="Times New Roman" w:cs="Times New Roman"/>
                <w:sz w:val="16"/>
                <w:szCs w:val="16"/>
              </w:rPr>
              <w:t>Flavour fatique (B)</w:t>
            </w:r>
          </w:p>
        </w:tc>
        <w:tc>
          <w:tcPr>
            <w:tcW w:w="1452" w:type="dxa"/>
            <w:vMerge/>
          </w:tcPr>
          <w:p w:rsidR="00BE54D9" w:rsidRPr="00825466" w:rsidRDefault="00BE54D9">
            <w:pPr>
              <w:rPr>
                <w:rFonts w:ascii="Times New Roman" w:hAnsi="Times New Roman" w:cs="Times New Roman"/>
                <w:sz w:val="16"/>
                <w:szCs w:val="16"/>
              </w:rPr>
            </w:pPr>
          </w:p>
        </w:tc>
        <w:tc>
          <w:tcPr>
            <w:tcW w:w="1451" w:type="dxa"/>
            <w:vMerge/>
          </w:tcPr>
          <w:p w:rsidR="00BE54D9" w:rsidRPr="00825466" w:rsidRDefault="00BE54D9">
            <w:pPr>
              <w:rPr>
                <w:rFonts w:ascii="Times New Roman" w:hAnsi="Times New Roman" w:cs="Times New Roman"/>
                <w:sz w:val="16"/>
                <w:szCs w:val="16"/>
              </w:rPr>
            </w:pPr>
          </w:p>
        </w:tc>
        <w:tc>
          <w:tcPr>
            <w:tcW w:w="1452" w:type="dxa"/>
            <w:vMerge/>
          </w:tcPr>
          <w:p w:rsidR="00BE54D9" w:rsidRPr="00825466" w:rsidRDefault="00BE54D9">
            <w:pPr>
              <w:rPr>
                <w:rFonts w:ascii="Times New Roman" w:hAnsi="Times New Roman" w:cs="Times New Roman"/>
                <w:sz w:val="16"/>
                <w:szCs w:val="16"/>
              </w:rPr>
            </w:pPr>
          </w:p>
        </w:tc>
      </w:tr>
      <w:tr w:rsidR="008D1660" w:rsidRPr="00825466" w:rsidTr="008D1660">
        <w:tc>
          <w:tcPr>
            <w:tcW w:w="3256" w:type="dxa"/>
          </w:tcPr>
          <w:p w:rsidR="00BE54D9" w:rsidRPr="00825466" w:rsidRDefault="00BE54D9" w:rsidP="007C4077">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 xml:space="preserve">Result section: However, 1 nurse and 1 intern held some reservations, </w:t>
            </w:r>
          </w:p>
          <w:p w:rsidR="00BE54D9" w:rsidRPr="00825466" w:rsidRDefault="00BE54D9" w:rsidP="007C4077">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expressing concern that some patients refused ONS simply because of taste (too sweet) or flavor fatigue. (Rattray et al.</w:t>
            </w:r>
            <w:r w:rsidR="007667D7" w:rsidRPr="00825466">
              <w:rPr>
                <w:rFonts w:ascii="Times New Roman" w:hAnsi="Times New Roman" w:cs="Times New Roman"/>
                <w:sz w:val="16"/>
                <w:szCs w:val="16"/>
                <w:lang w:val="en-US"/>
              </w:rPr>
              <w:t xml:space="preserve">, </w:t>
            </w:r>
            <w:r w:rsidRPr="00825466">
              <w:rPr>
                <w:rFonts w:ascii="Times New Roman" w:hAnsi="Times New Roman" w:cs="Times New Roman"/>
                <w:sz w:val="16"/>
                <w:szCs w:val="16"/>
                <w:lang w:val="en-US"/>
              </w:rPr>
              <w:t>2020)</w:t>
            </w:r>
          </w:p>
          <w:p w:rsidR="00BE54D9" w:rsidRPr="00825466" w:rsidRDefault="00BE54D9">
            <w:pPr>
              <w:rPr>
                <w:rFonts w:ascii="Times New Roman" w:hAnsi="Times New Roman" w:cs="Times New Roman"/>
                <w:sz w:val="16"/>
                <w:szCs w:val="16"/>
                <w:lang w:val="en-US"/>
              </w:rPr>
            </w:pPr>
          </w:p>
        </w:tc>
        <w:tc>
          <w:tcPr>
            <w:tcW w:w="1451" w:type="dxa"/>
            <w:vMerge w:val="restart"/>
          </w:tcPr>
          <w:p w:rsidR="00BE54D9" w:rsidRPr="00825466" w:rsidRDefault="00BE54D9">
            <w:pPr>
              <w:rPr>
                <w:rFonts w:ascii="Times New Roman" w:hAnsi="Times New Roman" w:cs="Times New Roman"/>
                <w:sz w:val="16"/>
                <w:szCs w:val="16"/>
              </w:rPr>
            </w:pPr>
            <w:r w:rsidRPr="00825466">
              <w:rPr>
                <w:rFonts w:ascii="Times New Roman" w:hAnsi="Times New Roman" w:cs="Times New Roman"/>
                <w:sz w:val="16"/>
                <w:szCs w:val="16"/>
              </w:rPr>
              <w:t>Too Sweet (B)</w:t>
            </w:r>
          </w:p>
        </w:tc>
        <w:tc>
          <w:tcPr>
            <w:tcW w:w="1452" w:type="dxa"/>
            <w:vMerge/>
          </w:tcPr>
          <w:p w:rsidR="00BE54D9" w:rsidRPr="00825466" w:rsidRDefault="00BE54D9">
            <w:pPr>
              <w:rPr>
                <w:rFonts w:ascii="Times New Roman" w:hAnsi="Times New Roman" w:cs="Times New Roman"/>
                <w:sz w:val="16"/>
                <w:szCs w:val="16"/>
              </w:rPr>
            </w:pPr>
          </w:p>
        </w:tc>
        <w:tc>
          <w:tcPr>
            <w:tcW w:w="1451" w:type="dxa"/>
            <w:vMerge/>
          </w:tcPr>
          <w:p w:rsidR="00BE54D9" w:rsidRPr="00825466" w:rsidRDefault="00BE54D9">
            <w:pPr>
              <w:rPr>
                <w:rFonts w:ascii="Times New Roman" w:hAnsi="Times New Roman" w:cs="Times New Roman"/>
                <w:sz w:val="16"/>
                <w:szCs w:val="16"/>
              </w:rPr>
            </w:pPr>
          </w:p>
        </w:tc>
        <w:tc>
          <w:tcPr>
            <w:tcW w:w="1452" w:type="dxa"/>
            <w:vMerge/>
          </w:tcPr>
          <w:p w:rsidR="00BE54D9" w:rsidRPr="00825466" w:rsidRDefault="00BE54D9">
            <w:pPr>
              <w:rPr>
                <w:rFonts w:ascii="Times New Roman" w:hAnsi="Times New Roman" w:cs="Times New Roman"/>
                <w:sz w:val="16"/>
                <w:szCs w:val="16"/>
              </w:rPr>
            </w:pPr>
          </w:p>
        </w:tc>
      </w:tr>
      <w:tr w:rsidR="008D1660" w:rsidRPr="00825466" w:rsidTr="008D1660">
        <w:tc>
          <w:tcPr>
            <w:tcW w:w="3256" w:type="dxa"/>
          </w:tcPr>
          <w:p w:rsidR="00BE54D9" w:rsidRPr="00825466" w:rsidRDefault="00BE54D9" w:rsidP="00BE54D9">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 xml:space="preserve">Result section: The dimension Sensory characteristics was the most </w:t>
            </w:r>
          </w:p>
          <w:p w:rsidR="00BE54D9" w:rsidRPr="00825466" w:rsidRDefault="00BE54D9" w:rsidP="00855541">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frequently mentioned. Most words in this dimension are related to positive characteristics (taste, flavor, specific preferences); negative perceptions included too sweet, bland taste, and dislike. (Enriquez-</w:t>
            </w:r>
            <w:r w:rsidR="007667D7" w:rsidRPr="00825466">
              <w:rPr>
                <w:rFonts w:ascii="Times New Roman" w:hAnsi="Times New Roman" w:cs="Times New Roman"/>
                <w:sz w:val="16"/>
                <w:szCs w:val="16"/>
                <w:lang w:val="en-US"/>
              </w:rPr>
              <w:t xml:space="preserve">Fern et al., </w:t>
            </w:r>
            <w:r w:rsidRPr="00825466">
              <w:rPr>
                <w:rFonts w:ascii="Times New Roman" w:hAnsi="Times New Roman" w:cs="Times New Roman"/>
                <w:sz w:val="16"/>
                <w:szCs w:val="16"/>
                <w:lang w:val="en-US"/>
              </w:rPr>
              <w:t>202</w:t>
            </w:r>
            <w:r w:rsidR="007667D7" w:rsidRPr="00825466">
              <w:rPr>
                <w:rFonts w:ascii="Times New Roman" w:hAnsi="Times New Roman" w:cs="Times New Roman"/>
                <w:sz w:val="16"/>
                <w:szCs w:val="16"/>
                <w:lang w:val="en-US"/>
              </w:rPr>
              <w:t>2</w:t>
            </w:r>
            <w:r w:rsidRPr="00825466">
              <w:rPr>
                <w:rFonts w:ascii="Times New Roman" w:hAnsi="Times New Roman" w:cs="Times New Roman"/>
                <w:sz w:val="16"/>
                <w:szCs w:val="16"/>
                <w:lang w:val="en-US"/>
              </w:rPr>
              <w:t>)</w:t>
            </w:r>
          </w:p>
          <w:p w:rsidR="007667D7" w:rsidRPr="00825466" w:rsidRDefault="007667D7" w:rsidP="00855541">
            <w:pPr>
              <w:pStyle w:val="Normal0"/>
              <w:rPr>
                <w:rFonts w:ascii="Times New Roman" w:hAnsi="Times New Roman" w:cs="Times New Roman"/>
                <w:sz w:val="16"/>
                <w:szCs w:val="16"/>
                <w:lang w:val="en-US"/>
              </w:rPr>
            </w:pPr>
          </w:p>
        </w:tc>
        <w:tc>
          <w:tcPr>
            <w:tcW w:w="1451" w:type="dxa"/>
            <w:vMerge/>
          </w:tcPr>
          <w:p w:rsidR="00BE54D9" w:rsidRPr="00825466" w:rsidRDefault="00BE54D9">
            <w:pPr>
              <w:rPr>
                <w:rFonts w:ascii="Times New Roman" w:hAnsi="Times New Roman" w:cs="Times New Roman"/>
                <w:sz w:val="16"/>
                <w:szCs w:val="16"/>
                <w:lang w:val="en-US"/>
              </w:rPr>
            </w:pPr>
          </w:p>
        </w:tc>
        <w:tc>
          <w:tcPr>
            <w:tcW w:w="1452" w:type="dxa"/>
            <w:vMerge/>
          </w:tcPr>
          <w:p w:rsidR="00BE54D9" w:rsidRPr="00825466" w:rsidRDefault="00BE54D9">
            <w:pPr>
              <w:rPr>
                <w:rFonts w:ascii="Times New Roman" w:hAnsi="Times New Roman" w:cs="Times New Roman"/>
                <w:sz w:val="16"/>
                <w:szCs w:val="16"/>
                <w:lang w:val="en-US"/>
              </w:rPr>
            </w:pPr>
          </w:p>
        </w:tc>
        <w:tc>
          <w:tcPr>
            <w:tcW w:w="1451" w:type="dxa"/>
            <w:vMerge/>
          </w:tcPr>
          <w:p w:rsidR="00BE54D9" w:rsidRPr="00825466" w:rsidRDefault="00BE54D9">
            <w:pPr>
              <w:rPr>
                <w:rFonts w:ascii="Times New Roman" w:hAnsi="Times New Roman" w:cs="Times New Roman"/>
                <w:sz w:val="16"/>
                <w:szCs w:val="16"/>
                <w:lang w:val="en-US"/>
              </w:rPr>
            </w:pPr>
          </w:p>
        </w:tc>
        <w:tc>
          <w:tcPr>
            <w:tcW w:w="1452" w:type="dxa"/>
            <w:vMerge/>
          </w:tcPr>
          <w:p w:rsidR="00BE54D9" w:rsidRPr="00825466" w:rsidRDefault="00BE54D9">
            <w:pPr>
              <w:rPr>
                <w:rFonts w:ascii="Times New Roman" w:hAnsi="Times New Roman" w:cs="Times New Roman"/>
                <w:sz w:val="16"/>
                <w:szCs w:val="16"/>
                <w:lang w:val="en-US"/>
              </w:rPr>
            </w:pPr>
          </w:p>
        </w:tc>
      </w:tr>
      <w:tr w:rsidR="008D1660" w:rsidRPr="00825466" w:rsidTr="008D1660">
        <w:tc>
          <w:tcPr>
            <w:tcW w:w="3256" w:type="dxa"/>
          </w:tcPr>
          <w:p w:rsidR="00F0729D" w:rsidRPr="00825466" w:rsidRDefault="00F0729D" w:rsidP="00755F08">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Result section:</w:t>
            </w:r>
          </w:p>
          <w:p w:rsidR="00F0729D" w:rsidRPr="00825466" w:rsidRDefault="00F0729D" w:rsidP="00BE54D9">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Major themes associated with compliance were flavour, volume, texture, impact on dietary intake and motivation to consume supplements. Flavour differed between the two groups, negatively impacting compliance in the immunonutrition group. Volume, texture and impact on dietary intake also negatively impacted compliance whereas motivation positively impacted compliance. (Hogan et al.</w:t>
            </w:r>
            <w:r w:rsidR="007667D7" w:rsidRPr="00825466">
              <w:rPr>
                <w:rFonts w:ascii="Times New Roman" w:hAnsi="Times New Roman" w:cs="Times New Roman"/>
                <w:sz w:val="16"/>
                <w:szCs w:val="16"/>
                <w:lang w:val="en-US"/>
              </w:rPr>
              <w:t>,</w:t>
            </w:r>
            <w:r w:rsidRPr="00825466">
              <w:rPr>
                <w:rFonts w:ascii="Times New Roman" w:hAnsi="Times New Roman" w:cs="Times New Roman"/>
                <w:sz w:val="16"/>
                <w:szCs w:val="16"/>
                <w:lang w:val="en-US"/>
              </w:rPr>
              <w:t xml:space="preserve"> 201</w:t>
            </w:r>
            <w:r w:rsidR="007667D7" w:rsidRPr="00825466">
              <w:rPr>
                <w:rFonts w:ascii="Times New Roman" w:hAnsi="Times New Roman" w:cs="Times New Roman"/>
                <w:sz w:val="16"/>
                <w:szCs w:val="16"/>
                <w:lang w:val="en-US"/>
              </w:rPr>
              <w:t>9</w:t>
            </w:r>
            <w:r w:rsidRPr="00825466">
              <w:rPr>
                <w:rFonts w:ascii="Times New Roman" w:hAnsi="Times New Roman" w:cs="Times New Roman"/>
                <w:sz w:val="16"/>
                <w:szCs w:val="16"/>
                <w:lang w:val="en-US"/>
              </w:rPr>
              <w:t>)</w:t>
            </w:r>
          </w:p>
          <w:p w:rsidR="007667D7" w:rsidRPr="00825466" w:rsidRDefault="007667D7" w:rsidP="00BE54D9">
            <w:pPr>
              <w:pStyle w:val="Normal0"/>
              <w:rPr>
                <w:rFonts w:ascii="Times New Roman" w:hAnsi="Times New Roman" w:cs="Times New Roman"/>
                <w:sz w:val="16"/>
                <w:szCs w:val="16"/>
                <w:lang w:val="en-US"/>
              </w:rPr>
            </w:pPr>
          </w:p>
        </w:tc>
        <w:tc>
          <w:tcPr>
            <w:tcW w:w="1451" w:type="dxa"/>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High motivation (F)</w:t>
            </w:r>
          </w:p>
        </w:tc>
        <w:tc>
          <w:tcPr>
            <w:tcW w:w="1452" w:type="dxa"/>
            <w:vMerge w:val="restart"/>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High motivation (F)</w:t>
            </w:r>
          </w:p>
        </w:tc>
        <w:tc>
          <w:tcPr>
            <w:tcW w:w="1451" w:type="dxa"/>
            <w:vMerge w:val="restart"/>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Having implications for intake – perceived importance and benefits of ONS</w:t>
            </w:r>
          </w:p>
        </w:tc>
        <w:tc>
          <w:tcPr>
            <w:tcW w:w="1452" w:type="dxa"/>
            <w:vMerge w:val="restart"/>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Patient-related dimension</w:t>
            </w:r>
          </w:p>
        </w:tc>
      </w:tr>
      <w:tr w:rsidR="008D1660" w:rsidRPr="00825466" w:rsidTr="008D1660">
        <w:tc>
          <w:tcPr>
            <w:tcW w:w="3256" w:type="dxa"/>
          </w:tcPr>
          <w:p w:rsidR="00F0729D" w:rsidRPr="00825466" w:rsidRDefault="00F0729D" w:rsidP="00F0729D">
            <w:pPr>
              <w:widowControl w:val="0"/>
              <w:autoSpaceDE w:val="0"/>
              <w:autoSpaceDN w:val="0"/>
              <w:adjustRightInd w:val="0"/>
              <w:rPr>
                <w:rFonts w:ascii="Times New Roman" w:hAnsi="Times New Roman" w:cs="Times New Roman"/>
                <w:sz w:val="16"/>
                <w:szCs w:val="16"/>
                <w:lang w:val="en-US"/>
              </w:rPr>
            </w:pPr>
            <w:r w:rsidRPr="00825466">
              <w:rPr>
                <w:rFonts w:ascii="Times New Roman" w:hAnsi="Times New Roman" w:cs="Times New Roman"/>
                <w:sz w:val="16"/>
                <w:szCs w:val="16"/>
                <w:lang w:val="en-US"/>
              </w:rPr>
              <w:t>Discussion: Advanced cancer patients seem to be a vulnerable study population and a multimodal therapy is not adequate for every patient. However, interested patients are highly reliable for trial adherence. (</w:t>
            </w:r>
            <w:proofErr w:type="spellStart"/>
            <w:r w:rsidRPr="00825466">
              <w:rPr>
                <w:rFonts w:ascii="Times New Roman" w:hAnsi="Times New Roman" w:cs="Times New Roman"/>
                <w:sz w:val="16"/>
                <w:szCs w:val="16"/>
                <w:lang w:val="en-US"/>
              </w:rPr>
              <w:t>Storck</w:t>
            </w:r>
            <w:proofErr w:type="spellEnd"/>
            <w:r w:rsidRPr="00825466">
              <w:rPr>
                <w:rFonts w:ascii="Times New Roman" w:hAnsi="Times New Roman" w:cs="Times New Roman"/>
                <w:sz w:val="16"/>
                <w:szCs w:val="16"/>
                <w:lang w:val="en-US"/>
              </w:rPr>
              <w:t xml:space="preserve"> et al.</w:t>
            </w:r>
            <w:r w:rsidR="007667D7" w:rsidRPr="00825466">
              <w:rPr>
                <w:rFonts w:ascii="Times New Roman" w:hAnsi="Times New Roman" w:cs="Times New Roman"/>
                <w:sz w:val="16"/>
                <w:szCs w:val="16"/>
                <w:lang w:val="en-US"/>
              </w:rPr>
              <w:t>,</w:t>
            </w:r>
            <w:r w:rsidRPr="00825466">
              <w:rPr>
                <w:rFonts w:ascii="Times New Roman" w:hAnsi="Times New Roman" w:cs="Times New Roman"/>
                <w:sz w:val="16"/>
                <w:szCs w:val="16"/>
                <w:lang w:val="en-US"/>
              </w:rPr>
              <w:t xml:space="preserve"> 2020)</w:t>
            </w:r>
          </w:p>
          <w:p w:rsidR="007667D7" w:rsidRPr="00825466" w:rsidRDefault="007667D7" w:rsidP="00F0729D">
            <w:pPr>
              <w:widowControl w:val="0"/>
              <w:autoSpaceDE w:val="0"/>
              <w:autoSpaceDN w:val="0"/>
              <w:adjustRightInd w:val="0"/>
              <w:rPr>
                <w:rFonts w:ascii="Times New Roman" w:hAnsi="Times New Roman" w:cs="Times New Roman"/>
                <w:sz w:val="16"/>
                <w:szCs w:val="16"/>
                <w:lang w:val="en-US"/>
              </w:rPr>
            </w:pPr>
          </w:p>
        </w:tc>
        <w:tc>
          <w:tcPr>
            <w:tcW w:w="1451" w:type="dxa"/>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Multicomponent intervention. High motivation (F).</w:t>
            </w:r>
          </w:p>
        </w:tc>
        <w:tc>
          <w:tcPr>
            <w:tcW w:w="1452" w:type="dxa"/>
            <w:vMerge/>
          </w:tcPr>
          <w:p w:rsidR="00F0729D" w:rsidRPr="00825466" w:rsidRDefault="00F0729D">
            <w:pPr>
              <w:rPr>
                <w:rFonts w:ascii="Times New Roman" w:hAnsi="Times New Roman" w:cs="Times New Roman"/>
                <w:sz w:val="16"/>
                <w:szCs w:val="16"/>
                <w:lang w:val="en-US"/>
              </w:rPr>
            </w:pPr>
          </w:p>
        </w:tc>
        <w:tc>
          <w:tcPr>
            <w:tcW w:w="1451" w:type="dxa"/>
            <w:vMerge/>
          </w:tcPr>
          <w:p w:rsidR="00F0729D" w:rsidRPr="00825466" w:rsidRDefault="00F0729D">
            <w:pPr>
              <w:rPr>
                <w:rFonts w:ascii="Times New Roman" w:hAnsi="Times New Roman" w:cs="Times New Roman"/>
                <w:sz w:val="16"/>
                <w:szCs w:val="16"/>
                <w:lang w:val="en-US"/>
              </w:rPr>
            </w:pPr>
          </w:p>
        </w:tc>
        <w:tc>
          <w:tcPr>
            <w:tcW w:w="1452" w:type="dxa"/>
            <w:vMerge/>
          </w:tcPr>
          <w:p w:rsidR="00F0729D" w:rsidRPr="00825466" w:rsidRDefault="00F0729D">
            <w:pPr>
              <w:rPr>
                <w:rFonts w:ascii="Times New Roman" w:hAnsi="Times New Roman" w:cs="Times New Roman"/>
                <w:sz w:val="16"/>
                <w:szCs w:val="16"/>
                <w:lang w:val="en-US"/>
              </w:rPr>
            </w:pPr>
          </w:p>
        </w:tc>
      </w:tr>
      <w:tr w:rsidR="008D1660" w:rsidRPr="00825466" w:rsidTr="008D1660">
        <w:tc>
          <w:tcPr>
            <w:tcW w:w="3256" w:type="dxa"/>
          </w:tcPr>
          <w:p w:rsidR="00F0729D" w:rsidRPr="00825466" w:rsidRDefault="00F0729D" w:rsidP="006D0076">
            <w:pPr>
              <w:pStyle w:val="Normal0"/>
              <w:rPr>
                <w:rFonts w:ascii="Times New Roman" w:hAnsi="Times New Roman" w:cs="Times New Roman"/>
                <w:sz w:val="16"/>
                <w:szCs w:val="16"/>
                <w:lang w:val="en-US"/>
              </w:rPr>
            </w:pPr>
            <w:r w:rsidRPr="00825466">
              <w:rPr>
                <w:rFonts w:ascii="Times New Roman" w:hAnsi="Times New Roman" w:cs="Times New Roman"/>
                <w:sz w:val="16"/>
                <w:szCs w:val="16"/>
                <w:lang w:val="en-US"/>
              </w:rPr>
              <w:t>Conclusion: Reduced compliance with preoperative nutritional interventions remains a major issue because the expected bene</w:t>
            </w:r>
            <w:r w:rsidRPr="00825466">
              <w:rPr>
                <w:rFonts w:ascii="Times New Roman" w:hAnsi="Times New Roman" w:cs="Times New Roman"/>
                <w:sz w:val="16"/>
                <w:szCs w:val="16"/>
              </w:rPr>
              <w:t>ﬁ</w:t>
            </w:r>
            <w:r w:rsidRPr="00825466">
              <w:rPr>
                <w:rFonts w:ascii="Times New Roman" w:hAnsi="Times New Roman" w:cs="Times New Roman"/>
                <w:sz w:val="16"/>
                <w:szCs w:val="16"/>
                <w:lang w:val="en-US"/>
              </w:rPr>
              <w:t>t depends on the actual intake. Seemingly, obvious reasons for a decreased tolerance of oral supplements could not be retained as valid explanations. We hypothesize that compliance might thus be primarily a question of will, information and patient support. Besides attempts to improve taste and change composition or texture, future efforts should focus on speci</w:t>
            </w:r>
            <w:r w:rsidRPr="00825466">
              <w:rPr>
                <w:rFonts w:ascii="Times New Roman" w:hAnsi="Times New Roman" w:cs="Times New Roman"/>
                <w:sz w:val="16"/>
                <w:szCs w:val="16"/>
              </w:rPr>
              <w:t>ﬁ</w:t>
            </w:r>
            <w:r w:rsidRPr="00825466">
              <w:rPr>
                <w:rFonts w:ascii="Times New Roman" w:hAnsi="Times New Roman" w:cs="Times New Roman"/>
                <w:sz w:val="16"/>
                <w:szCs w:val="16"/>
                <w:lang w:val="en-US"/>
              </w:rPr>
              <w:t>c patients’ education. (Grass et al.</w:t>
            </w:r>
            <w:r w:rsidR="007667D7" w:rsidRPr="00825466">
              <w:rPr>
                <w:rFonts w:ascii="Times New Roman" w:hAnsi="Times New Roman" w:cs="Times New Roman"/>
                <w:sz w:val="16"/>
                <w:szCs w:val="16"/>
                <w:lang w:val="en-US"/>
              </w:rPr>
              <w:t>,</w:t>
            </w:r>
            <w:r w:rsidRPr="00825466">
              <w:rPr>
                <w:rFonts w:ascii="Times New Roman" w:hAnsi="Times New Roman" w:cs="Times New Roman"/>
                <w:sz w:val="16"/>
                <w:szCs w:val="16"/>
                <w:lang w:val="en-US"/>
              </w:rPr>
              <w:t xml:space="preserve"> 2015)</w:t>
            </w:r>
          </w:p>
          <w:p w:rsidR="007667D7" w:rsidRPr="00825466" w:rsidRDefault="007667D7" w:rsidP="006D0076">
            <w:pPr>
              <w:pStyle w:val="Normal0"/>
              <w:rPr>
                <w:rFonts w:ascii="Times New Roman" w:hAnsi="Times New Roman" w:cs="Times New Roman"/>
                <w:sz w:val="16"/>
                <w:szCs w:val="16"/>
                <w:lang w:val="en-US"/>
              </w:rPr>
            </w:pPr>
          </w:p>
        </w:tc>
        <w:tc>
          <w:tcPr>
            <w:tcW w:w="1451" w:type="dxa"/>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Not perceived as important (B)</w:t>
            </w:r>
          </w:p>
        </w:tc>
        <w:tc>
          <w:tcPr>
            <w:tcW w:w="1452" w:type="dxa"/>
            <w:vMerge w:val="restart"/>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t>ONS not considered important (B)</w:t>
            </w:r>
          </w:p>
        </w:tc>
        <w:tc>
          <w:tcPr>
            <w:tcW w:w="1451" w:type="dxa"/>
            <w:vMerge/>
          </w:tcPr>
          <w:p w:rsidR="00F0729D" w:rsidRPr="00825466" w:rsidRDefault="00F0729D">
            <w:pPr>
              <w:rPr>
                <w:rFonts w:ascii="Times New Roman" w:hAnsi="Times New Roman" w:cs="Times New Roman"/>
                <w:sz w:val="16"/>
                <w:szCs w:val="16"/>
                <w:lang w:val="en-US"/>
              </w:rPr>
            </w:pPr>
          </w:p>
        </w:tc>
        <w:tc>
          <w:tcPr>
            <w:tcW w:w="1452" w:type="dxa"/>
            <w:vMerge/>
          </w:tcPr>
          <w:p w:rsidR="00F0729D" w:rsidRPr="00825466" w:rsidRDefault="00F0729D">
            <w:pPr>
              <w:rPr>
                <w:rFonts w:ascii="Times New Roman" w:hAnsi="Times New Roman" w:cs="Times New Roman"/>
                <w:sz w:val="16"/>
                <w:szCs w:val="16"/>
                <w:lang w:val="en-US"/>
              </w:rPr>
            </w:pPr>
          </w:p>
        </w:tc>
      </w:tr>
      <w:tr w:rsidR="008D1660" w:rsidRPr="00825466" w:rsidTr="008D1660">
        <w:tc>
          <w:tcPr>
            <w:tcW w:w="3256" w:type="dxa"/>
          </w:tcPr>
          <w:p w:rsidR="00F0729D" w:rsidRPr="00825466" w:rsidRDefault="00F0729D" w:rsidP="00F0729D">
            <w:pPr>
              <w:widowControl w:val="0"/>
              <w:autoSpaceDE w:val="0"/>
              <w:autoSpaceDN w:val="0"/>
              <w:adjustRightInd w:val="0"/>
              <w:rPr>
                <w:rFonts w:ascii="Times New Roman" w:hAnsi="Times New Roman" w:cs="Times New Roman"/>
                <w:sz w:val="16"/>
                <w:szCs w:val="16"/>
                <w:lang w:val="en-US"/>
              </w:rPr>
            </w:pPr>
            <w:r w:rsidRPr="00825466">
              <w:rPr>
                <w:rFonts w:ascii="Times New Roman" w:hAnsi="Times New Roman" w:cs="Times New Roman"/>
                <w:sz w:val="16"/>
                <w:szCs w:val="16"/>
                <w:lang w:val="en-US"/>
              </w:rPr>
              <w:t xml:space="preserve">Discussion: Similar to the </w:t>
            </w:r>
            <w:r w:rsidRPr="00825466">
              <w:rPr>
                <w:rFonts w:ascii="Times New Roman" w:hAnsi="Times New Roman" w:cs="Times New Roman"/>
                <w:sz w:val="16"/>
                <w:szCs w:val="16"/>
              </w:rPr>
              <w:t>ﬁ</w:t>
            </w:r>
            <w:r w:rsidRPr="00825466">
              <w:rPr>
                <w:rFonts w:ascii="Times New Roman" w:hAnsi="Times New Roman" w:cs="Times New Roman"/>
                <w:sz w:val="16"/>
                <w:szCs w:val="16"/>
                <w:lang w:val="en-US"/>
              </w:rPr>
              <w:t xml:space="preserve">ndings of Taylor and Burch [16], participants in the present study did not enjoy the nutritional supplement drinks. Individuals tolerated these preoperatively as a form of preparation for surgery but were reluctant to continue postoperatively. For some participants this was due to nausea or reduced appetite. Another </w:t>
            </w:r>
            <w:r w:rsidRPr="00825466">
              <w:rPr>
                <w:rFonts w:ascii="Times New Roman" w:hAnsi="Times New Roman" w:cs="Times New Roman"/>
                <w:sz w:val="16"/>
                <w:szCs w:val="16"/>
                <w:lang w:val="en-US"/>
              </w:rPr>
              <w:lastRenderedPageBreak/>
              <w:t>potential reason alluded to during interviews, but not stated speci</w:t>
            </w:r>
            <w:r w:rsidRPr="00825466">
              <w:rPr>
                <w:rFonts w:ascii="Times New Roman" w:hAnsi="Times New Roman" w:cs="Times New Roman"/>
                <w:sz w:val="16"/>
                <w:szCs w:val="16"/>
              </w:rPr>
              <w:t>ﬁ</w:t>
            </w:r>
            <w:r w:rsidRPr="00825466">
              <w:rPr>
                <w:rFonts w:ascii="Times New Roman" w:hAnsi="Times New Roman" w:cs="Times New Roman"/>
                <w:sz w:val="16"/>
                <w:szCs w:val="16"/>
                <w:lang w:val="en-US"/>
              </w:rPr>
              <w:t>cally, was that the supplement drinks had been consumed when participants felt they were most needed (i.e. preoperatively) and that further compliance (i.e. postoperatively) was less important. (Short et al.</w:t>
            </w:r>
            <w:r w:rsidR="007667D7" w:rsidRPr="00825466">
              <w:rPr>
                <w:rFonts w:ascii="Times New Roman" w:hAnsi="Times New Roman" w:cs="Times New Roman"/>
                <w:sz w:val="16"/>
                <w:szCs w:val="16"/>
                <w:lang w:val="en-US"/>
              </w:rPr>
              <w:t>,</w:t>
            </w:r>
            <w:r w:rsidRPr="00825466">
              <w:rPr>
                <w:rFonts w:ascii="Times New Roman" w:hAnsi="Times New Roman" w:cs="Times New Roman"/>
                <w:sz w:val="16"/>
                <w:szCs w:val="16"/>
                <w:lang w:val="en-US"/>
              </w:rPr>
              <w:t xml:space="preserve"> 2015)</w:t>
            </w:r>
          </w:p>
        </w:tc>
        <w:tc>
          <w:tcPr>
            <w:tcW w:w="1451" w:type="dxa"/>
          </w:tcPr>
          <w:p w:rsidR="00F0729D" w:rsidRPr="00825466" w:rsidRDefault="00F0729D">
            <w:pPr>
              <w:rPr>
                <w:rFonts w:ascii="Times New Roman" w:hAnsi="Times New Roman" w:cs="Times New Roman"/>
                <w:sz w:val="16"/>
                <w:szCs w:val="16"/>
                <w:lang w:val="en-US"/>
              </w:rPr>
            </w:pPr>
            <w:r w:rsidRPr="00825466">
              <w:rPr>
                <w:rFonts w:ascii="Times New Roman" w:hAnsi="Times New Roman" w:cs="Times New Roman"/>
                <w:sz w:val="16"/>
                <w:szCs w:val="16"/>
                <w:lang w:val="en-US"/>
              </w:rPr>
              <w:lastRenderedPageBreak/>
              <w:t>Not perceived as important (B)</w:t>
            </w:r>
          </w:p>
        </w:tc>
        <w:tc>
          <w:tcPr>
            <w:tcW w:w="1452" w:type="dxa"/>
            <w:vMerge/>
          </w:tcPr>
          <w:p w:rsidR="00F0729D" w:rsidRPr="00825466" w:rsidRDefault="00F0729D">
            <w:pPr>
              <w:rPr>
                <w:rFonts w:ascii="Times New Roman" w:hAnsi="Times New Roman" w:cs="Times New Roman"/>
                <w:sz w:val="16"/>
                <w:szCs w:val="16"/>
                <w:lang w:val="en-US"/>
              </w:rPr>
            </w:pPr>
          </w:p>
        </w:tc>
        <w:tc>
          <w:tcPr>
            <w:tcW w:w="1451" w:type="dxa"/>
          </w:tcPr>
          <w:p w:rsidR="00F0729D" w:rsidRPr="00825466" w:rsidRDefault="00F0729D">
            <w:pPr>
              <w:rPr>
                <w:rFonts w:ascii="Times New Roman" w:hAnsi="Times New Roman" w:cs="Times New Roman"/>
                <w:sz w:val="16"/>
                <w:szCs w:val="16"/>
                <w:lang w:val="en-US"/>
              </w:rPr>
            </w:pPr>
          </w:p>
        </w:tc>
        <w:tc>
          <w:tcPr>
            <w:tcW w:w="1452" w:type="dxa"/>
          </w:tcPr>
          <w:p w:rsidR="00F0729D" w:rsidRPr="00825466" w:rsidRDefault="00F0729D">
            <w:pPr>
              <w:rPr>
                <w:rFonts w:ascii="Times New Roman" w:hAnsi="Times New Roman" w:cs="Times New Roman"/>
                <w:sz w:val="16"/>
                <w:szCs w:val="16"/>
                <w:lang w:val="en-US"/>
              </w:rPr>
            </w:pPr>
          </w:p>
        </w:tc>
      </w:tr>
    </w:tbl>
    <w:p w:rsidR="00A12809" w:rsidRPr="00825466" w:rsidRDefault="00A12809">
      <w:pPr>
        <w:rPr>
          <w:rFonts w:ascii="Times New Roman" w:hAnsi="Times New Roman" w:cs="Times New Roman"/>
          <w:sz w:val="20"/>
          <w:szCs w:val="20"/>
          <w:lang w:val="en-US"/>
        </w:rPr>
      </w:pPr>
    </w:p>
    <w:sectPr w:rsidR="00A12809" w:rsidRPr="00825466" w:rsidSect="004C43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34F" w:rsidRDefault="0011734F" w:rsidP="00123347">
      <w:pPr>
        <w:spacing w:after="0" w:line="240" w:lineRule="auto"/>
      </w:pPr>
      <w:r>
        <w:separator/>
      </w:r>
    </w:p>
  </w:endnote>
  <w:endnote w:type="continuationSeparator" w:id="0">
    <w:p w:rsidR="0011734F" w:rsidRDefault="0011734F" w:rsidP="0012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66" w:rsidRDefault="0082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878981"/>
      <w:docPartObj>
        <w:docPartGallery w:val="Page Numbers (Bottom of Page)"/>
        <w:docPartUnique/>
      </w:docPartObj>
    </w:sdtPr>
    <w:sdtEndPr>
      <w:rPr>
        <w:noProof/>
      </w:rPr>
    </w:sdtEndPr>
    <w:sdtContent>
      <w:p w:rsidR="00F0729D" w:rsidRDefault="00F072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729D" w:rsidRDefault="00F07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66" w:rsidRDefault="0082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34F" w:rsidRDefault="0011734F" w:rsidP="00123347">
      <w:pPr>
        <w:spacing w:after="0" w:line="240" w:lineRule="auto"/>
      </w:pPr>
      <w:r>
        <w:separator/>
      </w:r>
    </w:p>
  </w:footnote>
  <w:footnote w:type="continuationSeparator" w:id="0">
    <w:p w:rsidR="0011734F" w:rsidRDefault="0011734F" w:rsidP="00123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66" w:rsidRDefault="0082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66" w:rsidRDefault="00825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34C" w:rsidRPr="00825466" w:rsidRDefault="004C434C" w:rsidP="004C434C">
    <w:pPr>
      <w:pStyle w:val="Header"/>
      <w:rPr>
        <w:rFonts w:ascii="Times New Roman" w:hAnsi="Times New Roman" w:cs="Times New Roman"/>
        <w:lang w:val="en-US"/>
      </w:rPr>
    </w:pPr>
    <w:bookmarkStart w:id="0" w:name="_GoBack"/>
    <w:r w:rsidRPr="00825466">
      <w:rPr>
        <w:rFonts w:ascii="Times New Roman" w:hAnsi="Times New Roman" w:cs="Times New Roman"/>
        <w:lang w:val="en-US"/>
      </w:rPr>
      <w:t xml:space="preserve">Appendix B </w:t>
    </w:r>
    <w:r w:rsidR="008D1660" w:rsidRPr="00825466">
      <w:rPr>
        <w:rFonts w:ascii="Times New Roman" w:hAnsi="Times New Roman" w:cs="Times New Roman"/>
        <w:lang w:val="en-US"/>
      </w:rPr>
      <w:t>Examples</w:t>
    </w:r>
    <w:r w:rsidRPr="00825466">
      <w:rPr>
        <w:rFonts w:ascii="Times New Roman" w:hAnsi="Times New Roman" w:cs="Times New Roman"/>
        <w:lang w:val="en-US"/>
      </w:rPr>
      <w:t xml:space="preserve"> </w:t>
    </w:r>
    <w:r w:rsidR="008D1660" w:rsidRPr="00825466">
      <w:rPr>
        <w:rFonts w:ascii="Times New Roman" w:hAnsi="Times New Roman" w:cs="Times New Roman"/>
        <w:lang w:val="en-US"/>
      </w:rPr>
      <w:t>from</w:t>
    </w:r>
    <w:r w:rsidRPr="00825466">
      <w:rPr>
        <w:rFonts w:ascii="Times New Roman" w:hAnsi="Times New Roman" w:cs="Times New Roman"/>
        <w:lang w:val="en-US"/>
      </w:rPr>
      <w:t xml:space="preserve"> the thematic </w:t>
    </w:r>
    <w:r w:rsidR="007667D7" w:rsidRPr="00825466">
      <w:rPr>
        <w:rFonts w:ascii="Times New Roman" w:hAnsi="Times New Roman" w:cs="Times New Roman"/>
        <w:lang w:val="en-US"/>
      </w:rPr>
      <w:t>synthesis</w:t>
    </w:r>
    <w:r w:rsidRPr="00825466">
      <w:rPr>
        <w:rFonts w:ascii="Times New Roman" w:hAnsi="Times New Roman" w:cs="Times New Roman"/>
        <w:lang w:val="en-US"/>
      </w:rPr>
      <w:t xml:space="preserve"> process in the qualitative phase</w:t>
    </w:r>
  </w:p>
  <w:bookmarkEnd w:id="0"/>
  <w:p w:rsidR="004C434C" w:rsidRPr="004C434C" w:rsidRDefault="004C434C">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47"/>
    <w:rsid w:val="0011734F"/>
    <w:rsid w:val="00123347"/>
    <w:rsid w:val="004B597C"/>
    <w:rsid w:val="004C434C"/>
    <w:rsid w:val="006D0076"/>
    <w:rsid w:val="00755F08"/>
    <w:rsid w:val="007667D7"/>
    <w:rsid w:val="007C4077"/>
    <w:rsid w:val="008237BC"/>
    <w:rsid w:val="00825466"/>
    <w:rsid w:val="00855541"/>
    <w:rsid w:val="008D1660"/>
    <w:rsid w:val="009F5C41"/>
    <w:rsid w:val="00A12809"/>
    <w:rsid w:val="00AD7E3D"/>
    <w:rsid w:val="00BE54D9"/>
    <w:rsid w:val="00F0729D"/>
    <w:rsid w:val="00F17DAA"/>
    <w:rsid w:val="00F84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26B1-642B-4A37-A630-D5928AC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3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3347"/>
  </w:style>
  <w:style w:type="paragraph" w:styleId="Footer">
    <w:name w:val="footer"/>
    <w:basedOn w:val="Normal"/>
    <w:link w:val="FooterChar"/>
    <w:uiPriority w:val="99"/>
    <w:unhideWhenUsed/>
    <w:rsid w:val="001233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3347"/>
  </w:style>
  <w:style w:type="table" w:styleId="TableGrid">
    <w:name w:val="Table Grid"/>
    <w:basedOn w:val="TableNormal"/>
    <w:uiPriority w:val="39"/>
    <w:rsid w:val="0012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4B597C"/>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550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Liljeberg</dc:creator>
  <cp:keywords/>
  <dc:description/>
  <cp:lastModifiedBy>Evelina Liljeberg</cp:lastModifiedBy>
  <cp:revision>11</cp:revision>
  <dcterms:created xsi:type="dcterms:W3CDTF">2023-08-24T13:16:00Z</dcterms:created>
  <dcterms:modified xsi:type="dcterms:W3CDTF">2024-03-22T08:39:00Z</dcterms:modified>
</cp:coreProperties>
</file>