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017D1" w14:textId="5FB1CA22" w:rsidR="00B23C86" w:rsidRDefault="00A24762">
      <w:r>
        <w:rPr>
          <w:noProof/>
        </w:rPr>
        <w:drawing>
          <wp:inline distT="0" distB="0" distL="0" distR="0" wp14:anchorId="50CF7051" wp14:editId="7BF1A72F">
            <wp:extent cx="5727700" cy="443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46DAB" w14:textId="39100181" w:rsidR="00A24762" w:rsidRDefault="00A24762"/>
    <w:p w14:paraId="3616772C" w14:textId="0F635BBA" w:rsidR="00A24762" w:rsidRPr="00A24762" w:rsidRDefault="00A24762">
      <w:pPr>
        <w:rPr>
          <w:lang w:val="en-US"/>
        </w:rPr>
      </w:pPr>
      <w:proofErr w:type="spellStart"/>
      <w:r w:rsidRPr="00A24762">
        <w:rPr>
          <w:lang w:val="en-US"/>
        </w:rPr>
        <w:t>Supll</w:t>
      </w:r>
      <w:proofErr w:type="spellEnd"/>
      <w:r w:rsidRPr="00A24762">
        <w:rPr>
          <w:lang w:val="en-US"/>
        </w:rPr>
        <w:t>. Figure 1: Rarefaction curves obtained f</w:t>
      </w:r>
      <w:r>
        <w:rPr>
          <w:lang w:val="en-US"/>
        </w:rPr>
        <w:t>rom four air samples (A=1, B=2, C=3 and D=4). Blue lines represent 95% confidence intervals</w:t>
      </w:r>
    </w:p>
    <w:sectPr w:rsidR="00A24762" w:rsidRPr="00A24762" w:rsidSect="00576B8B">
      <w:pgSz w:w="11900" w:h="16840"/>
      <w:pgMar w:top="1440" w:right="1440" w:bottom="1440" w:left="1440" w:header="289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CF"/>
    <w:rsid w:val="001247CF"/>
    <w:rsid w:val="00576B8B"/>
    <w:rsid w:val="005D5B02"/>
    <w:rsid w:val="00A24762"/>
    <w:rsid w:val="00B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8BB43B"/>
  <w15:chartTrackingRefBased/>
  <w15:docId w15:val="{F3656E94-6B9F-2F4E-ABF6-67BFEC91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7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2024-01-02T02:45:00Z</dcterms:created>
  <dcterms:modified xsi:type="dcterms:W3CDTF">2024-01-02T02:47:00Z</dcterms:modified>
</cp:coreProperties>
</file>