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rFonts w:ascii="Times New Roman" w:cs="Times New Roman" w:eastAsia="Times New Roman" w:hAnsi="Times New Roman"/>
          <w:b w:val="1"/>
          <w:sz w:val="24"/>
          <w:szCs w:val="24"/>
        </w:rPr>
      </w:pPr>
      <w:bookmarkStart w:colFirst="0" w:colLast="0" w:name="_27e1ndr97gfy" w:id="0"/>
      <w:bookmarkEnd w:id="0"/>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Epidemiology and Infection</w:t>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Case–control association study between polygenic risk score and COVID-19 severity in a Russian population using low-pass genome sequencing</w:t>
      </w:r>
    </w:p>
    <w:p w:rsidR="00000000" w:rsidDel="00000000" w:rsidP="00000000" w:rsidRDefault="00000000" w:rsidRPr="00000000" w14:paraId="00000004">
      <w:pPr>
        <w:spacing w:after="200" w:lineRule="auto"/>
        <w:rPr/>
      </w:pPr>
      <w:r w:rsidDel="00000000" w:rsidR="00000000" w:rsidRPr="00000000">
        <w:rPr>
          <w:rFonts w:ascii="Times New Roman" w:cs="Times New Roman" w:eastAsia="Times New Roman" w:hAnsi="Times New Roman"/>
          <w:sz w:val="24"/>
          <w:szCs w:val="24"/>
          <w:rtl w:val="0"/>
        </w:rPr>
        <w:t xml:space="preserve">Arina V. Nostaeva, Valentin S. Shimansky, Svetlana V. Apalko, Ivan A. Kuznetsov, Natalya N. Sushentseva, Oleg S. Popov, Anna Y. Asinovskaya, Sergey V. Mosenko, Lennart C. Karssen, Andrey M. Sarana, Yurii S. Aulchenko, Sergey G. Shcherbak</w:t>
      </w:r>
      <w:r w:rsidDel="00000000" w:rsidR="00000000" w:rsidRPr="00000000">
        <w:rPr>
          <w:rtl w:val="0"/>
        </w:rPr>
      </w:r>
    </w:p>
    <w:p w:rsidR="00000000" w:rsidDel="00000000" w:rsidP="00000000" w:rsidRDefault="00000000" w:rsidRPr="00000000" w14:paraId="00000005">
      <w:pPr>
        <w:pStyle w:val="Title"/>
        <w:jc w:val="left"/>
        <w:rPr>
          <w:rFonts w:ascii="Times New Roman" w:cs="Times New Roman" w:eastAsia="Times New Roman" w:hAnsi="Times New Roman"/>
          <w:b w:val="1"/>
          <w:sz w:val="28"/>
          <w:szCs w:val="28"/>
        </w:rPr>
      </w:pPr>
      <w:bookmarkStart w:colFirst="0" w:colLast="0" w:name="_gmgxqn6lanxq" w:id="1"/>
      <w:bookmarkEnd w:id="1"/>
      <w:r w:rsidDel="00000000" w:rsidR="00000000" w:rsidRPr="00000000">
        <w:rPr>
          <w:rtl w:val="0"/>
        </w:rPr>
      </w:r>
    </w:p>
    <w:p w:rsidR="00000000" w:rsidDel="00000000" w:rsidP="00000000" w:rsidRDefault="00000000" w:rsidRPr="00000000" w14:paraId="00000006">
      <w:pPr>
        <w:pStyle w:val="Title"/>
        <w:jc w:val="left"/>
        <w:rPr>
          <w:rFonts w:ascii="Times New Roman" w:cs="Times New Roman" w:eastAsia="Times New Roman" w:hAnsi="Times New Roman"/>
          <w:sz w:val="28"/>
          <w:szCs w:val="28"/>
        </w:rPr>
      </w:pPr>
      <w:bookmarkStart w:colFirst="0" w:colLast="0" w:name="_p36h92mm60hv" w:id="2"/>
      <w:bookmarkEnd w:id="2"/>
      <w:r w:rsidDel="00000000" w:rsidR="00000000" w:rsidRPr="00000000">
        <w:rPr>
          <w:rFonts w:ascii="Times New Roman" w:cs="Times New Roman" w:eastAsia="Times New Roman" w:hAnsi="Times New Roman"/>
          <w:b w:val="1"/>
          <w:sz w:val="28"/>
          <w:szCs w:val="28"/>
          <w:rtl w:val="0"/>
        </w:rPr>
        <w:t xml:space="preserve">Supplementary Figures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Supplementary Figure S1: Study flow diagram of patients’ filtering.</w:t>
      </w:r>
    </w:p>
    <w:p w:rsidR="00000000" w:rsidDel="00000000" w:rsidP="00000000" w:rsidRDefault="00000000" w:rsidRPr="00000000" w14:paraId="00000009">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483063" cy="4731523"/>
            <wp:effectExtent b="0" l="0" r="0" t="0"/>
            <wp:docPr id="2" name="image3.png"/>
            <a:graphic>
              <a:graphicData uri="http://schemas.openxmlformats.org/drawingml/2006/picture">
                <pic:pic>
                  <pic:nvPicPr>
                    <pic:cNvPr id="0" name="image3.png"/>
                    <pic:cNvPicPr preferRelativeResize="0"/>
                  </pic:nvPicPr>
                  <pic:blipFill>
                    <a:blip r:embed="rId6"/>
                    <a:srcRect b="0" l="17487" r="17427" t="0"/>
                    <a:stretch>
                      <a:fillRect/>
                    </a:stretch>
                  </pic:blipFill>
                  <pic:spPr>
                    <a:xfrm>
                      <a:off x="0" y="0"/>
                      <a:ext cx="5483063" cy="473152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Supplementary Figure S2: </w:t>
      </w:r>
      <w:r w:rsidDel="00000000" w:rsidR="00000000" w:rsidRPr="00000000">
        <w:rPr>
          <w:rFonts w:ascii="Times New Roman" w:cs="Times New Roman" w:eastAsia="Times New Roman" w:hAnsi="Times New Roman"/>
          <w:b w:val="1"/>
          <w:sz w:val="24"/>
          <w:szCs w:val="24"/>
          <w:rtl w:val="0"/>
        </w:rPr>
        <w:t xml:space="preserve">Association of PRS with COVID-19 severity. </w:t>
      </w:r>
      <w:r w:rsidDel="00000000" w:rsidR="00000000" w:rsidRPr="00000000">
        <w:rPr>
          <w:rFonts w:ascii="Times New Roman" w:cs="Times New Roman" w:eastAsia="Times New Roman" w:hAnsi="Times New Roman"/>
          <w:sz w:val="24"/>
          <w:szCs w:val="24"/>
          <w:rtl w:val="0"/>
        </w:rPr>
        <w:t xml:space="preserve">All participants (N = 982) were stratified into three categories, based on their PRS: bottom decile, deciles 2–9, and top decile. The graph represents the partial effects of PRS on the COVID-19 severity with fixed values ​​of the covariates. Survival function was built using the multivariate Cox regression model adjusted by </w:t>
      </w:r>
      <w:r w:rsidDel="00000000" w:rsidR="00000000" w:rsidRPr="00000000">
        <w:rPr>
          <w:rFonts w:ascii="Times New Roman" w:cs="Times New Roman" w:eastAsia="Times New Roman" w:hAnsi="Times New Roman"/>
          <w:sz w:val="24"/>
          <w:szCs w:val="24"/>
          <w:highlight w:val="white"/>
          <w:rtl w:val="0"/>
        </w:rPr>
        <w:t xml:space="preserve">the covariates (sex, age, comorbidities, and the first 10 PCs). PRS values were varied as </w:t>
      </w:r>
      <w:r w:rsidDel="00000000" w:rsidR="00000000" w:rsidRPr="00000000">
        <w:rPr>
          <w:rFonts w:ascii="Times New Roman" w:cs="Times New Roman" w:eastAsia="Times New Roman" w:hAnsi="Times New Roman"/>
          <w:sz w:val="24"/>
          <w:szCs w:val="24"/>
          <w:rtl w:val="0"/>
        </w:rPr>
        <w:t xml:space="preserve">the mean PRS values ​​in each of the three groups described above.</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731200" cy="40132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Supplementary Figure S3: Association of PRS with COVID-19 mortality. </w:t>
      </w:r>
      <w:r w:rsidDel="00000000" w:rsidR="00000000" w:rsidRPr="00000000">
        <w:rPr>
          <w:rFonts w:ascii="Times New Roman" w:cs="Times New Roman" w:eastAsia="Times New Roman" w:hAnsi="Times New Roman"/>
          <w:sz w:val="24"/>
          <w:szCs w:val="24"/>
          <w:rtl w:val="0"/>
        </w:rPr>
        <w:t xml:space="preserve">All participants (N = 982) were stratified into three categories, based on their PRS: bottom decile, deciles 2–9, and top decile. The Kaplan-Meier curve is plotted according to the PRS category.</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0132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Supplementary Figure S4: </w:t>
      </w:r>
      <w:r w:rsidDel="00000000" w:rsidR="00000000" w:rsidRPr="00000000">
        <w:rPr>
          <w:rFonts w:ascii="Times New Roman" w:cs="Times New Roman" w:eastAsia="Times New Roman" w:hAnsi="Times New Roman"/>
          <w:b w:val="1"/>
          <w:sz w:val="24"/>
          <w:szCs w:val="24"/>
          <w:rtl w:val="0"/>
        </w:rPr>
        <w:t xml:space="preserve">Association of PRS with COVID-19 mortality. </w:t>
      </w:r>
      <w:r w:rsidDel="00000000" w:rsidR="00000000" w:rsidRPr="00000000">
        <w:rPr>
          <w:rFonts w:ascii="Times New Roman" w:cs="Times New Roman" w:eastAsia="Times New Roman" w:hAnsi="Times New Roman"/>
          <w:sz w:val="24"/>
          <w:szCs w:val="24"/>
          <w:rtl w:val="0"/>
        </w:rPr>
        <w:t xml:space="preserve">All participants (N = 982) were stratified into three categories, based on their PRS: bottom decile, deciles 2–9, and top decile. The graph represents the partial effects of PRS on the COVID-19 mortality with fixed values ​​of the covariates. Survival function was built using the multivariate Cox regression model adjusted by </w:t>
      </w:r>
      <w:r w:rsidDel="00000000" w:rsidR="00000000" w:rsidRPr="00000000">
        <w:rPr>
          <w:rFonts w:ascii="Times New Roman" w:cs="Times New Roman" w:eastAsia="Times New Roman" w:hAnsi="Times New Roman"/>
          <w:sz w:val="24"/>
          <w:szCs w:val="24"/>
          <w:highlight w:val="white"/>
          <w:rtl w:val="0"/>
        </w:rPr>
        <w:t xml:space="preserve">the covariates (sex, age, comorbidities, and the first 10 PCs). PRS values were varied as </w:t>
      </w:r>
      <w:r w:rsidDel="00000000" w:rsidR="00000000" w:rsidRPr="00000000">
        <w:rPr>
          <w:rFonts w:ascii="Times New Roman" w:cs="Times New Roman" w:eastAsia="Times New Roman" w:hAnsi="Times New Roman"/>
          <w:sz w:val="24"/>
          <w:szCs w:val="24"/>
          <w:rtl w:val="0"/>
        </w:rPr>
        <w:t xml:space="preserve">the mean PRS values ​​in each of the three groups described above.</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731200" cy="40132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40132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