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1810" w14:textId="325035A6" w:rsidR="006427B2" w:rsidRPr="00A2325B" w:rsidRDefault="006427B2" w:rsidP="006427B2">
      <w:pPr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159860956"/>
      <w:r w:rsidRPr="00A2325B">
        <w:rPr>
          <w:rFonts w:ascii="Arial" w:hAnsi="Arial" w:cs="Arial"/>
          <w:b/>
          <w:bCs/>
          <w:i/>
          <w:iCs/>
          <w:sz w:val="32"/>
          <w:szCs w:val="32"/>
        </w:rPr>
        <w:t>Epidemiology and Infection</w:t>
      </w:r>
    </w:p>
    <w:p w14:paraId="0CD53ABA" w14:textId="77777777" w:rsidR="003B7BCA" w:rsidRPr="00A2325B" w:rsidRDefault="003B7BCA" w:rsidP="006427B2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7BE161" w14:textId="4F1A4FB3" w:rsidR="00A2325B" w:rsidRDefault="00A2325B" w:rsidP="00A2325B">
      <w:pPr>
        <w:rPr>
          <w:rFonts w:ascii="Arial" w:hAnsi="Arial" w:cs="Arial"/>
          <w:b/>
          <w:bCs/>
          <w:sz w:val="28"/>
          <w:szCs w:val="28"/>
        </w:rPr>
      </w:pPr>
      <w:r w:rsidRPr="00A2325B">
        <w:rPr>
          <w:rFonts w:ascii="Arial" w:hAnsi="Arial" w:cs="Arial"/>
          <w:b/>
          <w:bCs/>
          <w:sz w:val="28"/>
          <w:szCs w:val="28"/>
        </w:rPr>
        <w:t xml:space="preserve">Epidemiology of invasive </w:t>
      </w:r>
      <w:r w:rsidRPr="00A2325B">
        <w:rPr>
          <w:rFonts w:ascii="Arial" w:hAnsi="Arial" w:cs="Arial"/>
          <w:b/>
          <w:bCs/>
          <w:i/>
          <w:iCs/>
          <w:sz w:val="28"/>
          <w:szCs w:val="28"/>
        </w:rPr>
        <w:t>Escherichia coli</w:t>
      </w:r>
      <w:r w:rsidRPr="00A2325B">
        <w:rPr>
          <w:rFonts w:ascii="Arial" w:hAnsi="Arial" w:cs="Arial"/>
          <w:b/>
          <w:bCs/>
          <w:sz w:val="28"/>
          <w:szCs w:val="28"/>
        </w:rPr>
        <w:t xml:space="preserve"> disease in adults in England, 2013–2017</w:t>
      </w:r>
    </w:p>
    <w:p w14:paraId="19A7A904" w14:textId="77777777" w:rsidR="00E4257F" w:rsidRPr="00E4257F" w:rsidRDefault="00E4257F" w:rsidP="00A2325B">
      <w:pPr>
        <w:rPr>
          <w:rFonts w:ascii="Arial" w:hAnsi="Arial" w:cs="Arial"/>
          <w:b/>
          <w:bCs/>
          <w:sz w:val="28"/>
          <w:szCs w:val="28"/>
        </w:rPr>
      </w:pPr>
    </w:p>
    <w:p w14:paraId="449E063D" w14:textId="3F706BA1" w:rsidR="003B7BCA" w:rsidRPr="00A2325B" w:rsidRDefault="00A2325B" w:rsidP="00A2325B">
      <w:pPr>
        <w:rPr>
          <w:rFonts w:ascii="Arial" w:hAnsi="Arial" w:cs="Arial"/>
          <w:sz w:val="24"/>
          <w:szCs w:val="24"/>
        </w:rPr>
      </w:pPr>
      <w:r w:rsidRPr="00A2325B">
        <w:rPr>
          <w:rFonts w:ascii="Arial" w:hAnsi="Arial" w:cs="Arial"/>
          <w:sz w:val="24"/>
          <w:szCs w:val="24"/>
        </w:rPr>
        <w:t xml:space="preserve">Maxim Blum, Jeroen Geurtsen, Eva </w:t>
      </w:r>
      <w:proofErr w:type="spellStart"/>
      <w:r w:rsidRPr="00A2325B">
        <w:rPr>
          <w:rFonts w:ascii="Arial" w:hAnsi="Arial" w:cs="Arial"/>
          <w:sz w:val="24"/>
          <w:szCs w:val="24"/>
        </w:rPr>
        <w:t>Herweijer</w:t>
      </w:r>
      <w:proofErr w:type="spellEnd"/>
      <w:r w:rsidRPr="00A2325B">
        <w:rPr>
          <w:rFonts w:ascii="Arial" w:hAnsi="Arial" w:cs="Arial"/>
          <w:sz w:val="24"/>
          <w:szCs w:val="24"/>
        </w:rPr>
        <w:t xml:space="preserve">, Michal Sarnecki, Bart Spiessens, </w:t>
      </w:r>
      <w:r>
        <w:rPr>
          <w:rFonts w:ascii="Arial" w:hAnsi="Arial" w:cs="Arial"/>
          <w:sz w:val="24"/>
          <w:szCs w:val="24"/>
        </w:rPr>
        <w:br/>
      </w:r>
      <w:r w:rsidRPr="00A2325B">
        <w:rPr>
          <w:rFonts w:ascii="Arial" w:hAnsi="Arial" w:cs="Arial"/>
          <w:sz w:val="24"/>
          <w:szCs w:val="24"/>
        </w:rPr>
        <w:t xml:space="preserve">Gil Reynolds Diogo, Peter Hermans, Simon </w:t>
      </w:r>
      <w:proofErr w:type="spellStart"/>
      <w:r w:rsidRPr="00A2325B">
        <w:rPr>
          <w:rFonts w:ascii="Arial" w:hAnsi="Arial" w:cs="Arial"/>
          <w:sz w:val="24"/>
          <w:szCs w:val="24"/>
        </w:rPr>
        <w:t>Thelwal</w:t>
      </w:r>
      <w:proofErr w:type="spellEnd"/>
      <w:r w:rsidRPr="00A2325B">
        <w:rPr>
          <w:rFonts w:ascii="Arial" w:hAnsi="Arial" w:cs="Arial"/>
          <w:sz w:val="24"/>
          <w:szCs w:val="24"/>
        </w:rPr>
        <w:t xml:space="preserve">, Alex Bhattacharya, </w:t>
      </w:r>
      <w:r>
        <w:rPr>
          <w:rFonts w:ascii="Arial" w:hAnsi="Arial" w:cs="Arial"/>
          <w:sz w:val="24"/>
          <w:szCs w:val="24"/>
        </w:rPr>
        <w:br/>
      </w:r>
      <w:r w:rsidRPr="00A2325B">
        <w:rPr>
          <w:rFonts w:ascii="Arial" w:hAnsi="Arial" w:cs="Arial"/>
          <w:sz w:val="24"/>
          <w:szCs w:val="24"/>
        </w:rPr>
        <w:t>Thomas Verstraeten, Jan Poolman, Russell Hope</w:t>
      </w:r>
      <w:r w:rsidR="00E4257F">
        <w:rPr>
          <w:rFonts w:ascii="Arial" w:hAnsi="Arial" w:cs="Arial"/>
          <w:sz w:val="24"/>
          <w:szCs w:val="24"/>
        </w:rPr>
        <w:t>.</w:t>
      </w:r>
    </w:p>
    <w:p w14:paraId="51307222" w14:textId="77777777" w:rsidR="006427B2" w:rsidRPr="006427B2" w:rsidRDefault="006427B2" w:rsidP="006427B2"/>
    <w:p w14:paraId="6F238472" w14:textId="77777777" w:rsidR="00E16271" w:rsidRDefault="00E16271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bookmarkStart w:id="1" w:name="_Toc157089184"/>
      <w:r>
        <w:rPr>
          <w:rFonts w:ascii="Arial" w:hAnsi="Arial" w:cs="Arial"/>
          <w:sz w:val="18"/>
          <w:szCs w:val="18"/>
        </w:rPr>
        <w:br w:type="page"/>
      </w:r>
    </w:p>
    <w:p w14:paraId="33DA59C3" w14:textId="4828FC45" w:rsidR="006C4AAA" w:rsidRPr="0012240B" w:rsidRDefault="006C1888" w:rsidP="006C1888">
      <w:pPr>
        <w:pStyle w:val="Heading2"/>
      </w:pPr>
      <w:r>
        <w:rPr>
          <w:b/>
          <w:bCs w:val="0"/>
        </w:rPr>
        <w:lastRenderedPageBreak/>
        <w:t xml:space="preserve">Supplementary </w:t>
      </w:r>
      <w:r w:rsidR="000E29D9" w:rsidRPr="006C1888">
        <w:rPr>
          <w:b/>
          <w:bCs w:val="0"/>
        </w:rPr>
        <w:t>Table S1.</w:t>
      </w:r>
      <w:r w:rsidR="000E29D9" w:rsidRPr="00E16271">
        <w:t xml:space="preserve"> </w:t>
      </w:r>
      <w:r w:rsidR="006C4AAA" w:rsidRPr="0012240B">
        <w:t>Analyses performed by data source</w:t>
      </w:r>
      <w:bookmarkEnd w:id="1"/>
    </w:p>
    <w:tbl>
      <w:tblPr>
        <w:tblW w:w="9540" w:type="dxa"/>
        <w:tblBorders>
          <w:top w:val="single" w:sz="4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113"/>
        <w:gridCol w:w="1113"/>
        <w:gridCol w:w="1113"/>
        <w:gridCol w:w="1113"/>
        <w:gridCol w:w="1113"/>
      </w:tblGrid>
      <w:tr w:rsidR="006C4AAA" w:rsidRPr="0012240B" w14:paraId="5EE1D975" w14:textId="77777777" w:rsidTr="00390C55">
        <w:trPr>
          <w:trHeight w:val="567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B26FFF" w14:textId="77777777" w:rsidR="006C4AAA" w:rsidRPr="0012240B" w:rsidRDefault="006C4AAA" w:rsidP="001224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Datasets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7F6188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CD545B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29F882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2F57B5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44BBB4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2017</w:t>
            </w:r>
          </w:p>
        </w:tc>
      </w:tr>
      <w:tr w:rsidR="006C4AAA" w:rsidRPr="0012240B" w14:paraId="42E0B768" w14:textId="77777777" w:rsidTr="00390C55">
        <w:trPr>
          <w:trHeight w:val="454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3B04" w14:textId="77777777" w:rsidR="006C4AAA" w:rsidRPr="0012240B" w:rsidRDefault="006C4AAA" w:rsidP="001224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SGSS-AMR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D64E" w14:textId="77777777" w:rsidR="006C4AAA" w:rsidRPr="0012240B" w:rsidRDefault="006C4AAA" w:rsidP="001224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D9C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6A41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EA0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FE3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I, D</w:t>
            </w:r>
          </w:p>
        </w:tc>
      </w:tr>
      <w:tr w:rsidR="006C4AAA" w:rsidRPr="0012240B" w14:paraId="4C34BF1F" w14:textId="77777777" w:rsidTr="00390C55">
        <w:trPr>
          <w:trHeight w:val="454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8DB" w14:textId="77777777" w:rsidR="006C4AAA" w:rsidRPr="0012240B" w:rsidRDefault="006C4AAA" w:rsidP="001224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HES linked with SGSS-AMR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CEDD" w14:textId="77777777" w:rsidR="006C4AAA" w:rsidRPr="0012240B" w:rsidRDefault="006C4AAA" w:rsidP="001224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DF1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F3B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AB9E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966F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M, NU</w:t>
            </w:r>
          </w:p>
        </w:tc>
      </w:tr>
      <w:tr w:rsidR="006C4AAA" w:rsidRPr="0012240B" w14:paraId="7B5C3E00" w14:textId="77777777" w:rsidTr="00390C55">
        <w:trPr>
          <w:trHeight w:val="454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4D8" w14:textId="19583C9A" w:rsidR="006C4AAA" w:rsidRPr="0012240B" w:rsidRDefault="006C4AAA" w:rsidP="001224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DCS </w:t>
            </w:r>
            <w:r w:rsidR="00D9421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and</w:t>
            </w: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SGSS-CDR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1379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I, D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ADB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I, D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CB7D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I, D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62A3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I, D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D42B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I, D</w:t>
            </w:r>
          </w:p>
        </w:tc>
      </w:tr>
      <w:tr w:rsidR="006C4AAA" w:rsidRPr="0012240B" w14:paraId="0D29FBFD" w14:textId="77777777" w:rsidTr="00390C55">
        <w:trPr>
          <w:trHeight w:val="454"/>
        </w:trPr>
        <w:tc>
          <w:tcPr>
            <w:tcW w:w="3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71AD" w14:textId="0DA189D5" w:rsidR="006C4AAA" w:rsidRPr="0012240B" w:rsidRDefault="006C4AAA" w:rsidP="0012240B">
            <w:pPr>
              <w:spacing w:after="0" w:line="360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HES linked with DCS </w:t>
            </w:r>
            <w:r w:rsidR="00D9421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and</w:t>
            </w: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SGSS-CDR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ECAE13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2DED987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A4C0CF3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299983F" w14:textId="77777777" w:rsidR="006C4AAA" w:rsidRPr="0012240B" w:rsidRDefault="006C4AAA" w:rsidP="0012240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9E27" w14:textId="77777777" w:rsidR="006C4AAA" w:rsidRPr="0012240B" w:rsidRDefault="006C4AAA" w:rsidP="0012240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12240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D, N, M</w:t>
            </w:r>
          </w:p>
        </w:tc>
      </w:tr>
    </w:tbl>
    <w:p w14:paraId="183A2D57" w14:textId="3846C5C5" w:rsidR="006C4AAA" w:rsidRPr="00464579" w:rsidRDefault="006C4AAA" w:rsidP="00FF65D2">
      <w:pPr>
        <w:pStyle w:val="TFFootnote"/>
      </w:pPr>
      <w:r w:rsidRPr="00464579">
        <w:t xml:space="preserve">Blank cells indicate full year data </w:t>
      </w:r>
      <w:r w:rsidR="00390C55">
        <w:t>were</w:t>
      </w:r>
      <w:r w:rsidRPr="00464579">
        <w:t xml:space="preserve"> not available</w:t>
      </w:r>
      <w:r w:rsidR="00530F8A" w:rsidRPr="00464579">
        <w:t>.</w:t>
      </w:r>
      <w:r w:rsidRPr="00464579">
        <w:t xml:space="preserve"> </w:t>
      </w:r>
      <w:r w:rsidR="004274FB" w:rsidRPr="00464579">
        <w:br/>
      </w:r>
      <w:r w:rsidR="00390C55" w:rsidRPr="00464579">
        <w:t>D</w:t>
      </w:r>
      <w:r w:rsidR="00390C55">
        <w:t>,</w:t>
      </w:r>
      <w:r w:rsidR="00390C55" w:rsidRPr="00464579">
        <w:t xml:space="preserve"> demographics; </w:t>
      </w:r>
      <w:r w:rsidRPr="00390C55">
        <w:t>DCS</w:t>
      </w:r>
      <w:r w:rsidR="004407E5">
        <w:t>,</w:t>
      </w:r>
      <w:r w:rsidRPr="00390C55">
        <w:t xml:space="preserve"> Data Capture System</w:t>
      </w:r>
      <w:r w:rsidR="00530F8A" w:rsidRPr="00390C55">
        <w:t>,</w:t>
      </w:r>
      <w:r w:rsidRPr="00390C55">
        <w:t xml:space="preserve"> HES</w:t>
      </w:r>
      <w:r w:rsidR="004407E5">
        <w:t>,</w:t>
      </w:r>
      <w:r w:rsidRPr="00390C55">
        <w:t xml:space="preserve"> Hospital Episode Statistics</w:t>
      </w:r>
      <w:r w:rsidR="00870576">
        <w:t>;</w:t>
      </w:r>
      <w:r w:rsidRPr="00390C55">
        <w:t xml:space="preserve"> </w:t>
      </w:r>
      <w:r w:rsidR="00390C55" w:rsidRPr="00464579">
        <w:t>I</w:t>
      </w:r>
      <w:r w:rsidR="004407E5">
        <w:t>,</w:t>
      </w:r>
      <w:r w:rsidR="00390C55" w:rsidRPr="00464579">
        <w:t xml:space="preserve"> laboratory-confirmed incidence; </w:t>
      </w:r>
      <w:r w:rsidRPr="00390C55">
        <w:t>IED</w:t>
      </w:r>
      <w:r w:rsidR="004407E5">
        <w:t>,</w:t>
      </w:r>
      <w:r w:rsidRPr="00390C55">
        <w:t xml:space="preserve"> invasive </w:t>
      </w:r>
      <w:r w:rsidR="00413B92" w:rsidRPr="004407E5">
        <w:rPr>
          <w:i/>
          <w:iCs/>
        </w:rPr>
        <w:t>E. coli</w:t>
      </w:r>
      <w:r w:rsidRPr="00390C55">
        <w:t xml:space="preserve"> disease</w:t>
      </w:r>
      <w:r w:rsidR="00870576">
        <w:t>;</w:t>
      </w:r>
      <w:r w:rsidRPr="00390C55">
        <w:t xml:space="preserve"> </w:t>
      </w:r>
      <w:r w:rsidR="00390C55" w:rsidRPr="00464579">
        <w:t>M</w:t>
      </w:r>
      <w:r w:rsidR="004407E5">
        <w:t>,</w:t>
      </w:r>
      <w:r w:rsidR="00390C55" w:rsidRPr="00464579">
        <w:t xml:space="preserve"> mortality; N</w:t>
      </w:r>
      <w:r w:rsidR="004407E5">
        <w:t>,</w:t>
      </w:r>
      <w:r w:rsidR="00390C55" w:rsidRPr="00464579">
        <w:t xml:space="preserve"> nosocomial</w:t>
      </w:r>
      <w:r w:rsidR="00390C55">
        <w:t xml:space="preserve">; </w:t>
      </w:r>
      <w:r w:rsidR="00390C55" w:rsidRPr="00464579">
        <w:t>NU</w:t>
      </w:r>
      <w:r w:rsidR="004407E5">
        <w:t xml:space="preserve">, </w:t>
      </w:r>
      <w:r w:rsidR="00390C55" w:rsidRPr="00464579">
        <w:t>non-bacteraemic urosepsis</w:t>
      </w:r>
      <w:r w:rsidR="00390C55">
        <w:t xml:space="preserve">; </w:t>
      </w:r>
      <w:r w:rsidRPr="00390C55">
        <w:t>SGSS-AMR</w:t>
      </w:r>
      <w:r w:rsidR="004407E5">
        <w:t>,</w:t>
      </w:r>
      <w:r w:rsidRPr="00390C55">
        <w:t xml:space="preserve"> Second</w:t>
      </w:r>
      <w:r w:rsidR="00D94214">
        <w:t>-</w:t>
      </w:r>
      <w:r w:rsidRPr="00390C55">
        <w:t>Generation Surveillance System Antimicrobial Resistance Report</w:t>
      </w:r>
      <w:r w:rsidR="004407E5">
        <w:t>;</w:t>
      </w:r>
      <w:r w:rsidRPr="00390C55">
        <w:t xml:space="preserve"> SGSS-CDR</w:t>
      </w:r>
      <w:r w:rsidR="004407E5">
        <w:t>,</w:t>
      </w:r>
      <w:r w:rsidRPr="00390C55">
        <w:t xml:space="preserve"> Second</w:t>
      </w:r>
      <w:r w:rsidR="00D94214">
        <w:t>-</w:t>
      </w:r>
      <w:r w:rsidRPr="00464579">
        <w:t>Generation Surveillance System Communicable Disease Report.</w:t>
      </w:r>
    </w:p>
    <w:p w14:paraId="2F58894E" w14:textId="77777777" w:rsidR="00B51945" w:rsidRDefault="00B51945">
      <w:pPr>
        <w:spacing w:line="259" w:lineRule="auto"/>
        <w:rPr>
          <w:rFonts w:ascii="Arial" w:eastAsiaTheme="majorEastAsia" w:hAnsi="Arial" w:cs="Arial"/>
          <w:b/>
          <w:sz w:val="24"/>
          <w:szCs w:val="24"/>
        </w:rPr>
      </w:pPr>
      <w:bookmarkStart w:id="2" w:name="_Toc157089185"/>
      <w:r>
        <w:rPr>
          <w:b/>
          <w:bCs/>
        </w:rPr>
        <w:br w:type="page"/>
      </w:r>
    </w:p>
    <w:p w14:paraId="51A01253" w14:textId="67011391" w:rsidR="006C4AAA" w:rsidRPr="009F5738" w:rsidRDefault="006C1888" w:rsidP="006C1888">
      <w:pPr>
        <w:pStyle w:val="Heading2"/>
      </w:pPr>
      <w:r>
        <w:rPr>
          <w:b/>
          <w:bCs w:val="0"/>
        </w:rPr>
        <w:lastRenderedPageBreak/>
        <w:t xml:space="preserve">Supplementary </w:t>
      </w:r>
      <w:r w:rsidR="000E29D9" w:rsidRPr="006C1888">
        <w:rPr>
          <w:b/>
          <w:bCs w:val="0"/>
        </w:rPr>
        <w:t>Table S2.</w:t>
      </w:r>
      <w:r w:rsidR="000E29D9">
        <w:rPr>
          <w:i/>
          <w:iCs/>
        </w:rPr>
        <w:t xml:space="preserve"> </w:t>
      </w:r>
      <w:r w:rsidR="006C4AAA" w:rsidRPr="006C1888">
        <w:t>ICD</w:t>
      </w:r>
      <w:r w:rsidR="004274FB" w:rsidRPr="006C1888">
        <w:t>-1</w:t>
      </w:r>
      <w:r w:rsidR="006C4AAA" w:rsidRPr="006C1888">
        <w:t>0 codes</w:t>
      </w:r>
      <w:r w:rsidR="006C4AAA" w:rsidRPr="009F5738">
        <w:t xml:space="preserve"> defining invasive disease</w:t>
      </w:r>
      <w:bookmarkEnd w:id="2"/>
    </w:p>
    <w:tbl>
      <w:tblPr>
        <w:tblStyle w:val="TableGrid"/>
        <w:tblW w:w="954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7340"/>
      </w:tblGrid>
      <w:tr w:rsidR="006C4AAA" w:rsidRPr="009F5738" w14:paraId="15E62255" w14:textId="77777777" w:rsidTr="00B51945">
        <w:trPr>
          <w:trHeight w:val="567"/>
        </w:trPr>
        <w:tc>
          <w:tcPr>
            <w:tcW w:w="1154" w:type="pct"/>
            <w:shd w:val="clear" w:color="auto" w:fill="D9D9D9" w:themeFill="background1" w:themeFillShade="D9"/>
            <w:vAlign w:val="bottom"/>
          </w:tcPr>
          <w:p w14:paraId="04EBE7DA" w14:textId="3DC80D00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ICD</w:t>
            </w:r>
            <w:r w:rsidR="004274FB" w:rsidRPr="00B51945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-</w:t>
            </w:r>
            <w:r w:rsidRPr="00B51945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 xml:space="preserve">10 </w:t>
            </w:r>
            <w:proofErr w:type="spellStart"/>
            <w:r w:rsidRPr="00B51945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code</w:t>
            </w:r>
            <w:r w:rsidR="00B51945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3846" w:type="pct"/>
            <w:shd w:val="clear" w:color="auto" w:fill="D9D9D9" w:themeFill="background1" w:themeFillShade="D9"/>
            <w:vAlign w:val="bottom"/>
          </w:tcPr>
          <w:p w14:paraId="692A46A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Description</w:t>
            </w:r>
          </w:p>
        </w:tc>
      </w:tr>
      <w:tr w:rsidR="006C4AAA" w:rsidRPr="009F5738" w14:paraId="21DD015D" w14:textId="77777777" w:rsidTr="00B51945">
        <w:trPr>
          <w:trHeight w:val="454"/>
        </w:trPr>
        <w:tc>
          <w:tcPr>
            <w:tcW w:w="1154" w:type="pct"/>
          </w:tcPr>
          <w:p w14:paraId="38BFD54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A41</w:t>
            </w:r>
          </w:p>
        </w:tc>
        <w:tc>
          <w:tcPr>
            <w:tcW w:w="3846" w:type="pct"/>
          </w:tcPr>
          <w:p w14:paraId="326683D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sepsis</w:t>
            </w:r>
          </w:p>
        </w:tc>
      </w:tr>
      <w:tr w:rsidR="006C4AAA" w:rsidRPr="009F5738" w14:paraId="2EB14798" w14:textId="77777777" w:rsidTr="00B51945">
        <w:trPr>
          <w:trHeight w:val="454"/>
        </w:trPr>
        <w:tc>
          <w:tcPr>
            <w:tcW w:w="1154" w:type="pct"/>
          </w:tcPr>
          <w:p w14:paraId="368A04F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A41.5</w:t>
            </w:r>
          </w:p>
        </w:tc>
        <w:tc>
          <w:tcPr>
            <w:tcW w:w="3846" w:type="pct"/>
          </w:tcPr>
          <w:p w14:paraId="67EDF3D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Sepsis due to other Gram-negative organisms</w:t>
            </w:r>
          </w:p>
        </w:tc>
      </w:tr>
      <w:tr w:rsidR="006C4AAA" w:rsidRPr="009F5738" w14:paraId="3503DE24" w14:textId="77777777" w:rsidTr="00B51945">
        <w:trPr>
          <w:trHeight w:val="454"/>
        </w:trPr>
        <w:tc>
          <w:tcPr>
            <w:tcW w:w="1154" w:type="pct"/>
          </w:tcPr>
          <w:p w14:paraId="621451AE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A41.50</w:t>
            </w:r>
          </w:p>
        </w:tc>
        <w:tc>
          <w:tcPr>
            <w:tcW w:w="3846" w:type="pct"/>
          </w:tcPr>
          <w:p w14:paraId="408E7AA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Gram-negative sepsis, unspecified</w:t>
            </w:r>
          </w:p>
        </w:tc>
      </w:tr>
      <w:tr w:rsidR="006C4AAA" w:rsidRPr="009F5738" w14:paraId="5E3503E6" w14:textId="77777777" w:rsidTr="00B51945">
        <w:trPr>
          <w:trHeight w:val="454"/>
        </w:trPr>
        <w:tc>
          <w:tcPr>
            <w:tcW w:w="1154" w:type="pct"/>
          </w:tcPr>
          <w:p w14:paraId="706DC88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A41.51</w:t>
            </w:r>
          </w:p>
        </w:tc>
        <w:tc>
          <w:tcPr>
            <w:tcW w:w="3846" w:type="pct"/>
          </w:tcPr>
          <w:p w14:paraId="3EB26E0F" w14:textId="5D278C06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Sepsis due to </w:t>
            </w:r>
            <w:r w:rsidR="00413B92" w:rsidRPr="00B51945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>Escherichia coli</w:t>
            </w:r>
          </w:p>
        </w:tc>
      </w:tr>
      <w:tr w:rsidR="006C4AAA" w:rsidRPr="009F5738" w14:paraId="3DD6B93A" w14:textId="77777777" w:rsidTr="00B51945">
        <w:trPr>
          <w:trHeight w:val="454"/>
        </w:trPr>
        <w:tc>
          <w:tcPr>
            <w:tcW w:w="1154" w:type="pct"/>
          </w:tcPr>
          <w:p w14:paraId="32E36F3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A41.8</w:t>
            </w:r>
          </w:p>
        </w:tc>
        <w:tc>
          <w:tcPr>
            <w:tcW w:w="3846" w:type="pct"/>
          </w:tcPr>
          <w:p w14:paraId="5A2E5098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specified sepsis</w:t>
            </w:r>
          </w:p>
        </w:tc>
      </w:tr>
      <w:tr w:rsidR="006C4AAA" w:rsidRPr="009F5738" w14:paraId="508D8F25" w14:textId="77777777" w:rsidTr="00B51945">
        <w:trPr>
          <w:trHeight w:val="454"/>
        </w:trPr>
        <w:tc>
          <w:tcPr>
            <w:tcW w:w="1154" w:type="pct"/>
          </w:tcPr>
          <w:p w14:paraId="718CB00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A41.89</w:t>
            </w:r>
          </w:p>
        </w:tc>
        <w:tc>
          <w:tcPr>
            <w:tcW w:w="3846" w:type="pct"/>
          </w:tcPr>
          <w:p w14:paraId="3D49BAB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specified sepsis</w:t>
            </w:r>
          </w:p>
        </w:tc>
      </w:tr>
      <w:tr w:rsidR="006C4AAA" w:rsidRPr="009F5738" w14:paraId="04DFF3F5" w14:textId="77777777" w:rsidTr="00B51945">
        <w:trPr>
          <w:trHeight w:val="454"/>
        </w:trPr>
        <w:tc>
          <w:tcPr>
            <w:tcW w:w="1154" w:type="pct"/>
          </w:tcPr>
          <w:p w14:paraId="61B957E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A41.9</w:t>
            </w:r>
          </w:p>
        </w:tc>
        <w:tc>
          <w:tcPr>
            <w:tcW w:w="3846" w:type="pct"/>
          </w:tcPr>
          <w:p w14:paraId="1E6E347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Sepsis, unspecified organism</w:t>
            </w:r>
          </w:p>
        </w:tc>
      </w:tr>
      <w:tr w:rsidR="006C4AAA" w:rsidRPr="009F5738" w14:paraId="51B84121" w14:textId="77777777" w:rsidTr="00B51945">
        <w:trPr>
          <w:trHeight w:val="454"/>
        </w:trPr>
        <w:tc>
          <w:tcPr>
            <w:tcW w:w="1154" w:type="pct"/>
          </w:tcPr>
          <w:p w14:paraId="1E9EA3F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A48</w:t>
            </w:r>
          </w:p>
        </w:tc>
        <w:tc>
          <w:tcPr>
            <w:tcW w:w="3846" w:type="pct"/>
          </w:tcPr>
          <w:p w14:paraId="470624A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bacterial diseases, not elsewhere classified</w:t>
            </w:r>
          </w:p>
        </w:tc>
      </w:tr>
      <w:tr w:rsidR="006C4AAA" w:rsidRPr="009F5738" w14:paraId="354F8CB8" w14:textId="77777777" w:rsidTr="00B51945">
        <w:trPr>
          <w:trHeight w:val="454"/>
        </w:trPr>
        <w:tc>
          <w:tcPr>
            <w:tcW w:w="1154" w:type="pct"/>
          </w:tcPr>
          <w:p w14:paraId="24A7668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A48.8</w:t>
            </w:r>
          </w:p>
        </w:tc>
        <w:tc>
          <w:tcPr>
            <w:tcW w:w="3846" w:type="pct"/>
          </w:tcPr>
          <w:p w14:paraId="451442B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specified bacterial diseases</w:t>
            </w:r>
          </w:p>
        </w:tc>
      </w:tr>
      <w:tr w:rsidR="006C4AAA" w:rsidRPr="009F5738" w14:paraId="0D09972D" w14:textId="77777777" w:rsidTr="00B51945">
        <w:trPr>
          <w:trHeight w:val="454"/>
        </w:trPr>
        <w:tc>
          <w:tcPr>
            <w:tcW w:w="1154" w:type="pct"/>
          </w:tcPr>
          <w:p w14:paraId="47D6317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A49</w:t>
            </w:r>
          </w:p>
        </w:tc>
        <w:tc>
          <w:tcPr>
            <w:tcW w:w="3846" w:type="pct"/>
          </w:tcPr>
          <w:p w14:paraId="7F341B5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Bacterial infection of unspecified site</w:t>
            </w:r>
          </w:p>
        </w:tc>
      </w:tr>
      <w:tr w:rsidR="006C4AAA" w:rsidRPr="009F5738" w14:paraId="548127E9" w14:textId="77777777" w:rsidTr="00B51945">
        <w:trPr>
          <w:trHeight w:val="454"/>
        </w:trPr>
        <w:tc>
          <w:tcPr>
            <w:tcW w:w="1154" w:type="pct"/>
          </w:tcPr>
          <w:p w14:paraId="43F9403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A49.8</w:t>
            </w:r>
          </w:p>
        </w:tc>
        <w:tc>
          <w:tcPr>
            <w:tcW w:w="3846" w:type="pct"/>
          </w:tcPr>
          <w:p w14:paraId="4C22220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bacterial infection of unspecified site</w:t>
            </w:r>
          </w:p>
        </w:tc>
      </w:tr>
      <w:tr w:rsidR="006C4AAA" w:rsidRPr="009F5738" w14:paraId="26E12024" w14:textId="77777777" w:rsidTr="00B51945">
        <w:trPr>
          <w:trHeight w:val="454"/>
        </w:trPr>
        <w:tc>
          <w:tcPr>
            <w:tcW w:w="1154" w:type="pct"/>
          </w:tcPr>
          <w:p w14:paraId="79E4F1A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A49.9</w:t>
            </w:r>
          </w:p>
        </w:tc>
        <w:tc>
          <w:tcPr>
            <w:tcW w:w="3846" w:type="pct"/>
          </w:tcPr>
          <w:p w14:paraId="5F1795F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Bacterial infection, unspecified</w:t>
            </w:r>
          </w:p>
        </w:tc>
      </w:tr>
      <w:tr w:rsidR="006C4AAA" w:rsidRPr="009F5738" w14:paraId="4F569F4A" w14:textId="77777777" w:rsidTr="00B51945">
        <w:trPr>
          <w:trHeight w:val="454"/>
        </w:trPr>
        <w:tc>
          <w:tcPr>
            <w:tcW w:w="1154" w:type="pct"/>
          </w:tcPr>
          <w:p w14:paraId="259ABEC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B96</w:t>
            </w:r>
          </w:p>
        </w:tc>
        <w:tc>
          <w:tcPr>
            <w:tcW w:w="3846" w:type="pct"/>
          </w:tcPr>
          <w:p w14:paraId="3C95868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bacterial agents as the cause of diseases classified to other chapters</w:t>
            </w:r>
          </w:p>
        </w:tc>
      </w:tr>
      <w:tr w:rsidR="006C4AAA" w:rsidRPr="009F5738" w14:paraId="44CCC9B3" w14:textId="77777777" w:rsidTr="00B51945">
        <w:trPr>
          <w:trHeight w:val="454"/>
        </w:trPr>
        <w:tc>
          <w:tcPr>
            <w:tcW w:w="1154" w:type="pct"/>
          </w:tcPr>
          <w:p w14:paraId="4929C73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B96.2</w:t>
            </w:r>
          </w:p>
        </w:tc>
        <w:tc>
          <w:tcPr>
            <w:tcW w:w="3846" w:type="pct"/>
          </w:tcPr>
          <w:p w14:paraId="62CBF041" w14:textId="392458CA" w:rsidR="006C4AAA" w:rsidRPr="00B51945" w:rsidRDefault="00413B92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>Escherichia coli</w:t>
            </w:r>
            <w:r w:rsidR="006C4AAA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as the cause of diseases classified elsewhere</w:t>
            </w:r>
          </w:p>
        </w:tc>
      </w:tr>
      <w:tr w:rsidR="006C4AAA" w:rsidRPr="009F5738" w14:paraId="618D2706" w14:textId="77777777" w:rsidTr="00B51945">
        <w:trPr>
          <w:trHeight w:val="454"/>
        </w:trPr>
        <w:tc>
          <w:tcPr>
            <w:tcW w:w="1154" w:type="pct"/>
          </w:tcPr>
          <w:p w14:paraId="7F62BAEE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B96.20</w:t>
            </w:r>
          </w:p>
        </w:tc>
        <w:tc>
          <w:tcPr>
            <w:tcW w:w="3846" w:type="pct"/>
          </w:tcPr>
          <w:p w14:paraId="09AA33AD" w14:textId="448001B5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Unspecified </w:t>
            </w:r>
            <w:r w:rsidR="00413B92" w:rsidRPr="00B51945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>Escherichia coli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as the cause of diseases classified elsewhere</w:t>
            </w:r>
          </w:p>
        </w:tc>
      </w:tr>
      <w:tr w:rsidR="006C4AAA" w:rsidRPr="009F5738" w14:paraId="44DF977C" w14:textId="77777777" w:rsidTr="00B51945">
        <w:trPr>
          <w:trHeight w:val="454"/>
        </w:trPr>
        <w:tc>
          <w:tcPr>
            <w:tcW w:w="1154" w:type="pct"/>
          </w:tcPr>
          <w:p w14:paraId="7F1EED5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B96.29</w:t>
            </w:r>
          </w:p>
        </w:tc>
        <w:tc>
          <w:tcPr>
            <w:tcW w:w="3846" w:type="pct"/>
          </w:tcPr>
          <w:p w14:paraId="60840C7A" w14:textId="5569598D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Other </w:t>
            </w:r>
            <w:r w:rsidR="00413B92" w:rsidRPr="00B51945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>Escherichia coli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as the cause of diseases classified elsewhere</w:t>
            </w:r>
          </w:p>
        </w:tc>
      </w:tr>
      <w:tr w:rsidR="006C4AAA" w:rsidRPr="009F5738" w14:paraId="0BA79EF1" w14:textId="77777777" w:rsidTr="00B51945">
        <w:trPr>
          <w:trHeight w:val="454"/>
        </w:trPr>
        <w:tc>
          <w:tcPr>
            <w:tcW w:w="1154" w:type="pct"/>
          </w:tcPr>
          <w:p w14:paraId="50C350D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D73.3</w:t>
            </w:r>
          </w:p>
        </w:tc>
        <w:tc>
          <w:tcPr>
            <w:tcW w:w="3846" w:type="pct"/>
          </w:tcPr>
          <w:p w14:paraId="7001AF1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Abscess of spleen</w:t>
            </w:r>
          </w:p>
        </w:tc>
      </w:tr>
      <w:tr w:rsidR="006C4AAA" w:rsidRPr="009F5738" w14:paraId="1167323E" w14:textId="77777777" w:rsidTr="00B51945">
        <w:trPr>
          <w:trHeight w:val="454"/>
        </w:trPr>
        <w:tc>
          <w:tcPr>
            <w:tcW w:w="1154" w:type="pct"/>
          </w:tcPr>
          <w:p w14:paraId="3889280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G00</w:t>
            </w:r>
          </w:p>
        </w:tc>
        <w:tc>
          <w:tcPr>
            <w:tcW w:w="3846" w:type="pct"/>
          </w:tcPr>
          <w:p w14:paraId="00D1F31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Bacterial meningitis, not elsewhere classified</w:t>
            </w:r>
          </w:p>
        </w:tc>
      </w:tr>
      <w:tr w:rsidR="006C4AAA" w:rsidRPr="009F5738" w14:paraId="18640163" w14:textId="77777777" w:rsidTr="00B51945">
        <w:trPr>
          <w:trHeight w:val="454"/>
        </w:trPr>
        <w:tc>
          <w:tcPr>
            <w:tcW w:w="1154" w:type="pct"/>
          </w:tcPr>
          <w:p w14:paraId="3EFF1E2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G00.8</w:t>
            </w:r>
          </w:p>
        </w:tc>
        <w:tc>
          <w:tcPr>
            <w:tcW w:w="3846" w:type="pct"/>
          </w:tcPr>
          <w:p w14:paraId="5C35D61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gramStart"/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</w:t>
            </w:r>
            <w:proofErr w:type="gramEnd"/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bacterial meningitis</w:t>
            </w:r>
          </w:p>
        </w:tc>
      </w:tr>
      <w:tr w:rsidR="006C4AAA" w:rsidRPr="009F5738" w14:paraId="6FB70B80" w14:textId="77777777" w:rsidTr="00B51945">
        <w:trPr>
          <w:trHeight w:val="454"/>
        </w:trPr>
        <w:tc>
          <w:tcPr>
            <w:tcW w:w="1154" w:type="pct"/>
          </w:tcPr>
          <w:p w14:paraId="4F95E73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G00.9</w:t>
            </w:r>
          </w:p>
        </w:tc>
        <w:tc>
          <w:tcPr>
            <w:tcW w:w="3846" w:type="pct"/>
          </w:tcPr>
          <w:p w14:paraId="44D30D6E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Bacterial meningitis, unspecified</w:t>
            </w:r>
          </w:p>
        </w:tc>
      </w:tr>
      <w:tr w:rsidR="006C4AAA" w:rsidRPr="009F5738" w14:paraId="462FA46C" w14:textId="77777777" w:rsidTr="00B51945">
        <w:trPr>
          <w:trHeight w:val="454"/>
        </w:trPr>
        <w:tc>
          <w:tcPr>
            <w:tcW w:w="1154" w:type="pct"/>
          </w:tcPr>
          <w:p w14:paraId="5C4125D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G01</w:t>
            </w:r>
          </w:p>
        </w:tc>
        <w:tc>
          <w:tcPr>
            <w:tcW w:w="3846" w:type="pct"/>
          </w:tcPr>
          <w:p w14:paraId="4A5551C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Meningitis in bacterial diseases classified elsewhere</w:t>
            </w:r>
          </w:p>
        </w:tc>
      </w:tr>
      <w:tr w:rsidR="006C4AAA" w:rsidRPr="009F5738" w14:paraId="42EBB235" w14:textId="77777777" w:rsidTr="00B51945">
        <w:trPr>
          <w:trHeight w:val="454"/>
        </w:trPr>
        <w:tc>
          <w:tcPr>
            <w:tcW w:w="1154" w:type="pct"/>
          </w:tcPr>
          <w:p w14:paraId="2CC3AE9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G02</w:t>
            </w:r>
          </w:p>
        </w:tc>
        <w:tc>
          <w:tcPr>
            <w:tcW w:w="3846" w:type="pct"/>
          </w:tcPr>
          <w:p w14:paraId="6A0E554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Meningitis in other infectious and parasitic diseases classified elsewhere</w:t>
            </w:r>
          </w:p>
        </w:tc>
      </w:tr>
      <w:tr w:rsidR="006C4AAA" w:rsidRPr="009F5738" w14:paraId="39317BB4" w14:textId="77777777" w:rsidTr="00B51945">
        <w:trPr>
          <w:trHeight w:val="454"/>
        </w:trPr>
        <w:tc>
          <w:tcPr>
            <w:tcW w:w="1154" w:type="pct"/>
          </w:tcPr>
          <w:p w14:paraId="6720746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G03</w:t>
            </w:r>
          </w:p>
        </w:tc>
        <w:tc>
          <w:tcPr>
            <w:tcW w:w="3846" w:type="pct"/>
          </w:tcPr>
          <w:p w14:paraId="631F0C8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Meningitis due to other and unspecified causes</w:t>
            </w:r>
          </w:p>
        </w:tc>
      </w:tr>
      <w:tr w:rsidR="006C4AAA" w:rsidRPr="009F5738" w14:paraId="4F1DA211" w14:textId="77777777" w:rsidTr="00B51945">
        <w:trPr>
          <w:trHeight w:val="454"/>
        </w:trPr>
        <w:tc>
          <w:tcPr>
            <w:tcW w:w="1154" w:type="pct"/>
          </w:tcPr>
          <w:p w14:paraId="3A63733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G03.9</w:t>
            </w:r>
          </w:p>
        </w:tc>
        <w:tc>
          <w:tcPr>
            <w:tcW w:w="3846" w:type="pct"/>
          </w:tcPr>
          <w:p w14:paraId="1448FCF9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Meningitis, unspecified</w:t>
            </w:r>
          </w:p>
        </w:tc>
      </w:tr>
      <w:tr w:rsidR="006C4AAA" w:rsidRPr="009F5738" w14:paraId="6E549456" w14:textId="77777777" w:rsidTr="00B51945">
        <w:trPr>
          <w:trHeight w:val="454"/>
        </w:trPr>
        <w:tc>
          <w:tcPr>
            <w:tcW w:w="1154" w:type="pct"/>
          </w:tcPr>
          <w:p w14:paraId="3EDF3633" w14:textId="523F0338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G06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142F1C1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Intracranial and intraspinal abscess and granuloma</w:t>
            </w:r>
          </w:p>
        </w:tc>
      </w:tr>
      <w:tr w:rsidR="006C4AAA" w:rsidRPr="009F5738" w14:paraId="7F73CBD5" w14:textId="77777777" w:rsidTr="00B51945">
        <w:trPr>
          <w:trHeight w:val="454"/>
        </w:trPr>
        <w:tc>
          <w:tcPr>
            <w:tcW w:w="1154" w:type="pct"/>
          </w:tcPr>
          <w:p w14:paraId="3DCB911E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I30.1</w:t>
            </w:r>
          </w:p>
        </w:tc>
        <w:tc>
          <w:tcPr>
            <w:tcW w:w="3846" w:type="pct"/>
          </w:tcPr>
          <w:p w14:paraId="458AF8B3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Infective pericarditis</w:t>
            </w:r>
          </w:p>
        </w:tc>
      </w:tr>
      <w:tr w:rsidR="006C4AAA" w:rsidRPr="009F5738" w14:paraId="22F386AB" w14:textId="77777777" w:rsidTr="00B51945">
        <w:trPr>
          <w:trHeight w:val="454"/>
        </w:trPr>
        <w:tc>
          <w:tcPr>
            <w:tcW w:w="1154" w:type="pct"/>
          </w:tcPr>
          <w:p w14:paraId="185F9E4C" w14:textId="459D59F4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I33 + all other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27487D1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Acute and subacute infective endocarditis</w:t>
            </w:r>
          </w:p>
        </w:tc>
      </w:tr>
      <w:tr w:rsidR="006C4AAA" w:rsidRPr="009F5738" w14:paraId="1A9647A9" w14:textId="77777777" w:rsidTr="00B51945">
        <w:trPr>
          <w:trHeight w:val="454"/>
        </w:trPr>
        <w:tc>
          <w:tcPr>
            <w:tcW w:w="1154" w:type="pct"/>
          </w:tcPr>
          <w:p w14:paraId="7382012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I38</w:t>
            </w:r>
          </w:p>
        </w:tc>
        <w:tc>
          <w:tcPr>
            <w:tcW w:w="3846" w:type="pct"/>
          </w:tcPr>
          <w:p w14:paraId="5D72DD0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Endocarditis, valve unspecified</w:t>
            </w:r>
          </w:p>
        </w:tc>
      </w:tr>
      <w:tr w:rsidR="006C4AAA" w:rsidRPr="009F5738" w14:paraId="027C3A37" w14:textId="77777777" w:rsidTr="00B51945">
        <w:trPr>
          <w:trHeight w:val="454"/>
        </w:trPr>
        <w:tc>
          <w:tcPr>
            <w:tcW w:w="1154" w:type="pct"/>
          </w:tcPr>
          <w:p w14:paraId="1247EA6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I39</w:t>
            </w:r>
          </w:p>
        </w:tc>
        <w:tc>
          <w:tcPr>
            <w:tcW w:w="3846" w:type="pct"/>
          </w:tcPr>
          <w:p w14:paraId="6BF71F6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Endocarditis and heart valve disorders in diseases classified elsewhere</w:t>
            </w:r>
          </w:p>
        </w:tc>
      </w:tr>
      <w:tr w:rsidR="006C4AAA" w:rsidRPr="009F5738" w14:paraId="472A91F0" w14:textId="77777777" w:rsidTr="00B51945">
        <w:trPr>
          <w:trHeight w:val="454"/>
        </w:trPr>
        <w:tc>
          <w:tcPr>
            <w:tcW w:w="1154" w:type="pct"/>
          </w:tcPr>
          <w:p w14:paraId="72D1FF4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I77.6</w:t>
            </w:r>
          </w:p>
        </w:tc>
        <w:tc>
          <w:tcPr>
            <w:tcW w:w="3846" w:type="pct"/>
          </w:tcPr>
          <w:p w14:paraId="7D3A786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Arteritis, unspecified</w:t>
            </w:r>
          </w:p>
        </w:tc>
      </w:tr>
      <w:tr w:rsidR="006C4AAA" w:rsidRPr="009F5738" w14:paraId="029159E8" w14:textId="77777777" w:rsidTr="00B51945">
        <w:trPr>
          <w:trHeight w:val="454"/>
        </w:trPr>
        <w:tc>
          <w:tcPr>
            <w:tcW w:w="1154" w:type="pct"/>
          </w:tcPr>
          <w:p w14:paraId="472D81C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J15</w:t>
            </w:r>
          </w:p>
        </w:tc>
        <w:tc>
          <w:tcPr>
            <w:tcW w:w="3846" w:type="pct"/>
          </w:tcPr>
          <w:p w14:paraId="37D85DC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Bacterial pneumonia, not elsewhere classified</w:t>
            </w:r>
          </w:p>
        </w:tc>
      </w:tr>
      <w:tr w:rsidR="006C4AAA" w:rsidRPr="009F5738" w14:paraId="3EC1EDCF" w14:textId="77777777" w:rsidTr="00B51945">
        <w:trPr>
          <w:trHeight w:val="454"/>
        </w:trPr>
        <w:tc>
          <w:tcPr>
            <w:tcW w:w="1154" w:type="pct"/>
          </w:tcPr>
          <w:p w14:paraId="1D32D3E1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J15.5</w:t>
            </w:r>
          </w:p>
        </w:tc>
        <w:tc>
          <w:tcPr>
            <w:tcW w:w="3846" w:type="pct"/>
          </w:tcPr>
          <w:p w14:paraId="41F713DD" w14:textId="0DFE7684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Pneumonia due to </w:t>
            </w:r>
            <w:r w:rsidR="00413B92" w:rsidRPr="00B51945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>Escherichia coli</w:t>
            </w:r>
          </w:p>
        </w:tc>
      </w:tr>
      <w:tr w:rsidR="006C4AAA" w:rsidRPr="009F5738" w14:paraId="7414FEF7" w14:textId="77777777" w:rsidTr="00B51945">
        <w:trPr>
          <w:trHeight w:val="454"/>
        </w:trPr>
        <w:tc>
          <w:tcPr>
            <w:tcW w:w="1154" w:type="pct"/>
          </w:tcPr>
          <w:p w14:paraId="30CD06F3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J15.9</w:t>
            </w:r>
          </w:p>
        </w:tc>
        <w:tc>
          <w:tcPr>
            <w:tcW w:w="3846" w:type="pct"/>
          </w:tcPr>
          <w:p w14:paraId="44906F9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Unspecified bacterial pneumonia</w:t>
            </w:r>
          </w:p>
        </w:tc>
      </w:tr>
      <w:tr w:rsidR="006C4AAA" w:rsidRPr="009F5738" w14:paraId="7991D083" w14:textId="77777777" w:rsidTr="00B51945">
        <w:trPr>
          <w:trHeight w:val="454"/>
        </w:trPr>
        <w:tc>
          <w:tcPr>
            <w:tcW w:w="1154" w:type="pct"/>
          </w:tcPr>
          <w:p w14:paraId="64863C2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J16.8</w:t>
            </w:r>
          </w:p>
        </w:tc>
        <w:tc>
          <w:tcPr>
            <w:tcW w:w="3846" w:type="pct"/>
          </w:tcPr>
          <w:p w14:paraId="0CBE3F5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Pneumonia due to other specified infectious organisms</w:t>
            </w:r>
          </w:p>
        </w:tc>
      </w:tr>
      <w:tr w:rsidR="006C4AAA" w:rsidRPr="009F5738" w14:paraId="788F8BB8" w14:textId="77777777" w:rsidTr="00B51945">
        <w:trPr>
          <w:trHeight w:val="454"/>
        </w:trPr>
        <w:tc>
          <w:tcPr>
            <w:tcW w:w="1154" w:type="pct"/>
          </w:tcPr>
          <w:p w14:paraId="69F929D9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J17</w:t>
            </w:r>
          </w:p>
        </w:tc>
        <w:tc>
          <w:tcPr>
            <w:tcW w:w="3846" w:type="pct"/>
          </w:tcPr>
          <w:p w14:paraId="16C7583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Pneumonia in diseases classified elsewhere</w:t>
            </w:r>
          </w:p>
        </w:tc>
      </w:tr>
      <w:tr w:rsidR="006C4AAA" w:rsidRPr="009F5738" w14:paraId="68E62518" w14:textId="77777777" w:rsidTr="00B51945">
        <w:trPr>
          <w:trHeight w:val="454"/>
        </w:trPr>
        <w:tc>
          <w:tcPr>
            <w:tcW w:w="1154" w:type="pct"/>
          </w:tcPr>
          <w:p w14:paraId="35F000F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J18</w:t>
            </w:r>
          </w:p>
        </w:tc>
        <w:tc>
          <w:tcPr>
            <w:tcW w:w="3846" w:type="pct"/>
          </w:tcPr>
          <w:p w14:paraId="5361C59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Pneumonia, unspecified organism</w:t>
            </w:r>
          </w:p>
        </w:tc>
      </w:tr>
      <w:tr w:rsidR="006C4AAA" w:rsidRPr="009F5738" w14:paraId="7592BAD0" w14:textId="77777777" w:rsidTr="00B51945">
        <w:trPr>
          <w:trHeight w:val="454"/>
        </w:trPr>
        <w:tc>
          <w:tcPr>
            <w:tcW w:w="1154" w:type="pct"/>
          </w:tcPr>
          <w:p w14:paraId="6029F17E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J18.0</w:t>
            </w:r>
          </w:p>
        </w:tc>
        <w:tc>
          <w:tcPr>
            <w:tcW w:w="3846" w:type="pct"/>
          </w:tcPr>
          <w:p w14:paraId="44225E91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Bronchopneumonia, unspecified organism</w:t>
            </w:r>
          </w:p>
        </w:tc>
      </w:tr>
      <w:tr w:rsidR="006C4AAA" w:rsidRPr="009F5738" w14:paraId="3BC500BB" w14:textId="77777777" w:rsidTr="00B51945">
        <w:trPr>
          <w:trHeight w:val="454"/>
        </w:trPr>
        <w:tc>
          <w:tcPr>
            <w:tcW w:w="1154" w:type="pct"/>
          </w:tcPr>
          <w:p w14:paraId="1915AB1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J18.1</w:t>
            </w:r>
          </w:p>
        </w:tc>
        <w:tc>
          <w:tcPr>
            <w:tcW w:w="3846" w:type="pct"/>
          </w:tcPr>
          <w:p w14:paraId="6F521A39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Lobar pneumonia, unspecified organism</w:t>
            </w:r>
          </w:p>
        </w:tc>
      </w:tr>
      <w:tr w:rsidR="006C4AAA" w:rsidRPr="009F5738" w14:paraId="4B680246" w14:textId="77777777" w:rsidTr="00B51945">
        <w:trPr>
          <w:trHeight w:val="454"/>
        </w:trPr>
        <w:tc>
          <w:tcPr>
            <w:tcW w:w="1154" w:type="pct"/>
          </w:tcPr>
          <w:p w14:paraId="0FB9E1E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J18.2</w:t>
            </w:r>
          </w:p>
        </w:tc>
        <w:tc>
          <w:tcPr>
            <w:tcW w:w="3846" w:type="pct"/>
          </w:tcPr>
          <w:p w14:paraId="691AFCF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Hypostatic pneumonia, unspecified organism</w:t>
            </w:r>
          </w:p>
        </w:tc>
      </w:tr>
      <w:tr w:rsidR="006C4AAA" w:rsidRPr="009F5738" w14:paraId="3688D8C4" w14:textId="77777777" w:rsidTr="00B51945">
        <w:trPr>
          <w:trHeight w:val="454"/>
        </w:trPr>
        <w:tc>
          <w:tcPr>
            <w:tcW w:w="1154" w:type="pct"/>
          </w:tcPr>
          <w:p w14:paraId="702C102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J18.8</w:t>
            </w:r>
          </w:p>
        </w:tc>
        <w:tc>
          <w:tcPr>
            <w:tcW w:w="3846" w:type="pct"/>
          </w:tcPr>
          <w:p w14:paraId="657437A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pneumonia, unspecified organism</w:t>
            </w:r>
          </w:p>
        </w:tc>
      </w:tr>
      <w:tr w:rsidR="006C4AAA" w:rsidRPr="009F5738" w14:paraId="1A0B027E" w14:textId="77777777" w:rsidTr="00B51945">
        <w:trPr>
          <w:trHeight w:val="454"/>
        </w:trPr>
        <w:tc>
          <w:tcPr>
            <w:tcW w:w="1154" w:type="pct"/>
          </w:tcPr>
          <w:p w14:paraId="3AF0A6C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J18.9</w:t>
            </w:r>
          </w:p>
        </w:tc>
        <w:tc>
          <w:tcPr>
            <w:tcW w:w="3846" w:type="pct"/>
          </w:tcPr>
          <w:p w14:paraId="3D3AF663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Pneumonia, unspecified organism</w:t>
            </w:r>
          </w:p>
        </w:tc>
      </w:tr>
      <w:tr w:rsidR="006C4AAA" w:rsidRPr="009F5738" w14:paraId="11F42202" w14:textId="77777777" w:rsidTr="00B51945">
        <w:trPr>
          <w:trHeight w:val="454"/>
        </w:trPr>
        <w:tc>
          <w:tcPr>
            <w:tcW w:w="1154" w:type="pct"/>
          </w:tcPr>
          <w:p w14:paraId="336B5D09" w14:textId="046A7AE6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J85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38DD042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Abscess of lung and mediastinum</w:t>
            </w:r>
          </w:p>
        </w:tc>
      </w:tr>
      <w:tr w:rsidR="006C4AAA" w:rsidRPr="009F5738" w14:paraId="6CE76A0A" w14:textId="77777777" w:rsidTr="00B51945">
        <w:trPr>
          <w:trHeight w:val="454"/>
        </w:trPr>
        <w:tc>
          <w:tcPr>
            <w:tcW w:w="1154" w:type="pct"/>
          </w:tcPr>
          <w:p w14:paraId="5DC96D28" w14:textId="1ED2A945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J86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136D8DD9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Pyothorax</w:t>
            </w:r>
          </w:p>
        </w:tc>
      </w:tr>
      <w:tr w:rsidR="006C4AAA" w:rsidRPr="009F5738" w14:paraId="1F6DA659" w14:textId="77777777" w:rsidTr="00B51945">
        <w:trPr>
          <w:trHeight w:val="454"/>
        </w:trPr>
        <w:tc>
          <w:tcPr>
            <w:tcW w:w="1154" w:type="pct"/>
          </w:tcPr>
          <w:p w14:paraId="04DBE1E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J98.51</w:t>
            </w:r>
          </w:p>
        </w:tc>
        <w:tc>
          <w:tcPr>
            <w:tcW w:w="3846" w:type="pct"/>
          </w:tcPr>
          <w:p w14:paraId="0276B79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Mediastinitis</w:t>
            </w:r>
          </w:p>
        </w:tc>
      </w:tr>
      <w:tr w:rsidR="006C4AAA" w:rsidRPr="009F5738" w14:paraId="13BEC9A6" w14:textId="77777777" w:rsidTr="00B51945">
        <w:trPr>
          <w:trHeight w:val="454"/>
        </w:trPr>
        <w:tc>
          <w:tcPr>
            <w:tcW w:w="1154" w:type="pct"/>
          </w:tcPr>
          <w:p w14:paraId="4C93684B" w14:textId="1F73FC93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K61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4E14EC6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Abscess of anal and rectal regions</w:t>
            </w:r>
          </w:p>
        </w:tc>
      </w:tr>
      <w:tr w:rsidR="006C4AAA" w:rsidRPr="009F5738" w14:paraId="5EB60957" w14:textId="77777777" w:rsidTr="00B51945">
        <w:trPr>
          <w:trHeight w:val="454"/>
        </w:trPr>
        <w:tc>
          <w:tcPr>
            <w:tcW w:w="1154" w:type="pct"/>
          </w:tcPr>
          <w:p w14:paraId="194A93B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K63.0</w:t>
            </w:r>
          </w:p>
        </w:tc>
        <w:tc>
          <w:tcPr>
            <w:tcW w:w="3846" w:type="pct"/>
          </w:tcPr>
          <w:p w14:paraId="5D108B1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Abscess of intestine</w:t>
            </w:r>
          </w:p>
        </w:tc>
      </w:tr>
      <w:tr w:rsidR="006C4AAA" w:rsidRPr="009F5738" w14:paraId="74648085" w14:textId="77777777" w:rsidTr="00B51945">
        <w:trPr>
          <w:trHeight w:val="454"/>
        </w:trPr>
        <w:tc>
          <w:tcPr>
            <w:tcW w:w="1154" w:type="pct"/>
          </w:tcPr>
          <w:p w14:paraId="089129B9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K65</w:t>
            </w:r>
          </w:p>
        </w:tc>
        <w:tc>
          <w:tcPr>
            <w:tcW w:w="3846" w:type="pct"/>
          </w:tcPr>
          <w:p w14:paraId="43FA4CE3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Peritonitis</w:t>
            </w:r>
          </w:p>
        </w:tc>
      </w:tr>
      <w:tr w:rsidR="006C4AAA" w:rsidRPr="009F5738" w14:paraId="23BB6FD3" w14:textId="77777777" w:rsidTr="00B51945">
        <w:trPr>
          <w:trHeight w:val="454"/>
        </w:trPr>
        <w:tc>
          <w:tcPr>
            <w:tcW w:w="1154" w:type="pct"/>
          </w:tcPr>
          <w:p w14:paraId="4EA3694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K65.0</w:t>
            </w:r>
          </w:p>
        </w:tc>
        <w:tc>
          <w:tcPr>
            <w:tcW w:w="3846" w:type="pct"/>
          </w:tcPr>
          <w:p w14:paraId="6E0A7F1D" w14:textId="4090B66A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Generali</w:t>
            </w:r>
            <w:r w:rsidR="00720467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ed (acute) peritonitis</w:t>
            </w:r>
          </w:p>
        </w:tc>
      </w:tr>
      <w:tr w:rsidR="006C4AAA" w:rsidRPr="009F5738" w14:paraId="4DE37E0D" w14:textId="77777777" w:rsidTr="00B51945">
        <w:trPr>
          <w:trHeight w:val="454"/>
        </w:trPr>
        <w:tc>
          <w:tcPr>
            <w:tcW w:w="1154" w:type="pct"/>
          </w:tcPr>
          <w:p w14:paraId="68BDC7E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K65.1</w:t>
            </w:r>
          </w:p>
        </w:tc>
        <w:tc>
          <w:tcPr>
            <w:tcW w:w="3846" w:type="pct"/>
          </w:tcPr>
          <w:p w14:paraId="53AA78A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Peritoneal abscess</w:t>
            </w:r>
          </w:p>
        </w:tc>
      </w:tr>
      <w:tr w:rsidR="006C4AAA" w:rsidRPr="009F5738" w14:paraId="70F95524" w14:textId="77777777" w:rsidTr="00B51945">
        <w:trPr>
          <w:trHeight w:val="454"/>
        </w:trPr>
        <w:tc>
          <w:tcPr>
            <w:tcW w:w="1154" w:type="pct"/>
          </w:tcPr>
          <w:p w14:paraId="2B679B5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K65.2</w:t>
            </w:r>
          </w:p>
        </w:tc>
        <w:tc>
          <w:tcPr>
            <w:tcW w:w="3846" w:type="pct"/>
          </w:tcPr>
          <w:p w14:paraId="40BEC0D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Spontaneous bacterial peritonitis</w:t>
            </w:r>
          </w:p>
        </w:tc>
      </w:tr>
      <w:tr w:rsidR="006C4AAA" w:rsidRPr="009F5738" w14:paraId="607FD83D" w14:textId="77777777" w:rsidTr="00B51945">
        <w:trPr>
          <w:trHeight w:val="454"/>
        </w:trPr>
        <w:tc>
          <w:tcPr>
            <w:tcW w:w="1154" w:type="pct"/>
          </w:tcPr>
          <w:p w14:paraId="28444023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K65.8</w:t>
            </w:r>
          </w:p>
        </w:tc>
        <w:tc>
          <w:tcPr>
            <w:tcW w:w="3846" w:type="pct"/>
          </w:tcPr>
          <w:p w14:paraId="5D5D548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peritonitis</w:t>
            </w:r>
          </w:p>
        </w:tc>
      </w:tr>
      <w:tr w:rsidR="006C4AAA" w:rsidRPr="009F5738" w14:paraId="2AFD4EB4" w14:textId="77777777" w:rsidTr="00B51945">
        <w:trPr>
          <w:trHeight w:val="454"/>
        </w:trPr>
        <w:tc>
          <w:tcPr>
            <w:tcW w:w="1154" w:type="pct"/>
          </w:tcPr>
          <w:p w14:paraId="2397944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K65.9</w:t>
            </w:r>
          </w:p>
        </w:tc>
        <w:tc>
          <w:tcPr>
            <w:tcW w:w="3846" w:type="pct"/>
          </w:tcPr>
          <w:p w14:paraId="091FFB6E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Peritonitis, unspecified</w:t>
            </w:r>
          </w:p>
        </w:tc>
      </w:tr>
      <w:tr w:rsidR="006C4AAA" w:rsidRPr="009F5738" w14:paraId="009DC936" w14:textId="77777777" w:rsidTr="00B51945">
        <w:trPr>
          <w:trHeight w:val="454"/>
        </w:trPr>
        <w:tc>
          <w:tcPr>
            <w:tcW w:w="1154" w:type="pct"/>
          </w:tcPr>
          <w:p w14:paraId="52C11B8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K67.8</w:t>
            </w:r>
          </w:p>
        </w:tc>
        <w:tc>
          <w:tcPr>
            <w:tcW w:w="3846" w:type="pct"/>
          </w:tcPr>
          <w:p w14:paraId="554985C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Disorders of peritoneum in infectious diseases classified elsewhere</w:t>
            </w:r>
          </w:p>
        </w:tc>
      </w:tr>
      <w:tr w:rsidR="006C4AAA" w:rsidRPr="009F5738" w14:paraId="1476AC37" w14:textId="77777777" w:rsidTr="00B51945">
        <w:trPr>
          <w:trHeight w:val="454"/>
        </w:trPr>
        <w:tc>
          <w:tcPr>
            <w:tcW w:w="1154" w:type="pct"/>
          </w:tcPr>
          <w:p w14:paraId="403CCCA6" w14:textId="3B072F6D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K68.1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7783C05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Retroperitoneal abscess</w:t>
            </w:r>
          </w:p>
        </w:tc>
      </w:tr>
      <w:tr w:rsidR="006C4AAA" w:rsidRPr="009F5738" w14:paraId="7D06248C" w14:textId="77777777" w:rsidTr="00B51945">
        <w:trPr>
          <w:trHeight w:val="454"/>
        </w:trPr>
        <w:tc>
          <w:tcPr>
            <w:tcW w:w="1154" w:type="pct"/>
          </w:tcPr>
          <w:p w14:paraId="27B96EF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K75.0</w:t>
            </w:r>
          </w:p>
        </w:tc>
        <w:tc>
          <w:tcPr>
            <w:tcW w:w="3846" w:type="pct"/>
          </w:tcPr>
          <w:p w14:paraId="0FE27098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Abscess of liver</w:t>
            </w:r>
          </w:p>
        </w:tc>
      </w:tr>
      <w:tr w:rsidR="006C4AAA" w:rsidRPr="009F5738" w14:paraId="12EB7087" w14:textId="77777777" w:rsidTr="00B51945">
        <w:trPr>
          <w:trHeight w:val="454"/>
        </w:trPr>
        <w:tc>
          <w:tcPr>
            <w:tcW w:w="1154" w:type="pct"/>
          </w:tcPr>
          <w:p w14:paraId="6FB50AF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K83.0</w:t>
            </w:r>
          </w:p>
        </w:tc>
        <w:tc>
          <w:tcPr>
            <w:tcW w:w="3846" w:type="pct"/>
          </w:tcPr>
          <w:p w14:paraId="0F71919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Cholangitis</w:t>
            </w:r>
          </w:p>
        </w:tc>
      </w:tr>
      <w:tr w:rsidR="006C4AAA" w:rsidRPr="009F5738" w14:paraId="013E973F" w14:textId="77777777" w:rsidTr="00B51945">
        <w:trPr>
          <w:trHeight w:val="454"/>
        </w:trPr>
        <w:tc>
          <w:tcPr>
            <w:tcW w:w="1154" w:type="pct"/>
          </w:tcPr>
          <w:p w14:paraId="6D48ABA1" w14:textId="66165EE3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K85.8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17ED2F5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acute pancreatitis</w:t>
            </w:r>
          </w:p>
        </w:tc>
      </w:tr>
      <w:tr w:rsidR="006C4AAA" w:rsidRPr="009F5738" w14:paraId="629A7A6D" w14:textId="77777777" w:rsidTr="00B51945">
        <w:trPr>
          <w:trHeight w:val="454"/>
        </w:trPr>
        <w:tc>
          <w:tcPr>
            <w:tcW w:w="1154" w:type="pct"/>
          </w:tcPr>
          <w:p w14:paraId="593CEF8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K85.9</w:t>
            </w:r>
          </w:p>
        </w:tc>
        <w:tc>
          <w:tcPr>
            <w:tcW w:w="3846" w:type="pct"/>
          </w:tcPr>
          <w:p w14:paraId="11BEDFC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Acute pancreatitis, unspecified</w:t>
            </w:r>
          </w:p>
        </w:tc>
      </w:tr>
      <w:tr w:rsidR="006C4AAA" w:rsidRPr="009F5738" w14:paraId="40E573DE" w14:textId="77777777" w:rsidTr="00B51945">
        <w:trPr>
          <w:trHeight w:val="454"/>
        </w:trPr>
        <w:tc>
          <w:tcPr>
            <w:tcW w:w="1154" w:type="pct"/>
          </w:tcPr>
          <w:p w14:paraId="5B5791D8" w14:textId="0AB2D302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M00.8 + all other </w:t>
            </w:r>
            <w:r w:rsidR="00E253AD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4982FB09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Arthritis and polyarthritis due to other bacteria</w:t>
            </w:r>
          </w:p>
        </w:tc>
      </w:tr>
      <w:tr w:rsidR="006C4AAA" w:rsidRPr="009F5738" w14:paraId="0A084635" w14:textId="77777777" w:rsidTr="00B51945">
        <w:trPr>
          <w:trHeight w:val="454"/>
        </w:trPr>
        <w:tc>
          <w:tcPr>
            <w:tcW w:w="1154" w:type="pct"/>
          </w:tcPr>
          <w:p w14:paraId="3D9ADF3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M00.9</w:t>
            </w:r>
          </w:p>
        </w:tc>
        <w:tc>
          <w:tcPr>
            <w:tcW w:w="3846" w:type="pct"/>
          </w:tcPr>
          <w:p w14:paraId="797148F1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Pyogenic arthritis, unspecified </w:t>
            </w:r>
          </w:p>
        </w:tc>
      </w:tr>
      <w:tr w:rsidR="006C4AAA" w:rsidRPr="009F5738" w14:paraId="0AF8AB7B" w14:textId="77777777" w:rsidTr="00B51945">
        <w:trPr>
          <w:trHeight w:val="454"/>
        </w:trPr>
        <w:tc>
          <w:tcPr>
            <w:tcW w:w="1154" w:type="pct"/>
          </w:tcPr>
          <w:p w14:paraId="7A7A0E15" w14:textId="1CBEB3BF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M01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377B29A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Direct infections of joint in infectious and parasitic diseases classified elsewhere</w:t>
            </w:r>
          </w:p>
        </w:tc>
      </w:tr>
      <w:tr w:rsidR="006C4AAA" w:rsidRPr="009F5738" w14:paraId="13766BEE" w14:textId="77777777" w:rsidTr="00B51945">
        <w:trPr>
          <w:trHeight w:val="454"/>
        </w:trPr>
        <w:tc>
          <w:tcPr>
            <w:tcW w:w="1154" w:type="pct"/>
          </w:tcPr>
          <w:p w14:paraId="00D744A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M46.3</w:t>
            </w:r>
          </w:p>
        </w:tc>
        <w:tc>
          <w:tcPr>
            <w:tcW w:w="3846" w:type="pct"/>
          </w:tcPr>
          <w:p w14:paraId="5D72AD7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Infection of intervertebral disc (pyogenic)</w:t>
            </w:r>
          </w:p>
        </w:tc>
      </w:tr>
      <w:tr w:rsidR="006C4AAA" w:rsidRPr="009F5738" w14:paraId="1E36F5D7" w14:textId="77777777" w:rsidTr="00B51945">
        <w:trPr>
          <w:trHeight w:val="454"/>
        </w:trPr>
        <w:tc>
          <w:tcPr>
            <w:tcW w:w="1154" w:type="pct"/>
          </w:tcPr>
          <w:p w14:paraId="41174E6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M60.0</w:t>
            </w:r>
          </w:p>
        </w:tc>
        <w:tc>
          <w:tcPr>
            <w:tcW w:w="3846" w:type="pct"/>
          </w:tcPr>
          <w:p w14:paraId="362756B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Infective myositis</w:t>
            </w:r>
          </w:p>
        </w:tc>
      </w:tr>
      <w:tr w:rsidR="006C4AAA" w:rsidRPr="009F5738" w14:paraId="70D28464" w14:textId="77777777" w:rsidTr="00B51945">
        <w:trPr>
          <w:trHeight w:val="454"/>
        </w:trPr>
        <w:tc>
          <w:tcPr>
            <w:tcW w:w="1154" w:type="pct"/>
          </w:tcPr>
          <w:p w14:paraId="3D81EB88" w14:textId="0A991CDC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M71.0 + all other </w:t>
            </w:r>
            <w:r w:rsidR="00E253AD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3C35A39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Abscess of bursa </w:t>
            </w:r>
          </w:p>
        </w:tc>
      </w:tr>
      <w:tr w:rsidR="006C4AAA" w:rsidRPr="009F5738" w14:paraId="65157DFF" w14:textId="77777777" w:rsidTr="00B51945">
        <w:trPr>
          <w:trHeight w:val="454"/>
        </w:trPr>
        <w:tc>
          <w:tcPr>
            <w:tcW w:w="1154" w:type="pct"/>
          </w:tcPr>
          <w:p w14:paraId="572DDFAC" w14:textId="11D15B64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M71.1 + all other </w:t>
            </w:r>
            <w:r w:rsidR="00E253AD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15EAA05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infective bursitis</w:t>
            </w:r>
          </w:p>
        </w:tc>
      </w:tr>
      <w:tr w:rsidR="006C4AAA" w:rsidRPr="009F5738" w14:paraId="3F5863B3" w14:textId="77777777" w:rsidTr="00B51945">
        <w:trPr>
          <w:trHeight w:val="454"/>
        </w:trPr>
        <w:tc>
          <w:tcPr>
            <w:tcW w:w="1154" w:type="pct"/>
          </w:tcPr>
          <w:p w14:paraId="048F846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M72.6</w:t>
            </w:r>
          </w:p>
        </w:tc>
        <w:tc>
          <w:tcPr>
            <w:tcW w:w="3846" w:type="pct"/>
          </w:tcPr>
          <w:p w14:paraId="10D7BC1D" w14:textId="0955A6AE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Necroti</w:t>
            </w:r>
            <w:r w:rsidR="00720467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ing fasciitis</w:t>
            </w:r>
          </w:p>
        </w:tc>
      </w:tr>
      <w:tr w:rsidR="006C4AAA" w:rsidRPr="009F5738" w14:paraId="48A32B4A" w14:textId="77777777" w:rsidTr="00B51945">
        <w:trPr>
          <w:trHeight w:val="454"/>
        </w:trPr>
        <w:tc>
          <w:tcPr>
            <w:tcW w:w="1154" w:type="pct"/>
          </w:tcPr>
          <w:p w14:paraId="3CF5A896" w14:textId="7FCDC45C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M86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3751652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Osteomyelitis</w:t>
            </w:r>
          </w:p>
        </w:tc>
      </w:tr>
      <w:tr w:rsidR="006C4AAA" w:rsidRPr="009F5738" w14:paraId="412A28A2" w14:textId="77777777" w:rsidTr="00B51945">
        <w:trPr>
          <w:trHeight w:val="454"/>
        </w:trPr>
        <w:tc>
          <w:tcPr>
            <w:tcW w:w="1154" w:type="pct"/>
          </w:tcPr>
          <w:p w14:paraId="36C09BB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N10</w:t>
            </w:r>
          </w:p>
        </w:tc>
        <w:tc>
          <w:tcPr>
            <w:tcW w:w="3846" w:type="pct"/>
          </w:tcPr>
          <w:p w14:paraId="16226931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Acute pyelonephritis</w:t>
            </w:r>
          </w:p>
        </w:tc>
      </w:tr>
      <w:tr w:rsidR="006C4AAA" w:rsidRPr="009F5738" w14:paraId="5FD4B04E" w14:textId="77777777" w:rsidTr="00B51945">
        <w:trPr>
          <w:trHeight w:val="454"/>
        </w:trPr>
        <w:tc>
          <w:tcPr>
            <w:tcW w:w="1154" w:type="pct"/>
          </w:tcPr>
          <w:p w14:paraId="0965B2A9" w14:textId="3BFA57B3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N11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1D83AEC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Chronic tubulo-interstitial nephritis</w:t>
            </w:r>
          </w:p>
        </w:tc>
      </w:tr>
      <w:tr w:rsidR="006C4AAA" w:rsidRPr="009F5738" w14:paraId="6EC9DF6C" w14:textId="77777777" w:rsidTr="00B51945">
        <w:trPr>
          <w:trHeight w:val="454"/>
        </w:trPr>
        <w:tc>
          <w:tcPr>
            <w:tcW w:w="1154" w:type="pct"/>
          </w:tcPr>
          <w:p w14:paraId="7D7C7A0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N15.1</w:t>
            </w:r>
          </w:p>
        </w:tc>
        <w:tc>
          <w:tcPr>
            <w:tcW w:w="3846" w:type="pct"/>
          </w:tcPr>
          <w:p w14:paraId="2B622248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Renal and perinephric abscess</w:t>
            </w:r>
          </w:p>
        </w:tc>
      </w:tr>
      <w:tr w:rsidR="006C4AAA" w:rsidRPr="009F5738" w14:paraId="5A215698" w14:textId="77777777" w:rsidTr="00B51945">
        <w:trPr>
          <w:trHeight w:val="454"/>
        </w:trPr>
        <w:tc>
          <w:tcPr>
            <w:tcW w:w="1154" w:type="pct"/>
          </w:tcPr>
          <w:p w14:paraId="518D2613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N29</w:t>
            </w:r>
          </w:p>
        </w:tc>
        <w:tc>
          <w:tcPr>
            <w:tcW w:w="3846" w:type="pct"/>
          </w:tcPr>
          <w:p w14:paraId="2EFA79D9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disorders of kidney and ureter in diseases classified elsewhere</w:t>
            </w:r>
          </w:p>
        </w:tc>
      </w:tr>
      <w:tr w:rsidR="006C4AAA" w:rsidRPr="009F5738" w14:paraId="299675DE" w14:textId="77777777" w:rsidTr="00B51945">
        <w:trPr>
          <w:trHeight w:val="454"/>
        </w:trPr>
        <w:tc>
          <w:tcPr>
            <w:tcW w:w="1154" w:type="pct"/>
          </w:tcPr>
          <w:p w14:paraId="4C03DA1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N43.1</w:t>
            </w:r>
          </w:p>
        </w:tc>
        <w:tc>
          <w:tcPr>
            <w:tcW w:w="3846" w:type="pct"/>
          </w:tcPr>
          <w:p w14:paraId="4AD35CA8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Infected hydrocele</w:t>
            </w:r>
          </w:p>
        </w:tc>
      </w:tr>
      <w:tr w:rsidR="006C4AAA" w:rsidRPr="009F5738" w14:paraId="55953A11" w14:textId="77777777" w:rsidTr="00B51945">
        <w:trPr>
          <w:trHeight w:val="454"/>
        </w:trPr>
        <w:tc>
          <w:tcPr>
            <w:tcW w:w="1154" w:type="pct"/>
          </w:tcPr>
          <w:p w14:paraId="0C34A184" w14:textId="39D101AF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N45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5A24EC9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Orchitis and epididymitis</w:t>
            </w:r>
          </w:p>
        </w:tc>
      </w:tr>
      <w:tr w:rsidR="006C4AAA" w:rsidRPr="009F5738" w14:paraId="15F27634" w14:textId="77777777" w:rsidTr="00B51945">
        <w:trPr>
          <w:trHeight w:val="454"/>
        </w:trPr>
        <w:tc>
          <w:tcPr>
            <w:tcW w:w="1154" w:type="pct"/>
          </w:tcPr>
          <w:p w14:paraId="58E17684" w14:textId="3707387F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N70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5C8C85B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Salpingitis and oophoritis</w:t>
            </w:r>
          </w:p>
        </w:tc>
      </w:tr>
      <w:tr w:rsidR="006C4AAA" w:rsidRPr="009F5738" w14:paraId="28F5C695" w14:textId="77777777" w:rsidTr="00B51945">
        <w:trPr>
          <w:trHeight w:val="454"/>
        </w:trPr>
        <w:tc>
          <w:tcPr>
            <w:tcW w:w="1154" w:type="pct"/>
          </w:tcPr>
          <w:p w14:paraId="11AD6FA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N76.4</w:t>
            </w:r>
          </w:p>
        </w:tc>
        <w:tc>
          <w:tcPr>
            <w:tcW w:w="3846" w:type="pct"/>
          </w:tcPr>
          <w:p w14:paraId="45A0129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Abscess of vulva</w:t>
            </w:r>
          </w:p>
        </w:tc>
      </w:tr>
      <w:tr w:rsidR="006C4AAA" w:rsidRPr="009F5738" w14:paraId="5F3CAAFB" w14:textId="77777777" w:rsidTr="00B51945">
        <w:trPr>
          <w:trHeight w:val="454"/>
        </w:trPr>
        <w:tc>
          <w:tcPr>
            <w:tcW w:w="1154" w:type="pct"/>
          </w:tcPr>
          <w:p w14:paraId="77CFFD8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O03.37</w:t>
            </w:r>
          </w:p>
        </w:tc>
        <w:tc>
          <w:tcPr>
            <w:tcW w:w="3846" w:type="pct"/>
          </w:tcPr>
          <w:p w14:paraId="013EBF4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Sepsis following incomplete spontaneous abortion</w:t>
            </w:r>
          </w:p>
        </w:tc>
      </w:tr>
      <w:tr w:rsidR="006C4AAA" w:rsidRPr="009F5738" w14:paraId="47A9A9CC" w14:textId="77777777" w:rsidTr="00B51945">
        <w:trPr>
          <w:trHeight w:val="454"/>
        </w:trPr>
        <w:tc>
          <w:tcPr>
            <w:tcW w:w="1154" w:type="pct"/>
          </w:tcPr>
          <w:p w14:paraId="3578551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O03.87</w:t>
            </w:r>
          </w:p>
        </w:tc>
        <w:tc>
          <w:tcPr>
            <w:tcW w:w="3846" w:type="pct"/>
          </w:tcPr>
          <w:p w14:paraId="646667D1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Sepsis following complete or unspecified spontaneous abortion</w:t>
            </w:r>
          </w:p>
        </w:tc>
      </w:tr>
      <w:tr w:rsidR="006C4AAA" w:rsidRPr="009F5738" w14:paraId="7389E0EE" w14:textId="77777777" w:rsidTr="00B51945">
        <w:trPr>
          <w:trHeight w:val="454"/>
        </w:trPr>
        <w:tc>
          <w:tcPr>
            <w:tcW w:w="1154" w:type="pct"/>
          </w:tcPr>
          <w:p w14:paraId="52E3CE0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O04.87</w:t>
            </w:r>
          </w:p>
        </w:tc>
        <w:tc>
          <w:tcPr>
            <w:tcW w:w="3846" w:type="pct"/>
          </w:tcPr>
          <w:p w14:paraId="0863B0F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Sepsis following (induced) termination of pregnancy </w:t>
            </w:r>
          </w:p>
        </w:tc>
      </w:tr>
      <w:tr w:rsidR="006C4AAA" w:rsidRPr="009F5738" w14:paraId="184F887E" w14:textId="77777777" w:rsidTr="00B51945">
        <w:trPr>
          <w:trHeight w:val="454"/>
        </w:trPr>
        <w:tc>
          <w:tcPr>
            <w:tcW w:w="1154" w:type="pct"/>
          </w:tcPr>
          <w:p w14:paraId="0B86F071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O07.37</w:t>
            </w:r>
          </w:p>
        </w:tc>
        <w:tc>
          <w:tcPr>
            <w:tcW w:w="3846" w:type="pct"/>
          </w:tcPr>
          <w:p w14:paraId="52C2DAC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Sepsis following failed attempted termination of pregnancy</w:t>
            </w:r>
          </w:p>
        </w:tc>
      </w:tr>
      <w:tr w:rsidR="006C4AAA" w:rsidRPr="009F5738" w14:paraId="29930A81" w14:textId="77777777" w:rsidTr="00B51945">
        <w:trPr>
          <w:trHeight w:val="454"/>
        </w:trPr>
        <w:tc>
          <w:tcPr>
            <w:tcW w:w="1154" w:type="pct"/>
          </w:tcPr>
          <w:p w14:paraId="3E3403D8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O08.82</w:t>
            </w:r>
          </w:p>
        </w:tc>
        <w:tc>
          <w:tcPr>
            <w:tcW w:w="3846" w:type="pct"/>
          </w:tcPr>
          <w:p w14:paraId="6C84468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Sepsis following ectopic and molar pregnancy</w:t>
            </w:r>
          </w:p>
        </w:tc>
      </w:tr>
      <w:tr w:rsidR="006C4AAA" w:rsidRPr="009F5738" w14:paraId="5465D2E9" w14:textId="77777777" w:rsidTr="00B51945">
        <w:trPr>
          <w:trHeight w:val="454"/>
        </w:trPr>
        <w:tc>
          <w:tcPr>
            <w:tcW w:w="1154" w:type="pct"/>
          </w:tcPr>
          <w:p w14:paraId="0906BFC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O75.3</w:t>
            </w:r>
          </w:p>
        </w:tc>
        <w:tc>
          <w:tcPr>
            <w:tcW w:w="3846" w:type="pct"/>
          </w:tcPr>
          <w:p w14:paraId="62F7B84A" w14:textId="7A6F20F5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Sepsis during </w:t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labour</w:t>
            </w:r>
          </w:p>
        </w:tc>
      </w:tr>
      <w:tr w:rsidR="006C4AAA" w:rsidRPr="009F5738" w14:paraId="5E004ACA" w14:textId="77777777" w:rsidTr="00B51945">
        <w:trPr>
          <w:trHeight w:val="454"/>
        </w:trPr>
        <w:tc>
          <w:tcPr>
            <w:tcW w:w="1154" w:type="pct"/>
          </w:tcPr>
          <w:p w14:paraId="6159214A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O85</w:t>
            </w:r>
          </w:p>
        </w:tc>
        <w:tc>
          <w:tcPr>
            <w:tcW w:w="3846" w:type="pct"/>
          </w:tcPr>
          <w:p w14:paraId="335EFC4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Puerperal sepsis</w:t>
            </w:r>
          </w:p>
        </w:tc>
      </w:tr>
      <w:tr w:rsidR="006C4AAA" w:rsidRPr="009F5738" w14:paraId="33FD0752" w14:textId="77777777" w:rsidTr="00B51945">
        <w:trPr>
          <w:trHeight w:val="454"/>
        </w:trPr>
        <w:tc>
          <w:tcPr>
            <w:tcW w:w="1154" w:type="pct"/>
          </w:tcPr>
          <w:p w14:paraId="4C4206EA" w14:textId="69A24F70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O86 + all other </w:t>
            </w:r>
            <w:r w:rsidR="004274F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1C102F8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Other puerperal infections</w:t>
            </w:r>
          </w:p>
        </w:tc>
      </w:tr>
      <w:tr w:rsidR="006C4AAA" w:rsidRPr="009F5738" w14:paraId="3B76CFAA" w14:textId="77777777" w:rsidTr="00B51945">
        <w:trPr>
          <w:trHeight w:val="454"/>
        </w:trPr>
        <w:tc>
          <w:tcPr>
            <w:tcW w:w="1154" w:type="pct"/>
          </w:tcPr>
          <w:p w14:paraId="0D0E9921" w14:textId="0AA42401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O91.1 + all other </w:t>
            </w:r>
            <w:r w:rsidR="00E253AD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br/>
            </w:r>
            <w:r w:rsidR="00387F5B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lower-level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codes</w:t>
            </w:r>
          </w:p>
        </w:tc>
        <w:tc>
          <w:tcPr>
            <w:tcW w:w="3846" w:type="pct"/>
          </w:tcPr>
          <w:p w14:paraId="04152D48" w14:textId="2699483D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Abscess of </w:t>
            </w:r>
            <w:r w:rsidR="00FF65D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breast associated with pregnancy, the puerperium and lactation</w:t>
            </w:r>
          </w:p>
        </w:tc>
      </w:tr>
      <w:tr w:rsidR="006C4AAA" w:rsidRPr="009F5738" w14:paraId="23FAD9E9" w14:textId="77777777" w:rsidTr="00B51945">
        <w:trPr>
          <w:trHeight w:val="454"/>
        </w:trPr>
        <w:tc>
          <w:tcPr>
            <w:tcW w:w="1154" w:type="pct"/>
          </w:tcPr>
          <w:p w14:paraId="5809828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R09.1</w:t>
            </w:r>
          </w:p>
        </w:tc>
        <w:tc>
          <w:tcPr>
            <w:tcW w:w="3846" w:type="pct"/>
          </w:tcPr>
          <w:p w14:paraId="7FE2343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Pleurisy</w:t>
            </w:r>
          </w:p>
        </w:tc>
      </w:tr>
      <w:tr w:rsidR="006C4AAA" w:rsidRPr="009F5738" w14:paraId="5AB83997" w14:textId="77777777" w:rsidTr="00B51945">
        <w:trPr>
          <w:trHeight w:val="454"/>
        </w:trPr>
        <w:tc>
          <w:tcPr>
            <w:tcW w:w="1154" w:type="pct"/>
          </w:tcPr>
          <w:p w14:paraId="698679B6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R50</w:t>
            </w:r>
          </w:p>
        </w:tc>
        <w:tc>
          <w:tcPr>
            <w:tcW w:w="3846" w:type="pct"/>
          </w:tcPr>
          <w:p w14:paraId="66F8328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Fever of other and unknown origin</w:t>
            </w:r>
          </w:p>
        </w:tc>
      </w:tr>
      <w:tr w:rsidR="006C4AAA" w:rsidRPr="009F5738" w14:paraId="4C984C78" w14:textId="77777777" w:rsidTr="00B51945">
        <w:trPr>
          <w:trHeight w:val="454"/>
        </w:trPr>
        <w:tc>
          <w:tcPr>
            <w:tcW w:w="1154" w:type="pct"/>
          </w:tcPr>
          <w:p w14:paraId="6886450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R50.9</w:t>
            </w:r>
          </w:p>
        </w:tc>
        <w:tc>
          <w:tcPr>
            <w:tcW w:w="3846" w:type="pct"/>
          </w:tcPr>
          <w:p w14:paraId="0213CC7B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Fever, unspecified</w:t>
            </w:r>
          </w:p>
        </w:tc>
      </w:tr>
      <w:tr w:rsidR="006C4AAA" w:rsidRPr="009F5738" w14:paraId="66E3C96D" w14:textId="77777777" w:rsidTr="00B51945">
        <w:trPr>
          <w:trHeight w:val="454"/>
        </w:trPr>
        <w:tc>
          <w:tcPr>
            <w:tcW w:w="1154" w:type="pct"/>
          </w:tcPr>
          <w:p w14:paraId="09BA83D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R65</w:t>
            </w:r>
          </w:p>
        </w:tc>
        <w:tc>
          <w:tcPr>
            <w:tcW w:w="3846" w:type="pct"/>
          </w:tcPr>
          <w:p w14:paraId="5361B82F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Symptoms and signs specifically associated with systemic inflammation and infection</w:t>
            </w:r>
          </w:p>
        </w:tc>
      </w:tr>
      <w:tr w:rsidR="006C4AAA" w:rsidRPr="009F5738" w14:paraId="17DD0E09" w14:textId="77777777" w:rsidTr="00B51945">
        <w:trPr>
          <w:trHeight w:val="454"/>
        </w:trPr>
        <w:tc>
          <w:tcPr>
            <w:tcW w:w="1154" w:type="pct"/>
          </w:tcPr>
          <w:p w14:paraId="4BB3391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R65.10</w:t>
            </w:r>
          </w:p>
        </w:tc>
        <w:tc>
          <w:tcPr>
            <w:tcW w:w="3846" w:type="pct"/>
          </w:tcPr>
          <w:p w14:paraId="35A1B658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Systemic inflammatory response syndrome (SIRS) of non-infectious origin without acute organ dysfunction</w:t>
            </w:r>
          </w:p>
        </w:tc>
      </w:tr>
      <w:tr w:rsidR="006C4AAA" w:rsidRPr="009F5738" w14:paraId="29A9F4E5" w14:textId="77777777" w:rsidTr="00B51945">
        <w:trPr>
          <w:trHeight w:val="454"/>
        </w:trPr>
        <w:tc>
          <w:tcPr>
            <w:tcW w:w="1154" w:type="pct"/>
          </w:tcPr>
          <w:p w14:paraId="16702E5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R65.11</w:t>
            </w:r>
          </w:p>
        </w:tc>
        <w:tc>
          <w:tcPr>
            <w:tcW w:w="3846" w:type="pct"/>
          </w:tcPr>
          <w:p w14:paraId="68AF5703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Systemic inflammatory response syndrome (SIRS) of non-infectious origin with acute organ dysfunction</w:t>
            </w:r>
          </w:p>
        </w:tc>
      </w:tr>
      <w:tr w:rsidR="006C4AAA" w:rsidRPr="009F5738" w14:paraId="6F6CE679" w14:textId="77777777" w:rsidTr="00B51945">
        <w:trPr>
          <w:trHeight w:val="454"/>
        </w:trPr>
        <w:tc>
          <w:tcPr>
            <w:tcW w:w="1154" w:type="pct"/>
          </w:tcPr>
          <w:p w14:paraId="7824B0C2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R65.2</w:t>
            </w:r>
          </w:p>
        </w:tc>
        <w:tc>
          <w:tcPr>
            <w:tcW w:w="3846" w:type="pct"/>
          </w:tcPr>
          <w:p w14:paraId="329DEBD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Severe sepsis</w:t>
            </w:r>
          </w:p>
        </w:tc>
      </w:tr>
      <w:tr w:rsidR="006C4AAA" w:rsidRPr="009F5738" w14:paraId="2426495C" w14:textId="77777777" w:rsidTr="00B51945">
        <w:trPr>
          <w:trHeight w:val="454"/>
        </w:trPr>
        <w:tc>
          <w:tcPr>
            <w:tcW w:w="1154" w:type="pct"/>
          </w:tcPr>
          <w:p w14:paraId="3FD2B49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R65.2</w:t>
            </w:r>
          </w:p>
        </w:tc>
        <w:tc>
          <w:tcPr>
            <w:tcW w:w="3846" w:type="pct"/>
          </w:tcPr>
          <w:p w14:paraId="11667F1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Severe sepsis with septic shock</w:t>
            </w:r>
          </w:p>
        </w:tc>
      </w:tr>
      <w:tr w:rsidR="006C4AAA" w:rsidRPr="009F5738" w14:paraId="0E78412F" w14:textId="77777777" w:rsidTr="00B51945">
        <w:trPr>
          <w:trHeight w:val="454"/>
        </w:trPr>
        <w:tc>
          <w:tcPr>
            <w:tcW w:w="1154" w:type="pct"/>
          </w:tcPr>
          <w:p w14:paraId="6BD90425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R65.20</w:t>
            </w:r>
          </w:p>
        </w:tc>
        <w:tc>
          <w:tcPr>
            <w:tcW w:w="3846" w:type="pct"/>
          </w:tcPr>
          <w:p w14:paraId="7F80E258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Severe sepsis without septic shock</w:t>
            </w:r>
          </w:p>
        </w:tc>
      </w:tr>
      <w:tr w:rsidR="006C4AAA" w:rsidRPr="009F5738" w14:paraId="2D3DE005" w14:textId="77777777" w:rsidTr="00B51945">
        <w:trPr>
          <w:trHeight w:val="454"/>
        </w:trPr>
        <w:tc>
          <w:tcPr>
            <w:tcW w:w="1154" w:type="pct"/>
          </w:tcPr>
          <w:p w14:paraId="36695B40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R78.81</w:t>
            </w:r>
          </w:p>
        </w:tc>
        <w:tc>
          <w:tcPr>
            <w:tcW w:w="3846" w:type="pct"/>
          </w:tcPr>
          <w:p w14:paraId="02DE826A" w14:textId="11C932A2" w:rsidR="006C4AAA" w:rsidRPr="00B51945" w:rsidRDefault="00387F5B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Bacteraemia</w:t>
            </w:r>
          </w:p>
        </w:tc>
      </w:tr>
      <w:tr w:rsidR="006C4AAA" w:rsidRPr="009F5738" w14:paraId="04D0AF37" w14:textId="77777777" w:rsidTr="00B51945">
        <w:trPr>
          <w:trHeight w:val="454"/>
        </w:trPr>
        <w:tc>
          <w:tcPr>
            <w:tcW w:w="1154" w:type="pct"/>
          </w:tcPr>
          <w:p w14:paraId="39C7EC8C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T80.211</w:t>
            </w:r>
          </w:p>
        </w:tc>
        <w:tc>
          <w:tcPr>
            <w:tcW w:w="3846" w:type="pct"/>
          </w:tcPr>
          <w:p w14:paraId="45CA815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Bloodstream infection due to central venous catheter</w:t>
            </w:r>
          </w:p>
        </w:tc>
      </w:tr>
      <w:tr w:rsidR="006C4AAA" w:rsidRPr="009F5738" w14:paraId="03FFFF32" w14:textId="77777777" w:rsidTr="00B51945">
        <w:trPr>
          <w:trHeight w:val="454"/>
        </w:trPr>
        <w:tc>
          <w:tcPr>
            <w:tcW w:w="1154" w:type="pct"/>
          </w:tcPr>
          <w:p w14:paraId="54DE84D4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T80.219</w:t>
            </w:r>
          </w:p>
        </w:tc>
        <w:tc>
          <w:tcPr>
            <w:tcW w:w="3846" w:type="pct"/>
          </w:tcPr>
          <w:p w14:paraId="779AAD87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Unspecified infection due to central venous catheter</w:t>
            </w:r>
          </w:p>
        </w:tc>
      </w:tr>
      <w:tr w:rsidR="006C4AAA" w:rsidRPr="009F5738" w14:paraId="5BB4A3A2" w14:textId="77777777" w:rsidTr="00B51945">
        <w:trPr>
          <w:trHeight w:val="454"/>
        </w:trPr>
        <w:tc>
          <w:tcPr>
            <w:tcW w:w="1154" w:type="pct"/>
          </w:tcPr>
          <w:p w14:paraId="0EEDCB0D" w14:textId="77777777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T80.22</w:t>
            </w:r>
          </w:p>
        </w:tc>
        <w:tc>
          <w:tcPr>
            <w:tcW w:w="3846" w:type="pct"/>
          </w:tcPr>
          <w:p w14:paraId="539379CE" w14:textId="16C03935" w:rsidR="006C4AAA" w:rsidRPr="00B51945" w:rsidRDefault="006C4AAA" w:rsidP="00B51945">
            <w:pPr>
              <w:spacing w:before="120" w:line="360" w:lineRule="auto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Acute infection following infusion, </w:t>
            </w:r>
            <w:r w:rsidR="009F5738"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transfusion,</w:t>
            </w:r>
            <w:r w:rsidRPr="00B519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therapeutic injection</w:t>
            </w:r>
          </w:p>
        </w:tc>
      </w:tr>
    </w:tbl>
    <w:p w14:paraId="77532CB3" w14:textId="31E6F0E1" w:rsidR="00D03500" w:rsidRPr="00B51945" w:rsidRDefault="00B51945" w:rsidP="00141100">
      <w:pPr>
        <w:pStyle w:val="TFFootnote"/>
        <w:rPr>
          <w:rFonts w:eastAsia="TimesNewRoman"/>
          <w:b/>
        </w:rPr>
      </w:pPr>
      <w:proofErr w:type="spellStart"/>
      <w:r>
        <w:rPr>
          <w:vertAlign w:val="superscript"/>
        </w:rPr>
        <w:t>a</w:t>
      </w:r>
      <w:r w:rsidR="006C4AAA" w:rsidRPr="00B51945">
        <w:t>Only</w:t>
      </w:r>
      <w:proofErr w:type="spellEnd"/>
      <w:r w:rsidR="006C4AAA" w:rsidRPr="00B51945">
        <w:t xml:space="preserve"> ICD</w:t>
      </w:r>
      <w:r w:rsidR="004274FB" w:rsidRPr="00B51945">
        <w:t>-</w:t>
      </w:r>
      <w:r w:rsidR="006C4AAA" w:rsidRPr="00B51945">
        <w:t>10</w:t>
      </w:r>
      <w:r>
        <w:t>–</w:t>
      </w:r>
      <w:r w:rsidR="006C4AAA" w:rsidRPr="00B51945">
        <w:t xml:space="preserve">specific codes listed here should be considered, not codes with </w:t>
      </w:r>
      <w:proofErr w:type="gramStart"/>
      <w:r w:rsidR="006C4AAA" w:rsidRPr="00B51945">
        <w:t>more or less digits</w:t>
      </w:r>
      <w:proofErr w:type="gramEnd"/>
      <w:r w:rsidR="006C4AAA" w:rsidRPr="00B51945">
        <w:t xml:space="preserve"> unless it is specifically stated that all lower-level codes of a listed </w:t>
      </w:r>
      <w:r w:rsidR="006C4AAA" w:rsidRPr="00141100">
        <w:t>ICD</w:t>
      </w:r>
      <w:r w:rsidR="004274FB" w:rsidRPr="00141100">
        <w:t>-</w:t>
      </w:r>
      <w:r w:rsidR="006C4AAA" w:rsidRPr="00141100">
        <w:t>10 code</w:t>
      </w:r>
      <w:r w:rsidR="006C4AAA" w:rsidRPr="00B51945">
        <w:t xml:space="preserve"> should be included. </w:t>
      </w:r>
      <w:r w:rsidR="00141100">
        <w:br/>
      </w:r>
      <w:r w:rsidR="00D03500" w:rsidRPr="00141100">
        <w:t>ICD-10</w:t>
      </w:r>
      <w:r w:rsidR="00141100">
        <w:t>,</w:t>
      </w:r>
      <w:r w:rsidR="00D03500" w:rsidRPr="00B51945">
        <w:t xml:space="preserve"> </w:t>
      </w:r>
      <w:r w:rsidR="00D03500" w:rsidRPr="00FF65D2">
        <w:rPr>
          <w:i/>
          <w:iCs/>
        </w:rPr>
        <w:t>International Classification of Diseases, Tenth Revision</w:t>
      </w:r>
      <w:r w:rsidR="00D03500" w:rsidRPr="00B51945">
        <w:t>.</w:t>
      </w:r>
    </w:p>
    <w:p w14:paraId="6AD59AB1" w14:textId="77777777" w:rsidR="009F6CF3" w:rsidRDefault="005E23A3">
      <w:pPr>
        <w:spacing w:line="259" w:lineRule="auto"/>
        <w:rPr>
          <w:rFonts w:ascii="Arial" w:hAnsi="Arial" w:cs="Arial"/>
        </w:rPr>
        <w:sectPr w:rsidR="009F6CF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207563E8" w14:textId="08D43189" w:rsidR="006C4AAA" w:rsidRPr="009F5738" w:rsidRDefault="006C1888" w:rsidP="006C1888">
      <w:pPr>
        <w:pStyle w:val="Heading2"/>
      </w:pPr>
      <w:r w:rsidRPr="006C1888">
        <w:rPr>
          <w:b/>
          <w:bCs w:val="0"/>
        </w:rPr>
        <w:lastRenderedPageBreak/>
        <w:t xml:space="preserve">Supplementary </w:t>
      </w:r>
      <w:r w:rsidR="005F4240" w:rsidRPr="006C1888">
        <w:rPr>
          <w:b/>
          <w:bCs w:val="0"/>
        </w:rPr>
        <w:t>Table S3</w:t>
      </w:r>
      <w:r w:rsidR="007134A2">
        <w:rPr>
          <w:b/>
          <w:bCs w:val="0"/>
        </w:rPr>
        <w:t>A</w:t>
      </w:r>
      <w:r w:rsidR="005F4240" w:rsidRPr="006C1888">
        <w:rPr>
          <w:b/>
          <w:bCs w:val="0"/>
        </w:rPr>
        <w:t>.</w:t>
      </w:r>
      <w:r w:rsidR="005F4240" w:rsidRPr="005F4240">
        <w:t xml:space="preserve"> </w:t>
      </w:r>
      <w:r w:rsidR="005F4240" w:rsidRPr="009F5738">
        <w:t>Laboratory-confirmed sterile site IED incidence rate</w:t>
      </w:r>
      <w:r>
        <w:t xml:space="preserve"> </w:t>
      </w:r>
      <w:r w:rsidR="005F4240" w:rsidRPr="009F5738">
        <w:t xml:space="preserve">captured by DCS </w:t>
      </w:r>
      <w:r w:rsidR="00F23955">
        <w:t>and</w:t>
      </w:r>
      <w:r w:rsidR="00F23955" w:rsidRPr="009F5738">
        <w:t xml:space="preserve"> </w:t>
      </w:r>
      <w:r w:rsidR="005F4240" w:rsidRPr="009F5738">
        <w:t>SGSS-CDR or SGSS-AMR stratified by IED case definition, age group, sex</w:t>
      </w:r>
      <w:r w:rsidR="00F23955">
        <w:t>,</w:t>
      </w:r>
      <w:r w:rsidR="005F4240" w:rsidRPr="009F5738">
        <w:t xml:space="preserve"> and year</w:t>
      </w:r>
    </w:p>
    <w:tbl>
      <w:tblPr>
        <w:tblW w:w="14070" w:type="dxa"/>
        <w:tblLook w:val="04A0" w:firstRow="1" w:lastRow="0" w:firstColumn="1" w:lastColumn="0" w:noHBand="0" w:noVBand="1"/>
      </w:tblPr>
      <w:tblGrid>
        <w:gridCol w:w="2188"/>
        <w:gridCol w:w="1930"/>
        <w:gridCol w:w="2134"/>
        <w:gridCol w:w="1830"/>
        <w:gridCol w:w="197"/>
        <w:gridCol w:w="1621"/>
        <w:gridCol w:w="308"/>
        <w:gridCol w:w="1932"/>
        <w:gridCol w:w="1930"/>
      </w:tblGrid>
      <w:tr w:rsidR="009F6CF3" w:rsidRPr="00530F8A" w14:paraId="7E69EBA5" w14:textId="77777777" w:rsidTr="008C178F">
        <w:trPr>
          <w:trHeight w:val="312"/>
          <w:tblHeader/>
        </w:trPr>
        <w:tc>
          <w:tcPr>
            <w:tcW w:w="218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68B3B" w14:textId="77777777" w:rsidR="009F6CF3" w:rsidRPr="00F23955" w:rsidRDefault="009F6CF3" w:rsidP="009F6CF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982902" w14:textId="6BDD9822" w:rsidR="009F6CF3" w:rsidRPr="009F6CF3" w:rsidRDefault="009F6CF3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IED incidence rate per 100 000 person-years (with 95%CI)</w:t>
            </w:r>
          </w:p>
        </w:tc>
      </w:tr>
      <w:tr w:rsidR="009F6CF3" w:rsidRPr="009F6CF3" w14:paraId="4A88B3E2" w14:textId="77777777" w:rsidTr="009F6CF3">
        <w:trPr>
          <w:trHeight w:val="312"/>
          <w:tblHeader/>
        </w:trPr>
        <w:tc>
          <w:tcPr>
            <w:tcW w:w="218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20271" w14:textId="77777777" w:rsidR="009F6CF3" w:rsidRPr="00F23955" w:rsidRDefault="009F6CF3" w:rsidP="009F6CF3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9952" w:type="dxa"/>
            <w:gridSpan w:val="7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56A4794C" w14:textId="00A23F40" w:rsidR="009F6CF3" w:rsidRPr="009F6CF3" w:rsidRDefault="009F6CF3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DCS and SGSS-CDR</w:t>
            </w:r>
          </w:p>
        </w:tc>
        <w:tc>
          <w:tcPr>
            <w:tcW w:w="193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ECE470D" w14:textId="135C42CF" w:rsidR="009F6CF3" w:rsidRPr="009F6CF3" w:rsidRDefault="009F6CF3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SGSS-AMR</w:t>
            </w:r>
          </w:p>
        </w:tc>
      </w:tr>
      <w:tr w:rsidR="006C4AAA" w:rsidRPr="00530F8A" w14:paraId="6B5223F3" w14:textId="77777777" w:rsidTr="009F6CF3">
        <w:trPr>
          <w:trHeight w:val="312"/>
          <w:tblHeader/>
        </w:trPr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69D02C" w14:textId="77777777" w:rsidR="006C4AAA" w:rsidRPr="00F23955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64177A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21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E587F2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9D4D04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08745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721C6F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B9BB45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2017</w:t>
            </w:r>
          </w:p>
        </w:tc>
      </w:tr>
      <w:tr w:rsidR="006C4AAA" w:rsidRPr="00530F8A" w14:paraId="5F1A472C" w14:textId="77777777" w:rsidTr="009F6CF3">
        <w:trPr>
          <w:trHeight w:val="312"/>
        </w:trPr>
        <w:tc>
          <w:tcPr>
            <w:tcW w:w="4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1F8" w14:textId="292AC603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Bacter</w:t>
            </w:r>
            <w:r w:rsidR="003046E3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emic IED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820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614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107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BCF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0E1D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2E34EC09" w14:textId="77777777" w:rsidTr="009F6CF3">
        <w:trPr>
          <w:trHeight w:val="312"/>
        </w:trPr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5E9F" w14:textId="517F36A9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Age group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y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1FA1FF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96A23B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DA8F2C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B34760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8C61726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EE83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6CB59CF0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E3F2" w14:textId="0E009526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≥18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6E88A1C" w14:textId="2297F77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72.7 (71.9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73.5)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2075426" w14:textId="0127EDA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77.9 (77.0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78.7)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E3418EE" w14:textId="3A4AE1A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81.2 (80.3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82.0)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FAD6E94" w14:textId="1F4F9EB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86.8 (86.0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87.7)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B77F105" w14:textId="5D36159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90.4 (89.5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91.3)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0AB5" w14:textId="5379C93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83 (82.1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83.8)</w:t>
            </w:r>
          </w:p>
        </w:tc>
      </w:tr>
      <w:tr w:rsidR="006C4AAA" w:rsidRPr="00530F8A" w14:paraId="413657A8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A591" w14:textId="3C7B9C03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A66141" w14:textId="511CACD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20.3 (19.8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20.8)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EDA937" w14:textId="2F764D2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21.5 (21.0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22.0)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81A26E" w14:textId="72AA8F0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23.4 (22.9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24.0)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41551D" w14:textId="33D4669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24.2 (23.7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6B1CBD" w14:textId="6890B20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24.9 (24.4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25.5)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6B62" w14:textId="7C00B4C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23.0 (22.5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23.6)</w:t>
            </w:r>
          </w:p>
        </w:tc>
      </w:tr>
      <w:tr w:rsidR="006C4AAA" w:rsidRPr="00530F8A" w14:paraId="0661B8C8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A5B1" w14:textId="6B272EA5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≥60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85A5316" w14:textId="7E3D2D0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201.6 (199.1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204.1)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C326064" w14:textId="0AE493D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214.9 (212.3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217.5)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3A8974C" w14:textId="40A6095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220.7 (218.1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223.3)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C11694" w14:textId="756D6FC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236.7 (234.0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239.3)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8BE8AE" w14:textId="2E3671F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245.0 (242.3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247.7)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4EE7" w14:textId="064475B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224.6 (222.1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227.2)</w:t>
            </w:r>
          </w:p>
        </w:tc>
      </w:tr>
      <w:tr w:rsidR="006C4AAA" w:rsidRPr="00530F8A" w14:paraId="206B86B1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815B" w14:textId="385DF9BA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182CF" w14:textId="051E899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549.2 (536.2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562.4)</w:t>
            </w:r>
          </w:p>
        </w:tc>
        <w:tc>
          <w:tcPr>
            <w:tcW w:w="2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4417B0" w14:textId="19E0FB3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596.6 (583.3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610.2)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4DA8A2" w14:textId="22CF41D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620.3 (606.8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634.0)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4B25B1" w14:textId="18767E2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666.8 (653.0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680.9)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F1E526" w14:textId="4B05F6C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698.6 (684.5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712.8)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0A15E" w14:textId="7902F33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647.1 (633.6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660.8)</w:t>
            </w:r>
          </w:p>
        </w:tc>
      </w:tr>
      <w:tr w:rsidR="006C4AAA" w:rsidRPr="00530F8A" w14:paraId="371C060A" w14:textId="77777777" w:rsidTr="004663E3">
        <w:trPr>
          <w:trHeight w:val="312"/>
        </w:trPr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EB5F" w14:textId="323FCA1A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BC488C2" w14:textId="5C6ADB2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10.9 (10.2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11.6)</w:t>
            </w:r>
          </w:p>
        </w:tc>
        <w:tc>
          <w:tcPr>
            <w:tcW w:w="2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DBF4DDF" w14:textId="3331E35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10.6 (10.0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11.3)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F1B4439" w14:textId="4D34425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12.8 (12.0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13.5)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414FAE0" w14:textId="73ABC40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 (11.2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12.7)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3E937BE" w14:textId="6FF3416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12.2 (11.5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13.0)</w:t>
            </w:r>
          </w:p>
        </w:tc>
        <w:tc>
          <w:tcPr>
            <w:tcW w:w="19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6218" w14:textId="2591630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11.2</w:t>
            </w:r>
            <w:r w:rsidR="009F6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3955">
              <w:rPr>
                <w:rFonts w:ascii="Arial" w:hAnsi="Arial" w:cs="Arial"/>
                <w:sz w:val="16"/>
                <w:szCs w:val="16"/>
              </w:rPr>
              <w:t>(10.5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12.0)</w:t>
            </w:r>
          </w:p>
        </w:tc>
      </w:tr>
      <w:tr w:rsidR="006C4AAA" w:rsidRPr="00530F8A" w14:paraId="2F0D1178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86DF" w14:textId="268A677E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FE2FFA9" w14:textId="0A97A23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12.7 (11.9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13.6)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276F0C1" w14:textId="34CE9D7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13.9 (13.0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14.7)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FEE76A" w14:textId="72FE252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15.2 (14.3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16.1)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00BC67" w14:textId="55A49CD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16.4 (15.4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17.3)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C488EA9" w14:textId="167A147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16.1 (15.2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17.0)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E208" w14:textId="015D4D1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14.7 (13.9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15.6)</w:t>
            </w:r>
          </w:p>
        </w:tc>
      </w:tr>
      <w:tr w:rsidR="006C4AAA" w:rsidRPr="00530F8A" w14:paraId="30595BF7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E3CA" w14:textId="772D1A6C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A2682E4" w14:textId="528C4ED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20.2 (19.2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2783BBF" w14:textId="50A3897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21.6 (20.6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22.7)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998DCD7" w14:textId="53D5CE1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22.2 (21.2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23.3)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85CDE67" w14:textId="085A5C4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23.6 (22.5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24.7)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CCD508" w14:textId="4CFACE5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23.3 (22.2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24.4)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75E9" w14:textId="2957273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21.8 (20.8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22.9)</w:t>
            </w:r>
          </w:p>
        </w:tc>
      </w:tr>
      <w:tr w:rsidR="006C4AAA" w:rsidRPr="00530F8A" w14:paraId="3DA5957E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D0FE" w14:textId="592B04DA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439E4E" w14:textId="28E61D6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40.5 (39.0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42.0)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1CDDE4" w14:textId="028575A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42.9 (41.4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44.5)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795F93" w14:textId="077FF5F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46.1 (44.6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47.7)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0546BE3" w14:textId="402E85D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47.6 (46.0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49.2)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1BBA301" w14:textId="397887E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50.4 (48.8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52.0)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3866" w14:textId="7DF5C28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46.3 (44.8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47.9)</w:t>
            </w:r>
          </w:p>
        </w:tc>
      </w:tr>
      <w:tr w:rsidR="006C4AAA" w:rsidRPr="00530F8A" w14:paraId="2CFE21E4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E71B" w14:textId="766C8F56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E02B299" w14:textId="1D4F257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87.8 (85.4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90.2)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88A95D6" w14:textId="0C2E3CF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94.2 (91.7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96.7)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7A30F22" w14:textId="0C9776B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95.6 (93.1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98.1)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5883D68" w14:textId="3564967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105.8 (103.2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108.5)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A87F26" w14:textId="2FD30DE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106.5 (103.9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109.1)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8968" w14:textId="2A1B1D0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98 (95.5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100.6)</w:t>
            </w:r>
          </w:p>
        </w:tc>
      </w:tr>
      <w:tr w:rsidR="006C4AAA" w:rsidRPr="00530F8A" w14:paraId="5AA93340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E9C4" w14:textId="2B7D9015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322D80D" w14:textId="05706EA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207.2 (202.7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211.8)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C72803" w14:textId="1BD3F60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213.9 (209.4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218.5)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56EB42" w14:textId="22E09B7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214.4 (209.9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219.0)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8C3099" w14:textId="0E69EC5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226.7 (222.1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231.3)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312D87" w14:textId="5F8F54B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228.5 (224.0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233.0)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8CFA" w14:textId="0FE4E36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207.7 (203.5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212.0)</w:t>
            </w:r>
          </w:p>
        </w:tc>
      </w:tr>
      <w:tr w:rsidR="006C4AAA" w:rsidRPr="00530F8A" w14:paraId="0DCE70EC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15B0" w14:textId="23AFF264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≥80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CC8F1" w14:textId="23CC884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455.8 (447.5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464.2)</w:t>
            </w:r>
          </w:p>
        </w:tc>
        <w:tc>
          <w:tcPr>
            <w:tcW w:w="2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5B4BF" w14:textId="6F1CA05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491</w:t>
            </w:r>
            <w:r w:rsidR="005F5653" w:rsidRPr="00F23955">
              <w:rPr>
                <w:rFonts w:ascii="Arial" w:hAnsi="Arial" w:cs="Arial"/>
                <w:sz w:val="16"/>
                <w:szCs w:val="16"/>
              </w:rPr>
              <w:t>.0</w:t>
            </w:r>
            <w:r w:rsidRPr="00F23955">
              <w:rPr>
                <w:rFonts w:ascii="Arial" w:hAnsi="Arial" w:cs="Arial"/>
                <w:sz w:val="16"/>
                <w:szCs w:val="16"/>
              </w:rPr>
              <w:t xml:space="preserve"> (482.5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499.6)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3CC24" w14:textId="30EC874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513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.0</w:t>
            </w:r>
            <w:r w:rsidRPr="00F23955">
              <w:rPr>
                <w:rFonts w:ascii="Arial" w:hAnsi="Arial" w:cs="Arial"/>
                <w:sz w:val="16"/>
                <w:szCs w:val="16"/>
              </w:rPr>
              <w:t xml:space="preserve"> (504.4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521.8)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CB693B" w14:textId="4663A43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544.1 (535.3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553.0)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0C258" w14:textId="400E789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570.6 (561.7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579.7)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C6F81" w14:textId="08C0A20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525.4 (516.8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534.0)</w:t>
            </w:r>
          </w:p>
        </w:tc>
      </w:tr>
      <w:tr w:rsidR="006C4AAA" w:rsidRPr="00530F8A" w14:paraId="6CA523E9" w14:textId="77777777" w:rsidTr="009F6CF3">
        <w:trPr>
          <w:trHeight w:val="312"/>
        </w:trPr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C508" w14:textId="77777777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699FB1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2036B2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FDF2C00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A7AD9A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BBD039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0E66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66F14FC0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9F14" w14:textId="2E4078E8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(≥18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D667870" w14:textId="5FD8E96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70.9 (69.7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72.0)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F27470B" w14:textId="3D6EC3A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76.3 (75.1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77.5)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DD2944" w14:textId="4F6BA81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78.8 (77.6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80.0)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84FF59" w14:textId="697163C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85.3 (84.0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86.5)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C44FE07" w14:textId="3475EA9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88.9 (87.7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90.2)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46C1" w14:textId="3BA7CFC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81.4 (80.2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82.7)</w:t>
            </w:r>
          </w:p>
        </w:tc>
      </w:tr>
      <w:tr w:rsidR="006C4AAA" w:rsidRPr="00530F8A" w14:paraId="1A0757E0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5955" w14:textId="25420FCE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(≥18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A8F0E4" w14:textId="76E1C02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74.5 (73.3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75.6)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32E1A97" w14:textId="55C4F5F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79.4 (78.2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80.6)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BF02CD" w14:textId="68513D7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83.4 (82.2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84.7)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DB342E" w14:textId="3776C47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88.4 (87.1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89.6)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06DD462" w14:textId="48ADC6D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91.8 (90.5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93.1)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56E5" w14:textId="5A7CC70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84.5 (83.3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85.7)</w:t>
            </w:r>
          </w:p>
        </w:tc>
      </w:tr>
      <w:tr w:rsidR="006C4AAA" w:rsidRPr="00530F8A" w14:paraId="3E410A59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F2B2" w14:textId="35A8735D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(18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FE56F58" w14:textId="187A770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15.2 (14.6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FED488A" w14:textId="6BE9D2B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16.6 (15.9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17.2)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04B5DB" w14:textId="124CD57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17.6 (17.0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18.3)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8C15AF1" w14:textId="55ABB07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18.7 (18.0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19.4)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CA94DB" w14:textId="097EFA7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19.2 (18.5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19.9)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9670" w14:textId="6EBE36B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17.9 (17.2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18.6)</w:t>
            </w:r>
          </w:p>
        </w:tc>
      </w:tr>
      <w:tr w:rsidR="006C4AAA" w:rsidRPr="00530F8A" w14:paraId="1ED9DC97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D2FF" w14:textId="4663719D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(18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49693D" w14:textId="2C280C7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25.4 (24.6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26.2)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571284" w14:textId="596A66E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26.4 (25.6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27.3)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86E2520" w14:textId="4938664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29.2 (28.4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30.1)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49307ED" w14:textId="55D0076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29.8 (29.0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30.7)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7A3FDFE" w14:textId="75F58A7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30.7 (29.8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31.6)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CC84" w14:textId="79CBC31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28.2 (27.3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29.0)</w:t>
            </w:r>
          </w:p>
        </w:tc>
      </w:tr>
      <w:tr w:rsidR="006C4AAA" w:rsidRPr="00530F8A" w14:paraId="57968937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516B" w14:textId="53197B39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(≥60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C703110" w14:textId="630D7EB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219.4 (215.6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223.3)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7171FAF" w14:textId="5A5868B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233.6 (229.6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237.6)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275391" w14:textId="74DDF9A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238.6 (234.7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242.6)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8BDB719" w14:textId="2A0023A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257.5 (253.5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261.7)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125F042" w14:textId="299489F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266.6 (262.5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270.8)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D3F6" w14:textId="41FBD10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243.4 (239.5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247.4)</w:t>
            </w:r>
          </w:p>
        </w:tc>
      </w:tr>
      <w:tr w:rsidR="006C4AAA" w:rsidRPr="00530F8A" w14:paraId="0079490B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DEC5" w14:textId="46AA9450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(≥60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E0F299" w14:textId="1C01132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186.5 (183.2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189.8)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AC7B8E9" w14:textId="717D51A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198.9 (195.6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202.3)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0DC0F9" w14:textId="56FE100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205.3 (201.9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208.7)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B0F3E3" w14:textId="3E17EE9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218.7 (215.2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222.2)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48926BA" w14:textId="2BBA21D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226.3 (222.8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229.8)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908D" w14:textId="699F55B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208.4 (205.1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211.9)</w:t>
            </w:r>
          </w:p>
        </w:tc>
      </w:tr>
      <w:tr w:rsidR="006C4AAA" w:rsidRPr="00530F8A" w14:paraId="5ACBE85E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D9FA" w14:textId="3F9234CA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(≥85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0FE2163" w14:textId="4DDB271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708.9 (683.7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734.9)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053C8E6" w14:textId="5465B2E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764.8 (739.1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791.1)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94F1C2A" w14:textId="6D811F3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762.5 (737.3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788.4)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F82D5B" w14:textId="09E4711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814.6 (789.0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840.8)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DF0DB71" w14:textId="29F2E3E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859.6 (833.8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886.1)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60A7" w14:textId="1FD1745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796.3 (771.4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821.7)</w:t>
            </w:r>
          </w:p>
        </w:tc>
      </w:tr>
      <w:tr w:rsidR="006C4AAA" w:rsidRPr="00530F8A" w14:paraId="09EBBF8E" w14:textId="77777777" w:rsidTr="004663E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482C" w14:textId="76319075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(≥85</w:t>
            </w:r>
            <w:r w:rsidR="00040B09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439AA5" w14:textId="78C28D45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467.4 (452.7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482.4)</w:t>
            </w:r>
          </w:p>
        </w:tc>
        <w:tc>
          <w:tcPr>
            <w:tcW w:w="2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90A3E7" w14:textId="3581EBFE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508.5 (493.3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524.0)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CA758" w14:textId="2F71C5F7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543.9 (528.3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559.9)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DC86F3" w14:textId="5A610BE1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585.5 (569.4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601.9)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20A05" w14:textId="71BB141B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607.7 (591.4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624.4)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73151" w14:textId="35CD0805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562.9 (547.2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579.0)</w:t>
            </w:r>
          </w:p>
        </w:tc>
      </w:tr>
      <w:tr w:rsidR="006C4AAA" w:rsidRPr="00530F8A" w14:paraId="0248C657" w14:textId="77777777" w:rsidTr="009F6CF3">
        <w:trPr>
          <w:trHeight w:val="312"/>
        </w:trPr>
        <w:tc>
          <w:tcPr>
            <w:tcW w:w="8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6DF" w14:textId="77777777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Other sterile site IED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169E6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881EF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D7E73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1EAB807D" w14:textId="77777777" w:rsidTr="009F6CF3">
        <w:trPr>
          <w:trHeight w:val="312"/>
        </w:trPr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B2CD" w14:textId="5746EDA3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Age group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y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5F128FD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FBE131B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9EFB832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C7A1148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1F5DD10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637D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7FFE1248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103B" w14:textId="4E7C1DB2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≥18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67CC573" w14:textId="71567FE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5.0 (4.8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CD70A39" w14:textId="31FBFB8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6.1 (5.8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6.3)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F8FD126" w14:textId="426B56B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6.5 (6.3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382FD39" w14:textId="769C17A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7.6 (7.4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7.9)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1C76AE" w14:textId="67A653D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9.3 (9.0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9.6)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9D58" w14:textId="510B85F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39.3 (38.7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39.9)</w:t>
            </w:r>
          </w:p>
        </w:tc>
      </w:tr>
      <w:tr w:rsidR="006C4AAA" w:rsidRPr="00530F8A" w14:paraId="36020FC9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41C7" w14:textId="36EA4007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25F0017" w14:textId="6AC25DB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3.3 (3.1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3.5)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9B9E51" w14:textId="0CDEDE2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3.9 (3.7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4.2)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FED2C20" w14:textId="0E8F104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4.2 (4.0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4.5)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F7DE86" w14:textId="0CF1BE1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5.1 (4.8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5.3)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25AE5AD" w14:textId="46FD48F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6.2 (5.9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6.5)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E34E" w14:textId="47C49DD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26.3 (25.7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26.9)</w:t>
            </w:r>
          </w:p>
        </w:tc>
      </w:tr>
      <w:tr w:rsidR="006C4AAA" w:rsidRPr="00530F8A" w14:paraId="4A4DA342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3CE" w14:textId="1CF39FD3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≥60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C5A8106" w14:textId="4363E00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9.1 (8.6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9.7)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7146C78" w14:textId="3A50C3F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11.3 (10.7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11.9)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91EE4B" w14:textId="0CFC9CB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12.0 (11.4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12.6)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6F7DA7" w14:textId="595F5A5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13.6 (13.0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14.3)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34314E" w14:textId="3DEEDD1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16.6 (15.9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17.3)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45BAD" w14:textId="393F8C9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70.1 (68.6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71.5)</w:t>
            </w:r>
          </w:p>
        </w:tc>
      </w:tr>
      <w:tr w:rsidR="006C4AAA" w:rsidRPr="00530F8A" w14:paraId="63428A2C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09A6" w14:textId="33726F2E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E7E3A6" w14:textId="157E54C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11.2 (9.4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13.3)</w:t>
            </w:r>
          </w:p>
        </w:tc>
        <w:tc>
          <w:tcPr>
            <w:tcW w:w="2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D150F93" w14:textId="1A06723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14.1 (12.1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16.3)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03640D" w14:textId="69F76C0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15.1 (13.0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17.3)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92224E8" w14:textId="28BBBFE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18.7 (16.4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21.1)</w:t>
            </w:r>
          </w:p>
        </w:tc>
        <w:tc>
          <w:tcPr>
            <w:tcW w:w="193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EEBE7B" w14:textId="54250FB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20.3 (17.9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22.8)</w:t>
            </w:r>
          </w:p>
        </w:tc>
        <w:tc>
          <w:tcPr>
            <w:tcW w:w="19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E6B99" w14:textId="16986F7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104.1 (98.8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109.7)</w:t>
            </w:r>
          </w:p>
        </w:tc>
      </w:tr>
      <w:tr w:rsidR="006C4AAA" w:rsidRPr="00530F8A" w14:paraId="23309806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9FAA" w14:textId="5D448298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820BF44" w14:textId="3AA08D8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1.9 (1.6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F16CF43" w14:textId="28458D7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2.1 (1.8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2.5)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7AD8042" w14:textId="1F90377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2.6 (2.2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2.9)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6D982E" w14:textId="17346C7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2.6 (2.2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2.9)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CDD245A" w14:textId="2F04A71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3.5 (3.1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3.9)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59F9" w14:textId="6CCC98D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18.8 (17.9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19.7)</w:t>
            </w:r>
          </w:p>
        </w:tc>
      </w:tr>
      <w:tr w:rsidR="006C4AAA" w:rsidRPr="00530F8A" w14:paraId="328EADDD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EDAE" w14:textId="016DF231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39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DCE4E4" w14:textId="785FEB4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2.9 (2.5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3.3)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D8B4DC" w14:textId="01596DB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3.1 (2.7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3.5)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7CBB6B" w14:textId="5B1E8A9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3.6 (3.2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4.1)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581778" w14:textId="4812301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4.3 (3.8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EA3C90A" w14:textId="5B05B92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5.3 (4.8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5.8)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6549" w14:textId="03B5308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24.0 (22.9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25.2)</w:t>
            </w:r>
          </w:p>
        </w:tc>
      </w:tr>
      <w:tr w:rsidR="006C4AAA" w:rsidRPr="00530F8A" w14:paraId="790C9BD9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B301" w14:textId="71BD9758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D5B16F4" w14:textId="5E971F2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3.4 (3.0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40B77D" w14:textId="6CC8AA3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4.1 (3.7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C0BB647" w14:textId="77A4819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4.2 (3.8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F06EF9" w14:textId="5D05339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5.4 (4.9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6.0)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958046" w14:textId="70BF300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6.2 (5.6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6.8)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DBD8" w14:textId="157DAB5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26.7 (25.5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27.9)</w:t>
            </w:r>
          </w:p>
        </w:tc>
      </w:tr>
      <w:tr w:rsidR="006C4AAA" w:rsidRPr="00530F8A" w14:paraId="26A80573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BE61" w14:textId="0B83B021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59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5FE25B" w14:textId="30A57CD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5.4 (4.9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6.0)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46FF1B4" w14:textId="4846153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6.9 (6.3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7.5)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FE77DAC" w14:textId="35B80FA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6.9 (6.3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7.5)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5906483" w14:textId="00FEBB8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8.6</w:t>
            </w:r>
            <w:r w:rsidR="009F6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3955">
              <w:rPr>
                <w:rFonts w:ascii="Arial" w:hAnsi="Arial" w:cs="Arial"/>
                <w:sz w:val="16"/>
                <w:szCs w:val="16"/>
              </w:rPr>
              <w:t>(7.9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9.3)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F6CD833" w14:textId="42A7E5F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10.3 (9.6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11.0)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D181" w14:textId="4DE79F2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37.0 (35.6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38.4)</w:t>
            </w:r>
          </w:p>
        </w:tc>
      </w:tr>
      <w:tr w:rsidR="006C4AAA" w:rsidRPr="00530F8A" w14:paraId="28C12CEC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E07A" w14:textId="074A122A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69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EED59E4" w14:textId="6BD2FFF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7.6 (6.9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8.3)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50A2B6F" w14:textId="4DD9793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9.3 (8.5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10.1)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F176102" w14:textId="43F27EC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9.5 (8.8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10.3)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EF176AC" w14:textId="070ED60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10.9 (10.1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628285" w14:textId="00E7FC1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14.1 (13.1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15.1)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0094" w14:textId="5DD0904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52.1 (50.3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54.0)</w:t>
            </w:r>
          </w:p>
        </w:tc>
      </w:tr>
      <w:tr w:rsidR="006C4AAA" w:rsidRPr="00530F8A" w14:paraId="07850926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16A7" w14:textId="1D59F965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0A2D1FF" w14:textId="21DADC1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9.9 (8.9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10.9)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5EE87F" w14:textId="2BE80BC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12.2 (11.2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13.4)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0A2734" w14:textId="41836B4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13.0 (11.9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14.1)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8ED247" w14:textId="786BE61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14.7 (13.6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15.9)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B25C636" w14:textId="7DE04E6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17.6 (16.4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18.9)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C5FB" w14:textId="4E564B4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76.0 (73.4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78.6)</w:t>
            </w:r>
          </w:p>
        </w:tc>
      </w:tr>
      <w:tr w:rsidR="006C4AAA" w:rsidRPr="00530F8A" w14:paraId="4116A070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BDEA" w14:textId="39956888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≥80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CE7BF3" w14:textId="4AEACAA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11.5 (10.2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12.9)</w:t>
            </w:r>
          </w:p>
        </w:tc>
        <w:tc>
          <w:tcPr>
            <w:tcW w:w="2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75C6C3" w14:textId="51B4A7C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14.4 (12.9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15.9)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56E422" w14:textId="52CCDD8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16.0 (14.5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17.6)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7AB628" w14:textId="36D7AAF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18.0 (16.5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19.7)</w:t>
            </w:r>
          </w:p>
        </w:tc>
        <w:tc>
          <w:tcPr>
            <w:tcW w:w="193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AAFE9D" w14:textId="3CCDE4E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20.5 (18.8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22.3)</w:t>
            </w:r>
          </w:p>
        </w:tc>
        <w:tc>
          <w:tcPr>
            <w:tcW w:w="19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69DF5" w14:textId="08A114C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99.1 (95.4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102.9)</w:t>
            </w:r>
          </w:p>
        </w:tc>
      </w:tr>
      <w:tr w:rsidR="006C4AAA" w:rsidRPr="00530F8A" w14:paraId="7316C379" w14:textId="77777777" w:rsidTr="009F6CF3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B9C3" w14:textId="77777777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8435DA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3128EA9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9F7D884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3A01BF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0619BEF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E55B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7D8A2EC7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FD0E" w14:textId="561243CB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(≥18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E2FD541" w14:textId="41E209E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5.5 (5.2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5C4790" w14:textId="72AA4D8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6.9 (6.6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7.3)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893F830" w14:textId="01B1818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7.1 (6.7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7.4)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D86699F" w14:textId="2C9690E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8.5 (8.2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8.9)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88EC438" w14:textId="545D609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10.6 (10.2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11.1)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A4873" w14:textId="3318F0C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40.4 (39.5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41.2)</w:t>
            </w:r>
          </w:p>
        </w:tc>
      </w:tr>
      <w:tr w:rsidR="006C4AAA" w:rsidRPr="00530F8A" w14:paraId="20F10C77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81AD" w14:textId="32C50F31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(≥18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E37D789" w14:textId="7712F10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4.5 (4.2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BE348E1" w14:textId="4E0965D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5.2</w:t>
            </w:r>
            <w:r w:rsidR="009F6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3955">
              <w:rPr>
                <w:rFonts w:ascii="Arial" w:hAnsi="Arial" w:cs="Arial"/>
                <w:sz w:val="16"/>
                <w:szCs w:val="16"/>
              </w:rPr>
              <w:t>(4.9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74885A" w14:textId="58F044B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6.0 (5.6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6.3)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6B3C43" w14:textId="5A5E38F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6.7 (6.4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7.1)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F27336D" w14:textId="6941A36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8.0 (7.6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8.4)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CFEA" w14:textId="3CEF07F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38.3 (37.5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39.1)</w:t>
            </w:r>
          </w:p>
        </w:tc>
      </w:tr>
      <w:tr w:rsidR="006C4AAA" w:rsidRPr="00530F8A" w14:paraId="7F38E236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FD82" w14:textId="3CC685C3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(18</w:t>
            </w:r>
            <w:r w:rsidR="006459F5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2E6A9CC" w14:textId="37BAC14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3.1</w:t>
            </w:r>
            <w:r w:rsidR="009F6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3955">
              <w:rPr>
                <w:rFonts w:ascii="Arial" w:hAnsi="Arial" w:cs="Arial"/>
                <w:sz w:val="16"/>
                <w:szCs w:val="16"/>
              </w:rPr>
              <w:t>(2.8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3.4)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451509B" w14:textId="53BE060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3.6 (3.3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3.9)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D38E10D" w14:textId="234A5D8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4.1 (3.8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4.4)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747156" w14:textId="00CCEDC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4.8 (4.5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5.2)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3C3FD1C" w14:textId="5E03F90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5.6 (5.3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6.0)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E487" w14:textId="3BE607A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24.7 (23.9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25.5)</w:t>
            </w:r>
          </w:p>
        </w:tc>
      </w:tr>
      <w:tr w:rsidR="006C4AAA" w:rsidRPr="00530F8A" w14:paraId="7096CAD4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2349" w14:textId="25C1C6E3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(18</w:t>
            </w:r>
            <w:r w:rsidR="006459F5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CFB55D7" w14:textId="7164BE2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3.5 (3.2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3.8)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36C93C2" w14:textId="2E10FDE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4.3 (3.9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C6C2AC6" w14:textId="09AC319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4.4 (4.0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503B87" w14:textId="5F56481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5.4 (5.0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08409F" w14:textId="0E6A44B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6.8 (6.4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7.2)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F911" w14:textId="076A13C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27.9 (27.0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28.7)</w:t>
            </w:r>
          </w:p>
        </w:tc>
      </w:tr>
      <w:tr w:rsidR="006C4AAA" w:rsidRPr="00530F8A" w14:paraId="0DE17DEC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60F" w14:textId="5CBB923C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(≥60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C8B1EC9" w14:textId="79D5068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10.7 (9.9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11.6)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28B69F" w14:textId="6123499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14.0 (13.1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15.0)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4F2D50B" w14:textId="0121E57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14.1 (13.2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15.1)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2E3D453" w14:textId="1DA484D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16.7 (15.7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9553902" w14:textId="1569703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20.5 (19.4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21.7)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FF29" w14:textId="065704A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80.3 (78.0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82.6)</w:t>
            </w:r>
          </w:p>
        </w:tc>
      </w:tr>
      <w:tr w:rsidR="006C4AAA" w:rsidRPr="00530F8A" w14:paraId="7476C3E1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78CA" w14:textId="0E45AC20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(≥60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7668359" w14:textId="72D382C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7.7 (7.1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8.4)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DBD2C5" w14:textId="2B9C644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9.0 (8.3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9.7)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031C9C6" w14:textId="3F3B399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10.1 (9.4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10.9)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1169495" w14:textId="69408FD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11.0 (10.2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4F084D" w14:textId="1297BCD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13.2 (12.4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14.1)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224E" w14:textId="6793C26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61.2 (59.4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63.1)</w:t>
            </w:r>
          </w:p>
        </w:tc>
      </w:tr>
      <w:tr w:rsidR="006C4AAA" w:rsidRPr="00530F8A" w14:paraId="3AA91A04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7BC3" w14:textId="17E19F38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(≥85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3A9A669" w14:textId="1BD1AAB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13.8 (10.5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17.9)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E61B0F6" w14:textId="5DEF22D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16.9 (13.2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21.2)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4CE844B" w14:textId="4C5FB1B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18.3 (14.6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1B5EA32" w14:textId="26EB5E0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23.8 (19.6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28.6)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AE63570" w14:textId="598229C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24.6 (20.4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29.4)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E925" w14:textId="1A5814F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122.6 (113.0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132.9)</w:t>
            </w:r>
          </w:p>
        </w:tc>
      </w:tr>
      <w:tr w:rsidR="006C4AAA" w:rsidRPr="00530F8A" w14:paraId="3A465D32" w14:textId="77777777" w:rsidTr="00B740AB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E2AC" w14:textId="664AF199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(≥85</w:t>
            </w:r>
            <w:r w:rsidR="004A2120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9FA472" w14:textId="51FF99CE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9.9 (7.9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12.3)</w:t>
            </w:r>
          </w:p>
        </w:tc>
        <w:tc>
          <w:tcPr>
            <w:tcW w:w="2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747997" w14:textId="05BF1FEF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12.7 (10.4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15.3)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6956F8" w14:textId="739235DC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13.3 (10.9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16.0)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3A3C03" w14:textId="59585024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15.9 (13.3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18.8)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D29B6" w14:textId="4035A48C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17.8 (15.1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20.9)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6173E" w14:textId="0D6787BD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93.7 (87.4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100.4)</w:t>
            </w:r>
          </w:p>
        </w:tc>
      </w:tr>
      <w:tr w:rsidR="006C4AAA" w:rsidRPr="00530F8A" w14:paraId="4E36FCC4" w14:textId="77777777" w:rsidTr="009F6CF3">
        <w:trPr>
          <w:trHeight w:val="312"/>
        </w:trPr>
        <w:tc>
          <w:tcPr>
            <w:tcW w:w="8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F6E" w14:textId="77777777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Any sterile site IED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2C97C1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C683F6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1145D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4C3C0D22" w14:textId="77777777" w:rsidTr="009F6CF3">
        <w:trPr>
          <w:trHeight w:val="312"/>
        </w:trPr>
        <w:tc>
          <w:tcPr>
            <w:tcW w:w="21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D8E6" w14:textId="22E96FFA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Age group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y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460CC666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23FE89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E8B28C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168A89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CD9644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A8924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100DC3B9" w14:textId="77777777" w:rsidTr="000034E8">
        <w:trPr>
          <w:trHeight w:val="312"/>
        </w:trPr>
        <w:tc>
          <w:tcPr>
            <w:tcW w:w="21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B023" w14:textId="4BAFE65E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≥18</w:t>
            </w:r>
          </w:p>
        </w:tc>
        <w:tc>
          <w:tcPr>
            <w:tcW w:w="1930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F01FFEF" w14:textId="78E9930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77.7 (76.9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78.6)</w:t>
            </w:r>
          </w:p>
        </w:tc>
        <w:tc>
          <w:tcPr>
            <w:tcW w:w="213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AC47022" w14:textId="43D034E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84.1 (83.3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85.0)</w:t>
            </w:r>
          </w:p>
        </w:tc>
        <w:tc>
          <w:tcPr>
            <w:tcW w:w="2027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14:paraId="2D0E8904" w14:textId="62EC10B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87.8 (86.9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88.7)</w:t>
            </w:r>
          </w:p>
        </w:tc>
        <w:tc>
          <w:tcPr>
            <w:tcW w:w="192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14:paraId="21AB2EEE" w14:textId="29D61D4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94.6 (93.7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95.5)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F341716" w14:textId="58A19B1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100.0 (99.0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100.9)</w:t>
            </w:r>
          </w:p>
        </w:tc>
        <w:tc>
          <w:tcPr>
            <w:tcW w:w="193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6A6D" w14:textId="1D766AD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124.5 (123.5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125.6)</w:t>
            </w:r>
          </w:p>
        </w:tc>
      </w:tr>
      <w:tr w:rsidR="006C4AAA" w:rsidRPr="00530F8A" w14:paraId="43858F54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47CD" w14:textId="75B3D290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A417B22" w14:textId="58776E5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23.6 (23.1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D1DA456" w14:textId="5B3975E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25.5 (25.0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26.1)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36610A" w14:textId="40CB7BF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27.8 (27.2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28.4)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235A8C1" w14:textId="5166F5C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29.4 (28.8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30.0)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F97D227" w14:textId="58F9E95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31.3 (30.7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31.9)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D413" w14:textId="1833800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50.5 (49.7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51.3)</w:t>
            </w:r>
          </w:p>
        </w:tc>
      </w:tr>
      <w:tr w:rsidR="006C4AAA" w:rsidRPr="00530F8A" w14:paraId="692D850E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6CB8" w14:textId="5849FF5A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≥60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ACFBB91" w14:textId="3B0B18F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210.8 (208.2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213.4)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5B72BB" w14:textId="1EBD0D1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226.6 (224.0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229.3)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4D4D97" w14:textId="25CE6F6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233.0 (230.3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235.7)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A69C02" w14:textId="1A5B1C0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250.7 (248.0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253.5)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BBBFD5" w14:textId="7BBE46F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262.1 (259.3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264.9)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36AE" w14:textId="401D17E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299.4 (296.4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302.4)</w:t>
            </w:r>
          </w:p>
        </w:tc>
      </w:tr>
      <w:tr w:rsidR="006C4AAA" w:rsidRPr="00530F8A" w14:paraId="4E7F5FC6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4DBE" w14:textId="35E43883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≥85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F13BD5" w14:textId="6D8D0A4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560.7 (547.6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574.1)</w:t>
            </w:r>
          </w:p>
        </w:tc>
        <w:tc>
          <w:tcPr>
            <w:tcW w:w="2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8910AA2" w14:textId="4735E73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611.9 (598.4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625.6)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51C1CA" w14:textId="6006663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636.5 (622.8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650.4)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845386" w14:textId="5DA6356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686.5 (672.5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700.7)</w:t>
            </w:r>
          </w:p>
        </w:tc>
        <w:tc>
          <w:tcPr>
            <w:tcW w:w="193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852029" w14:textId="162AF50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720.2 (705.9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734.6)</w:t>
            </w:r>
          </w:p>
        </w:tc>
        <w:tc>
          <w:tcPr>
            <w:tcW w:w="19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F8EA0" w14:textId="01E6D06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759.8 (745.2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774.6)</w:t>
            </w:r>
          </w:p>
        </w:tc>
      </w:tr>
      <w:tr w:rsidR="006C4AAA" w:rsidRPr="00530F8A" w14:paraId="1C19BC43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0BFF" w14:textId="0C19BC35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FAD9AD" w14:textId="0041287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12.8 (12.1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13.6)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7DA9DA" w14:textId="2C8E457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12.8 (12.1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13.6)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E9C82A" w14:textId="2260CEE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15.4 (14.6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16.2)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1B0E765" w14:textId="6F2FBBF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14.6 (13.8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15.4)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AA9FC5C" w14:textId="265BC9B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15.9 (15.0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16.7)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33A20" w14:textId="3444691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30.7 (29.5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31.9)</w:t>
            </w:r>
          </w:p>
        </w:tc>
      </w:tr>
      <w:tr w:rsidR="006C4AAA" w:rsidRPr="00530F8A" w14:paraId="159C0154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19A1" w14:textId="537F1205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39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DBED50" w14:textId="1010B41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15.6 (14.7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16.6)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82BD5E7" w14:textId="2216697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17.0 (16.1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18.0)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B9CF77" w14:textId="674A5F0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18.9 (17.9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20.0)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758EC2F" w14:textId="29D5965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20.6 (19.6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21.7)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69ACC1" w14:textId="2243EA3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21.5 (20.5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22.6)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2E40" w14:textId="219CE93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39.9 (38.5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41.4)</w:t>
            </w:r>
          </w:p>
        </w:tc>
      </w:tr>
      <w:tr w:rsidR="006C4AAA" w:rsidRPr="00530F8A" w14:paraId="2F5837BB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B036" w14:textId="0382AEC3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8D3C00A" w14:textId="343A405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23.6 (22.6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24.7)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E7B10DC" w14:textId="40F0E6B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25.8 (24.7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26.9)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427781" w14:textId="501AA8B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26.5 (25.4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27.7)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EF5073" w14:textId="7F0729D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29.1 (27.9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30.4)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9EE3BA4" w14:textId="3C2290D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29.6 (28.4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30.9)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0A20" w14:textId="441B6F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49.6 (48.0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51.2)</w:t>
            </w:r>
          </w:p>
        </w:tc>
      </w:tr>
      <w:tr w:rsidR="006C4AAA" w:rsidRPr="00530F8A" w14:paraId="15436AC0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CD0F" w14:textId="6A8464EF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59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EDA744" w14:textId="6B34710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45.9 (44.3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47.6)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136CE59" w14:textId="661FBC5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49.9 (48.2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51.6)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E96DC5D" w14:textId="75CD0A5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53.2 (51.5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54.9)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C909FD2" w14:textId="3898718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56.3 (54.5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58.0)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501DF0" w14:textId="514B689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60.9 (59.2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62.7)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2594" w14:textId="11520B1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85.3 (83.2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87.4)</w:t>
            </w:r>
          </w:p>
        </w:tc>
      </w:tr>
      <w:tr w:rsidR="006C4AAA" w:rsidRPr="00530F8A" w14:paraId="5A1604E7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F2E8" w14:textId="3AB32AF4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69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0DA019" w14:textId="3D562A9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95.4 (92.9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97.9)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EC3B58C" w14:textId="25A5F19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103.7 (101.1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106.3)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18AD3A" w14:textId="72FC96B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105.3 (102.7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108.0)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EBA5D2B" w14:textId="2A6F7DC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117.0 (114.3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119.8)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E94FEF5" w14:textId="22B8E03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120.9 (118.1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123.7)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C9A8" w14:textId="767AE4A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153.2 (150.1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156.4)</w:t>
            </w:r>
          </w:p>
        </w:tc>
      </w:tr>
      <w:tr w:rsidR="006C4AAA" w:rsidRPr="00530F8A" w14:paraId="5AE193C5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E7B7" w14:textId="5E361F20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EB40A21" w14:textId="43809481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217.2 (212.6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221.9)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F58C19" w14:textId="6D5B7B8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226.5 (221.8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231.2)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60C7B83" w14:textId="0151805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227.7 (223.1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232.4)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EB4806" w14:textId="5BD3905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241.8 (237.1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246.5)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836FCB2" w14:textId="1509DB1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246.5 (241.9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251.2)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35CB" w14:textId="147C515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288.5 (283.5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293.5)</w:t>
            </w:r>
          </w:p>
        </w:tc>
      </w:tr>
      <w:tr w:rsidR="006C4AAA" w:rsidRPr="00530F8A" w14:paraId="5E8861D7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EE37B" w14:textId="16BC51B5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≥80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9A346" w14:textId="246E309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467.5 (459.2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476.0)</w:t>
            </w:r>
          </w:p>
        </w:tc>
        <w:tc>
          <w:tcPr>
            <w:tcW w:w="2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99A1B" w14:textId="7ED0D93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506.3 (497.7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515.1)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9EA4E" w14:textId="5DE0B06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529.7 (520.9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538.6)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DE8CC5" w14:textId="31035B6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562.9 (553.9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572.0)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CB6AFD" w14:textId="1469F2A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592.2 (583.1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601.4)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4247B" w14:textId="0DA7A05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632.5 (623.1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642.0)</w:t>
            </w:r>
          </w:p>
        </w:tc>
      </w:tr>
      <w:tr w:rsidR="006C4AAA" w:rsidRPr="00530F8A" w14:paraId="1CD8AEB8" w14:textId="77777777" w:rsidTr="009F6CF3">
        <w:trPr>
          <w:trHeight w:val="312"/>
        </w:trPr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692C" w14:textId="77777777" w:rsidR="006C4AAA" w:rsidRPr="009F6CF3" w:rsidRDefault="006C4AAA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57E52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BBF89E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3D7D5E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FF734B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F6A631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26425" w14:textId="7777777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C4AAA" w:rsidRPr="00530F8A" w14:paraId="2C2219B2" w14:textId="77777777" w:rsidTr="000034E8">
        <w:trPr>
          <w:trHeight w:val="312"/>
        </w:trPr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8310" w14:textId="47BE2315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(≥18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4B7DBD2" w14:textId="28FAF1A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76.4 (75.2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77.6)</w:t>
            </w:r>
          </w:p>
        </w:tc>
        <w:tc>
          <w:tcPr>
            <w:tcW w:w="2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C78ED6A" w14:textId="5DD713E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83.3 (82.1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84.6)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638EB73" w14:textId="7730D56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86.0 (84.8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87.3)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0AD8301" w14:textId="43DD86E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93.9 (92.6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95.2)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B878A3D" w14:textId="0B070F8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99.8 (98.5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101.1)</w:t>
            </w:r>
          </w:p>
        </w:tc>
        <w:tc>
          <w:tcPr>
            <w:tcW w:w="19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2DF0" w14:textId="6429D24F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123.8 (122.3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125.3)</w:t>
            </w:r>
          </w:p>
        </w:tc>
      </w:tr>
      <w:tr w:rsidR="006C4AAA" w:rsidRPr="00530F8A" w14:paraId="3950765D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7C69" w14:textId="0661AE86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(≥18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BF18B34" w14:textId="44AD535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79.0 (77.9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80.2)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C76398A" w14:textId="181E1B4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84.9 (83.7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86.1)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E8A08F9" w14:textId="063FDE0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89.6 (88.3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90.8)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08707E3" w14:textId="7A5B1DF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95.3 (94.0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96.6)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463142" w14:textId="7B1248C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100.1 (98.8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101.4)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87BF" w14:textId="0B30B40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125.3 (123.8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126.7)</w:t>
            </w:r>
          </w:p>
        </w:tc>
      </w:tr>
      <w:tr w:rsidR="006C4AAA" w:rsidRPr="00530F8A" w14:paraId="4C46CC4D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AEAA" w14:textId="26036FA0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(18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00EAAA3" w14:textId="4D7F7DF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18.7 (18.1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19.4)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DB52B39" w14:textId="5831FB7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20.8 (20.1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21.6)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47F4CA" w14:textId="3F885A72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22.1 (21.3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22.8)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5869D02" w14:textId="5F6914D0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24.1 (23.3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24.9)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8423556" w14:textId="04EC2D0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26.1 (25.3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26.9)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F565" w14:textId="1788216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43.4 (42.4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44.5)</w:t>
            </w:r>
          </w:p>
        </w:tc>
      </w:tr>
      <w:tr w:rsidR="006C4AAA" w:rsidRPr="00530F8A" w14:paraId="691A0D26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10B" w14:textId="5B778BFE" w:rsidR="006C4AAA" w:rsidRPr="009F6CF3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(18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</w:t>
            </w:r>
            <w:r w:rsidR="00121DC7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9F6C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081427D" w14:textId="1FC5C9C5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28.5 (27.7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29.4)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9E09A0A" w14:textId="587FB01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30.2 (29.3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31.1)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8824960" w14:textId="2CE37AE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33.5 (32.5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34.4)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945B640" w14:textId="76C299C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34.7 (33.8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35.7)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6D8EF0" w14:textId="6BB42D1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36.6 (35.6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37.5)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7749" w14:textId="0CD40FD4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57.6 (56.4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58.8)</w:t>
            </w:r>
          </w:p>
        </w:tc>
      </w:tr>
      <w:tr w:rsidR="006C4AAA" w:rsidRPr="00530F8A" w14:paraId="2DB6CB42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5EB8" w14:textId="3F0E5F4F" w:rsidR="006C4AAA" w:rsidRPr="00F23955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(≥60</w:t>
            </w:r>
            <w:r w:rsidR="00121DC7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979929C" w14:textId="33DA8D7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230.2 (226.3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234.2)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7FA3560" w14:textId="352EE8BA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247.9 (243.8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252.0)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4DE8163" w14:textId="253B800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253.1 (249.1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257.3)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71680D1" w14:textId="6916D2BC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274.7 (270.5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278.9)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58A132" w14:textId="5D73883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287.7 (283.4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292.0)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021C" w14:textId="67DA500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328.4 (323.8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333.0)</w:t>
            </w:r>
          </w:p>
        </w:tc>
      </w:tr>
      <w:tr w:rsidR="006C4AAA" w:rsidRPr="00530F8A" w14:paraId="4281AA29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69B5" w14:textId="5870B8BC" w:rsidR="006C4AAA" w:rsidRPr="00F23955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(≥60</w:t>
            </w:r>
            <w:r w:rsidR="00121DC7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D043094" w14:textId="660FC7D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194.3 (191.0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197.7)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4C85FDA" w14:textId="7E0BF58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208.4 (205.0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211.9)</w:t>
            </w:r>
          </w:p>
        </w:tc>
        <w:tc>
          <w:tcPr>
            <w:tcW w:w="20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120FFA" w14:textId="63467D73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215.7 (212.2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219.2)</w:t>
            </w: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FBC53C" w14:textId="1B8BEB5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230.1 (226.5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233.7)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ECA595B" w14:textId="0EF3B586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240.0 (236.4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243.7)</w:t>
            </w: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A146" w14:textId="37BB9DA7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274.3 (270.5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278.2)</w:t>
            </w:r>
          </w:p>
        </w:tc>
      </w:tr>
      <w:tr w:rsidR="006C4AAA" w:rsidRPr="00530F8A" w14:paraId="77D80170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B56C" w14:textId="62A01020" w:rsidR="006C4AAA" w:rsidRPr="00F23955" w:rsidRDefault="009F6CF3" w:rsidP="009F6CF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 (≥85</w:t>
            </w:r>
            <w:r w:rsidR="00121DC7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y) </w:t>
            </w:r>
          </w:p>
        </w:tc>
        <w:tc>
          <w:tcPr>
            <w:tcW w:w="193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961B180" w14:textId="48D1EB2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723.0 (697.5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749.2)</w:t>
            </w:r>
          </w:p>
        </w:tc>
        <w:tc>
          <w:tcPr>
            <w:tcW w:w="213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E336FF" w14:textId="0A21406B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782.1 (756.1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808.7)</w:t>
            </w:r>
          </w:p>
        </w:tc>
        <w:tc>
          <w:tcPr>
            <w:tcW w:w="202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EC190A8" w14:textId="643522E9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782.8 (757.3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809.1)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D74377" w14:textId="0503CFBE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839.0 (813.1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865.6)</w:t>
            </w:r>
          </w:p>
        </w:tc>
        <w:tc>
          <w:tcPr>
            <w:tcW w:w="19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43FC2E" w14:textId="3DEED778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885.5 (859.2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912.3)</w:t>
            </w:r>
          </w:p>
        </w:tc>
        <w:tc>
          <w:tcPr>
            <w:tcW w:w="193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462E4348" w14:textId="79F0733D" w:rsidR="006C4AAA" w:rsidRPr="00F23955" w:rsidRDefault="006C4AAA" w:rsidP="009F6CF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928.3 (901.5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955.8)</w:t>
            </w:r>
          </w:p>
        </w:tc>
      </w:tr>
      <w:tr w:rsidR="006C4AAA" w:rsidRPr="00530F8A" w14:paraId="5B82F968" w14:textId="77777777" w:rsidTr="000034E8">
        <w:trPr>
          <w:trHeight w:val="312"/>
        </w:trPr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0F30" w14:textId="69F73321" w:rsidR="006C4AAA" w:rsidRPr="00F23955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Female (≥85</w:t>
            </w:r>
            <w:r w:rsidR="00121DC7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C4AAA" w:rsidRPr="00F2395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9F74B0" w14:textId="1118122C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477.6 (462.8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492.8)</w:t>
            </w:r>
          </w:p>
        </w:tc>
        <w:tc>
          <w:tcPr>
            <w:tcW w:w="21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4C4C04" w14:textId="0CDA8E7E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522.7 (507.4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538.5)</w:t>
            </w:r>
          </w:p>
        </w:tc>
        <w:tc>
          <w:tcPr>
            <w:tcW w:w="2027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0D2B9D" w14:textId="76D89218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557.8 (542.0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574.0)</w:t>
            </w:r>
          </w:p>
        </w:tc>
        <w:tc>
          <w:tcPr>
            <w:tcW w:w="192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74F1109" w14:textId="16EA4342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602.5 (586.2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619.2)</w:t>
            </w:r>
          </w:p>
        </w:tc>
        <w:tc>
          <w:tcPr>
            <w:tcW w:w="193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4D486E" w14:textId="4C0AE659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626.9 (610.3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643.8)</w:t>
            </w:r>
          </w:p>
        </w:tc>
        <w:tc>
          <w:tcPr>
            <w:tcW w:w="19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08CB5" w14:textId="26ED1FA4" w:rsidR="006C4AAA" w:rsidRPr="00F23955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23955">
              <w:rPr>
                <w:rFonts w:ascii="Arial" w:hAnsi="Arial" w:cs="Arial"/>
                <w:sz w:val="16"/>
                <w:szCs w:val="16"/>
              </w:rPr>
              <w:t>664.7 (647.7</w:t>
            </w:r>
            <w:r w:rsidR="009F5738" w:rsidRPr="00F23955">
              <w:rPr>
                <w:rFonts w:ascii="Arial" w:hAnsi="Arial" w:cs="Arial"/>
                <w:sz w:val="16"/>
                <w:szCs w:val="16"/>
              </w:rPr>
              <w:t>–</w:t>
            </w:r>
            <w:r w:rsidRPr="00F23955">
              <w:rPr>
                <w:rFonts w:ascii="Arial" w:hAnsi="Arial" w:cs="Arial"/>
                <w:sz w:val="16"/>
                <w:szCs w:val="16"/>
              </w:rPr>
              <w:t>682.2)</w:t>
            </w:r>
          </w:p>
        </w:tc>
      </w:tr>
    </w:tbl>
    <w:p w14:paraId="159330DE" w14:textId="512894D3" w:rsidR="005F4240" w:rsidRPr="009F6CF3" w:rsidRDefault="005F4240" w:rsidP="005F4240">
      <w:pPr>
        <w:spacing w:after="0"/>
        <w:rPr>
          <w:rFonts w:ascii="Arial" w:hAnsi="Arial" w:cs="Arial"/>
          <w:sz w:val="16"/>
          <w:szCs w:val="16"/>
        </w:rPr>
      </w:pPr>
      <w:r w:rsidRPr="009F6CF3">
        <w:rPr>
          <w:rFonts w:ascii="Arial" w:hAnsi="Arial" w:cs="Arial"/>
          <w:sz w:val="16"/>
          <w:szCs w:val="16"/>
        </w:rPr>
        <w:t>DCS</w:t>
      </w:r>
      <w:r w:rsidR="009F6CF3">
        <w:rPr>
          <w:rFonts w:ascii="Arial" w:hAnsi="Arial" w:cs="Arial"/>
          <w:sz w:val="16"/>
          <w:szCs w:val="16"/>
        </w:rPr>
        <w:t>,</w:t>
      </w:r>
      <w:r w:rsidRPr="009F6CF3">
        <w:rPr>
          <w:rFonts w:ascii="Arial" w:hAnsi="Arial" w:cs="Arial"/>
          <w:sz w:val="16"/>
          <w:szCs w:val="16"/>
        </w:rPr>
        <w:t xml:space="preserve"> Data Capture System</w:t>
      </w:r>
      <w:r w:rsidR="009F6CF3">
        <w:rPr>
          <w:rFonts w:ascii="Arial" w:hAnsi="Arial" w:cs="Arial"/>
          <w:sz w:val="16"/>
          <w:szCs w:val="16"/>
        </w:rPr>
        <w:t>;</w:t>
      </w:r>
      <w:r w:rsidRPr="009F6CF3">
        <w:rPr>
          <w:rFonts w:ascii="Arial" w:hAnsi="Arial" w:cs="Arial"/>
          <w:sz w:val="16"/>
          <w:szCs w:val="16"/>
        </w:rPr>
        <w:t xml:space="preserve"> IED</w:t>
      </w:r>
      <w:r w:rsidR="009F6CF3">
        <w:rPr>
          <w:rFonts w:ascii="Arial" w:hAnsi="Arial" w:cs="Arial"/>
          <w:sz w:val="16"/>
          <w:szCs w:val="16"/>
        </w:rPr>
        <w:t>,</w:t>
      </w:r>
      <w:r w:rsidRPr="009F6CF3">
        <w:rPr>
          <w:rFonts w:ascii="Arial" w:hAnsi="Arial" w:cs="Arial"/>
          <w:sz w:val="16"/>
          <w:szCs w:val="16"/>
        </w:rPr>
        <w:t xml:space="preserve"> invasive </w:t>
      </w:r>
      <w:r w:rsidRPr="009F6CF3">
        <w:rPr>
          <w:rFonts w:ascii="Arial" w:hAnsi="Arial" w:cs="Arial"/>
          <w:i/>
          <w:iCs/>
          <w:sz w:val="16"/>
          <w:szCs w:val="16"/>
        </w:rPr>
        <w:t>E. coli</w:t>
      </w:r>
      <w:r w:rsidRPr="009F6CF3">
        <w:rPr>
          <w:rFonts w:ascii="Arial" w:hAnsi="Arial" w:cs="Arial"/>
          <w:sz w:val="16"/>
          <w:szCs w:val="16"/>
        </w:rPr>
        <w:t xml:space="preserve"> disease</w:t>
      </w:r>
      <w:r w:rsidR="009F6CF3">
        <w:rPr>
          <w:rFonts w:ascii="Arial" w:hAnsi="Arial" w:cs="Arial"/>
          <w:sz w:val="16"/>
          <w:szCs w:val="16"/>
        </w:rPr>
        <w:t>;</w:t>
      </w:r>
      <w:r w:rsidRPr="009F6CF3">
        <w:rPr>
          <w:rFonts w:ascii="Arial" w:hAnsi="Arial" w:cs="Arial"/>
          <w:sz w:val="16"/>
          <w:szCs w:val="16"/>
        </w:rPr>
        <w:t xml:space="preserve"> SGSS-AMR</w:t>
      </w:r>
      <w:r w:rsidR="009F6CF3">
        <w:rPr>
          <w:rFonts w:ascii="Arial" w:hAnsi="Arial" w:cs="Arial"/>
          <w:sz w:val="16"/>
          <w:szCs w:val="16"/>
        </w:rPr>
        <w:t>,</w:t>
      </w:r>
      <w:r w:rsidRPr="009F6CF3">
        <w:rPr>
          <w:rFonts w:ascii="Arial" w:hAnsi="Arial" w:cs="Arial"/>
          <w:sz w:val="16"/>
          <w:szCs w:val="16"/>
        </w:rPr>
        <w:t xml:space="preserve"> Second</w:t>
      </w:r>
      <w:r w:rsidR="009F6CF3">
        <w:rPr>
          <w:rFonts w:ascii="Arial" w:hAnsi="Arial" w:cs="Arial"/>
          <w:sz w:val="16"/>
          <w:szCs w:val="16"/>
        </w:rPr>
        <w:t>-</w:t>
      </w:r>
      <w:r w:rsidRPr="009F6CF3">
        <w:rPr>
          <w:rFonts w:ascii="Arial" w:hAnsi="Arial" w:cs="Arial"/>
          <w:sz w:val="16"/>
          <w:szCs w:val="16"/>
        </w:rPr>
        <w:t>Generation Surveillance System Antimicrobial Resistance Report</w:t>
      </w:r>
      <w:r w:rsidR="009F6CF3">
        <w:rPr>
          <w:rFonts w:ascii="Arial" w:hAnsi="Arial" w:cs="Arial"/>
          <w:sz w:val="16"/>
          <w:szCs w:val="16"/>
        </w:rPr>
        <w:t>;</w:t>
      </w:r>
      <w:r w:rsidRPr="009F6CF3">
        <w:rPr>
          <w:rFonts w:ascii="Arial" w:hAnsi="Arial" w:cs="Arial"/>
          <w:sz w:val="16"/>
          <w:szCs w:val="16"/>
        </w:rPr>
        <w:t xml:space="preserve"> SGSS-CDR</w:t>
      </w:r>
      <w:r w:rsidR="009F6CF3">
        <w:rPr>
          <w:rFonts w:ascii="Arial" w:hAnsi="Arial" w:cs="Arial"/>
          <w:sz w:val="16"/>
          <w:szCs w:val="16"/>
        </w:rPr>
        <w:t>,</w:t>
      </w:r>
      <w:r w:rsidRPr="009F6CF3">
        <w:rPr>
          <w:rFonts w:ascii="Arial" w:hAnsi="Arial" w:cs="Arial"/>
          <w:sz w:val="16"/>
          <w:szCs w:val="16"/>
        </w:rPr>
        <w:t xml:space="preserve"> Second</w:t>
      </w:r>
      <w:r w:rsidR="009F6CF3">
        <w:rPr>
          <w:rFonts w:ascii="Arial" w:hAnsi="Arial" w:cs="Arial"/>
          <w:sz w:val="16"/>
          <w:szCs w:val="16"/>
        </w:rPr>
        <w:t>-</w:t>
      </w:r>
      <w:r w:rsidRPr="009F6CF3">
        <w:rPr>
          <w:rFonts w:ascii="Arial" w:hAnsi="Arial" w:cs="Arial"/>
          <w:sz w:val="16"/>
          <w:szCs w:val="16"/>
        </w:rPr>
        <w:t>Generation Surveillance System Communicable Disease Report.</w:t>
      </w:r>
    </w:p>
    <w:p w14:paraId="4AA6FC13" w14:textId="77777777" w:rsidR="006C4AAA" w:rsidRPr="009F5738" w:rsidRDefault="006C4AAA" w:rsidP="006C4AAA">
      <w:pPr>
        <w:rPr>
          <w:rFonts w:ascii="Arial" w:hAnsi="Arial" w:cs="Arial"/>
        </w:rPr>
      </w:pPr>
    </w:p>
    <w:p w14:paraId="665DD280" w14:textId="77777777" w:rsidR="009F6CF3" w:rsidRDefault="009F6CF3" w:rsidP="006C4AAA">
      <w:pPr>
        <w:spacing w:after="120" w:line="264" w:lineRule="auto"/>
        <w:rPr>
          <w:rFonts w:ascii="Arial" w:hAnsi="Arial" w:cs="Arial"/>
          <w:b/>
          <w:bCs/>
        </w:rPr>
        <w:sectPr w:rsidR="009F6CF3" w:rsidSect="009F6CF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E57E4D5" w14:textId="0C4A5833" w:rsidR="009600A6" w:rsidRDefault="005E23A3" w:rsidP="005E23A3">
      <w:pPr>
        <w:pStyle w:val="Heading2"/>
      </w:pPr>
      <w:r>
        <w:rPr>
          <w:b/>
          <w:bCs w:val="0"/>
        </w:rPr>
        <w:lastRenderedPageBreak/>
        <w:t xml:space="preserve">Supplementary </w:t>
      </w:r>
      <w:r w:rsidR="009600A6" w:rsidRPr="005E23A3">
        <w:rPr>
          <w:b/>
          <w:bCs w:val="0"/>
        </w:rPr>
        <w:t>Table S3</w:t>
      </w:r>
      <w:r w:rsidR="007134A2">
        <w:rPr>
          <w:b/>
          <w:bCs w:val="0"/>
        </w:rPr>
        <w:t>B</w:t>
      </w:r>
      <w:r w:rsidR="00ED2D82" w:rsidRPr="005E23A3">
        <w:rPr>
          <w:b/>
          <w:bCs w:val="0"/>
        </w:rPr>
        <w:t>.</w:t>
      </w:r>
      <w:r w:rsidR="00ED2D82">
        <w:t xml:space="preserve"> </w:t>
      </w:r>
      <w:r w:rsidR="00C86B74" w:rsidRPr="00C86B74">
        <w:t>Proportion of cases reported on other sterile sites</w:t>
      </w:r>
      <w:r w:rsidR="00504226">
        <w:t xml:space="preserve"> (excluding the blood)</w:t>
      </w:r>
      <w:r w:rsidR="00C86B74" w:rsidRPr="00C86B74">
        <w:t xml:space="preserve"> </w:t>
      </w:r>
      <w:r w:rsidR="0040453D">
        <w:t>by</w:t>
      </w:r>
      <w:r w:rsidR="00C86B74" w:rsidRPr="00C86B74">
        <w:t xml:space="preserve"> database</w:t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4083"/>
        <w:gridCol w:w="2730"/>
        <w:gridCol w:w="2730"/>
      </w:tblGrid>
      <w:tr w:rsidR="00DC0ECB" w:rsidRPr="009F6CF3" w14:paraId="1E83EDB9" w14:textId="77777777" w:rsidTr="009F6CF3">
        <w:trPr>
          <w:trHeight w:val="567"/>
        </w:trPr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D104F2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Specimen type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76FF6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SGSS-AMR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4F051D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SGSS-CDR</w:t>
            </w:r>
          </w:p>
        </w:tc>
      </w:tr>
      <w:tr w:rsidR="00DC0ECB" w:rsidRPr="009F6CF3" w14:paraId="47E38E6F" w14:textId="77777777" w:rsidTr="009F6CF3">
        <w:trPr>
          <w:trHeight w:val="454"/>
        </w:trPr>
        <w:tc>
          <w:tcPr>
            <w:tcW w:w="40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4390EC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Pus (source unknown)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1B88D9" w14:textId="2CC8ED6E" w:rsidR="00DC0ECB" w:rsidRPr="009F6CF3" w:rsidRDefault="00DC0ECB" w:rsidP="009F6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8086 (23.0%)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5DC1E1" w14:textId="4F97CADE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3043 (17.3%)</w:t>
            </w:r>
          </w:p>
        </w:tc>
      </w:tr>
      <w:tr w:rsidR="00DC0ECB" w:rsidRPr="009F6CF3" w14:paraId="4D6A783A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C0CEA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Wound (surgical)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86FFC" w14:textId="22CE11B4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7075 (20.1%)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1CDD80" w14:textId="6EAACDC2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1725 (9.8%)</w:t>
            </w:r>
          </w:p>
        </w:tc>
      </w:tr>
      <w:tr w:rsidR="00DC0ECB" w:rsidRPr="009F6CF3" w14:paraId="0FE7F8A5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32550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Tissue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B122E" w14:textId="3579D92B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4517 (12.8%)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53752" w14:textId="5CBAD3A5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5539 (30.5%)</w:t>
            </w:r>
          </w:p>
        </w:tc>
      </w:tr>
      <w:tr w:rsidR="00DC0ECB" w:rsidRPr="009F6CF3" w14:paraId="1D3D8F10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A79BA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Unknown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CBFB8" w14:textId="3279B23B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2248 (6.4%)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3C5F1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465 (2.6%)</w:t>
            </w:r>
          </w:p>
        </w:tc>
      </w:tr>
      <w:tr w:rsidR="00DC0ECB" w:rsidRPr="009F6CF3" w14:paraId="2DDBC42E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60A7D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Suprapubic aspirate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D47A9" w14:textId="3259E6E3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2233 (6.3%)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2E79A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DC0ECB" w:rsidRPr="009F6CF3" w14:paraId="3BE1CF52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1EC41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Abscess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167C2" w14:textId="56B98F8B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1683 (4.8%)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657C5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466 (2.7%)</w:t>
            </w:r>
          </w:p>
        </w:tc>
      </w:tr>
      <w:tr w:rsidR="00DC0ECB" w:rsidRPr="009F6CF3" w14:paraId="4D4DD86E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B63D0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Peritoneal fluid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11966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847 (2.4%)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83B0A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638 (3.6%)</w:t>
            </w:r>
          </w:p>
        </w:tc>
      </w:tr>
      <w:tr w:rsidR="00DC0ECB" w:rsidRPr="009F6CF3" w14:paraId="2FF0DA15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4E015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BAL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56397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816 (2.3%)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A6927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665 (3.8%)</w:t>
            </w:r>
          </w:p>
        </w:tc>
      </w:tr>
      <w:tr w:rsidR="00DC0ECB" w:rsidRPr="009F6CF3" w14:paraId="4B782376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B1419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Aspiration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ECCF6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788 (2.2%)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9D6F4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425 (2.4%)</w:t>
            </w:r>
          </w:p>
        </w:tc>
      </w:tr>
      <w:tr w:rsidR="00DC0ECB" w:rsidRPr="009F6CF3" w14:paraId="2E7E7A65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53105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IV catheter tip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66DC7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738 (2.1%)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E206A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DC0ECB" w:rsidRPr="009F6CF3" w14:paraId="5E36DD53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A4025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Ascitic fluid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BA1EA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722 (2.1%)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F32A5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973 (5.5%)</w:t>
            </w:r>
          </w:p>
        </w:tc>
      </w:tr>
      <w:tr w:rsidR="00DC0ECB" w:rsidRPr="009F6CF3" w14:paraId="4D81B438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5A858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Bone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82717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620 (1.8%)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05F38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649 (3.7%)</w:t>
            </w:r>
          </w:p>
        </w:tc>
      </w:tr>
      <w:tr w:rsidR="00DC0ECB" w:rsidRPr="009F6CF3" w14:paraId="46AB643C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BB020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Placenta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05EB2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606 (1.7%)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D8670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DC0ECB" w:rsidRPr="009F6CF3" w14:paraId="11CD405E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11ADA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Bile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FFADB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517 (1.5%)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77F5A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270 (1.5%)</w:t>
            </w:r>
          </w:p>
        </w:tc>
      </w:tr>
      <w:tr w:rsidR="00DC0ECB" w:rsidRPr="009F6CF3" w14:paraId="00713E39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B111F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Nephrostomy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C8F5E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478 (1.4%)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4D4B6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178 (1.0%)</w:t>
            </w:r>
          </w:p>
        </w:tc>
      </w:tr>
      <w:tr w:rsidR="00DC0ECB" w:rsidRPr="009F6CF3" w14:paraId="49E07FD6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CC263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Unassigned specimen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A13DA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470 (1.3%)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866E7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DC0ECB" w:rsidRPr="009F6CF3" w14:paraId="041019EF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51F5D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Axillary lymph node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11ED5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8A860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412 (2.3%)</w:t>
            </w:r>
          </w:p>
        </w:tc>
      </w:tr>
      <w:tr w:rsidR="00DC0ECB" w:rsidRPr="009F6CF3" w14:paraId="7F8BA484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F9BFF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Pleural fluid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082FB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DC3C0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369 (2.1%)</w:t>
            </w:r>
          </w:p>
        </w:tc>
      </w:tr>
      <w:tr w:rsidR="00DC0ECB" w:rsidRPr="009F6CF3" w14:paraId="71B10035" w14:textId="77777777" w:rsidTr="009F6CF3">
        <w:trPr>
          <w:trHeight w:val="454"/>
        </w:trPr>
        <w:tc>
          <w:tcPr>
            <w:tcW w:w="40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336141" w14:textId="77777777" w:rsidR="00DC0ECB" w:rsidRPr="009F6CF3" w:rsidRDefault="00DC0ECB" w:rsidP="00BC0D85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Joint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26B37B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C070B8" w14:textId="77777777" w:rsidR="00DC0ECB" w:rsidRPr="009F6CF3" w:rsidRDefault="00DC0ECB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190 (1.1%)</w:t>
            </w:r>
          </w:p>
        </w:tc>
      </w:tr>
    </w:tbl>
    <w:p w14:paraId="51DD9E9B" w14:textId="2CEFF5EE" w:rsidR="00AD7881" w:rsidRPr="009F6CF3" w:rsidRDefault="009F6CF3" w:rsidP="009F6CF3">
      <w:pPr>
        <w:pStyle w:val="TFFootnote"/>
        <w:rPr>
          <w:lang w:val="en-US"/>
        </w:rPr>
      </w:pPr>
      <w:r w:rsidRPr="00AD7881">
        <w:rPr>
          <w:lang w:val="en-US"/>
        </w:rPr>
        <w:t>Only samples with a frequency of &gt;1% are shown. SGSS-AMR</w:t>
      </w:r>
      <w:r>
        <w:rPr>
          <w:lang w:val="en-US"/>
        </w:rPr>
        <w:t>:</w:t>
      </w:r>
      <w:r w:rsidRPr="00AD7881">
        <w:rPr>
          <w:lang w:val="en-US"/>
        </w:rPr>
        <w:t xml:space="preserve"> data from 2016/2017 and 2017/2018, other (known) specimens total 7.8%. SGSS-CDR</w:t>
      </w:r>
      <w:r>
        <w:rPr>
          <w:lang w:val="en-US"/>
        </w:rPr>
        <w:t>:</w:t>
      </w:r>
      <w:r w:rsidRPr="00AD7881">
        <w:rPr>
          <w:lang w:val="en-US"/>
        </w:rPr>
        <w:t xml:space="preserve"> data from calendar years 2012</w:t>
      </w:r>
      <w:r>
        <w:rPr>
          <w:lang w:val="en-US"/>
        </w:rPr>
        <w:t>–</w:t>
      </w:r>
      <w:r w:rsidRPr="00AD7881">
        <w:rPr>
          <w:lang w:val="en-US"/>
        </w:rPr>
        <w:t>2018, other (known), specimens total 9.8%</w:t>
      </w:r>
      <w:r>
        <w:rPr>
          <w:lang w:val="en-US"/>
        </w:rPr>
        <w:t>.</w:t>
      </w:r>
      <w:r>
        <w:rPr>
          <w:lang w:val="en-US"/>
        </w:rPr>
        <w:br/>
      </w:r>
      <w:r w:rsidR="00AD7881" w:rsidRPr="009F6CF3">
        <w:rPr>
          <w:lang w:val="en-US"/>
        </w:rPr>
        <w:t>BAL</w:t>
      </w:r>
      <w:r>
        <w:rPr>
          <w:lang w:val="en-US"/>
        </w:rPr>
        <w:t>,</w:t>
      </w:r>
      <w:r w:rsidR="00AD7881" w:rsidRPr="009F6CF3">
        <w:rPr>
          <w:lang w:val="en-US"/>
        </w:rPr>
        <w:t xml:space="preserve"> bronchoalveolar lavage</w:t>
      </w:r>
      <w:r>
        <w:rPr>
          <w:lang w:val="en-US"/>
        </w:rPr>
        <w:t>;</w:t>
      </w:r>
      <w:r w:rsidR="00AD7881" w:rsidRPr="009F6CF3">
        <w:rPr>
          <w:lang w:val="en-US"/>
        </w:rPr>
        <w:t xml:space="preserve"> </w:t>
      </w:r>
      <w:r w:rsidR="00AD7881" w:rsidRPr="009F6CF3">
        <w:t>IED</w:t>
      </w:r>
      <w:r>
        <w:t>,</w:t>
      </w:r>
      <w:r w:rsidR="00AD7881" w:rsidRPr="009F6CF3">
        <w:t xml:space="preserve"> invasive </w:t>
      </w:r>
      <w:r w:rsidR="00AD7881" w:rsidRPr="009F6CF3">
        <w:rPr>
          <w:i/>
          <w:iCs/>
        </w:rPr>
        <w:t>E. coli</w:t>
      </w:r>
      <w:r w:rsidR="00AD7881" w:rsidRPr="009F6CF3">
        <w:t xml:space="preserve"> disease</w:t>
      </w:r>
      <w:r>
        <w:t>;</w:t>
      </w:r>
      <w:r w:rsidR="00AD7881" w:rsidRPr="009F6CF3">
        <w:t xml:space="preserve"> </w:t>
      </w:r>
      <w:r w:rsidR="00AD7881" w:rsidRPr="009F6CF3">
        <w:rPr>
          <w:lang w:val="en-US"/>
        </w:rPr>
        <w:t>IV</w:t>
      </w:r>
      <w:r>
        <w:rPr>
          <w:lang w:val="en-US"/>
        </w:rPr>
        <w:t>,</w:t>
      </w:r>
      <w:r w:rsidR="00AD7881" w:rsidRPr="009F6CF3">
        <w:rPr>
          <w:lang w:val="en-US"/>
        </w:rPr>
        <w:t xml:space="preserve"> intravenous</w:t>
      </w:r>
      <w:r>
        <w:rPr>
          <w:lang w:val="en-US"/>
        </w:rPr>
        <w:t>;</w:t>
      </w:r>
      <w:r w:rsidR="00AD7881" w:rsidRPr="009F6CF3">
        <w:t xml:space="preserve"> SGSS-AMR</w:t>
      </w:r>
      <w:r>
        <w:t>,</w:t>
      </w:r>
      <w:r w:rsidR="00AD7881" w:rsidRPr="009F6CF3">
        <w:t xml:space="preserve"> Second</w:t>
      </w:r>
      <w:r>
        <w:t>-</w:t>
      </w:r>
      <w:r w:rsidR="00AD7881" w:rsidRPr="009F6CF3">
        <w:t>Generation Surveillance System Antimicrobial Resistance Report</w:t>
      </w:r>
      <w:r>
        <w:t>;</w:t>
      </w:r>
      <w:r w:rsidR="00AD7881" w:rsidRPr="009F6CF3">
        <w:t xml:space="preserve"> SGSS-CDR</w:t>
      </w:r>
      <w:r>
        <w:t>,</w:t>
      </w:r>
      <w:r w:rsidR="00AD7881" w:rsidRPr="009F6CF3">
        <w:t xml:space="preserve"> Second</w:t>
      </w:r>
      <w:r>
        <w:t>-</w:t>
      </w:r>
      <w:r w:rsidR="00AD7881" w:rsidRPr="009F6CF3">
        <w:t>Generation Surveillance System Communicable Disease Report.</w:t>
      </w:r>
      <w:r w:rsidR="00AD7881" w:rsidRPr="00AD7881">
        <w:rPr>
          <w:lang w:val="en-US"/>
        </w:rPr>
        <w:t xml:space="preserve"> </w:t>
      </w:r>
    </w:p>
    <w:p w14:paraId="26698383" w14:textId="77777777" w:rsidR="002F79E2" w:rsidRDefault="002F79E2" w:rsidP="006C4AAA">
      <w:pPr>
        <w:rPr>
          <w:rFonts w:ascii="Arial" w:hAnsi="Arial" w:cs="Arial"/>
          <w:b/>
          <w:bCs/>
          <w:sz w:val="18"/>
          <w:szCs w:val="18"/>
        </w:rPr>
      </w:pPr>
    </w:p>
    <w:p w14:paraId="7969E4EC" w14:textId="77777777" w:rsidR="005E23A3" w:rsidRDefault="005E23A3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B5FE87E" w14:textId="265119A0" w:rsidR="006C4AAA" w:rsidRPr="009F5738" w:rsidRDefault="005E23A3" w:rsidP="005E23A3">
      <w:pPr>
        <w:pStyle w:val="Heading2"/>
        <w:rPr>
          <w:sz w:val="16"/>
          <w:szCs w:val="16"/>
        </w:rPr>
      </w:pPr>
      <w:r w:rsidRPr="005E23A3">
        <w:rPr>
          <w:b/>
          <w:bCs w:val="0"/>
        </w:rPr>
        <w:lastRenderedPageBreak/>
        <w:t xml:space="preserve">Supplementary </w:t>
      </w:r>
      <w:r w:rsidR="005F4240" w:rsidRPr="005E23A3">
        <w:rPr>
          <w:b/>
          <w:bCs w:val="0"/>
        </w:rPr>
        <w:t>Table S3</w:t>
      </w:r>
      <w:r w:rsidR="007134A2">
        <w:rPr>
          <w:b/>
          <w:bCs w:val="0"/>
        </w:rPr>
        <w:t>C</w:t>
      </w:r>
      <w:r w:rsidR="005F4240" w:rsidRPr="005E23A3">
        <w:rPr>
          <w:b/>
          <w:bCs w:val="0"/>
        </w:rPr>
        <w:t>.</w:t>
      </w:r>
      <w:r w:rsidR="005F4240" w:rsidRPr="009F5738">
        <w:t xml:space="preserve"> Suspected laboratory-confirmed non-bacteraemic </w:t>
      </w:r>
      <w:r w:rsidR="005F4240" w:rsidRPr="009F5738">
        <w:rPr>
          <w:i/>
          <w:iCs/>
        </w:rPr>
        <w:t>E.</w:t>
      </w:r>
      <w:r w:rsidR="009F6CF3">
        <w:rPr>
          <w:i/>
          <w:iCs/>
        </w:rPr>
        <w:t> </w:t>
      </w:r>
      <w:r w:rsidR="005F4240" w:rsidRPr="009F5738">
        <w:rPr>
          <w:i/>
          <w:iCs/>
        </w:rPr>
        <w:t>coli</w:t>
      </w:r>
      <w:r w:rsidR="005F4240" w:rsidRPr="009F5738">
        <w:t xml:space="preserve"> urosepsis incidence rate captured by SGSS-AMR linked to HES in 2017, stratified by age group and sex </w:t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4660"/>
        <w:gridCol w:w="4883"/>
      </w:tblGrid>
      <w:tr w:rsidR="006C4AAA" w:rsidRPr="009F6CF3" w14:paraId="1E985702" w14:textId="77777777" w:rsidTr="009F6CF3">
        <w:trPr>
          <w:trHeight w:val="567"/>
        </w:trPr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66FA2D" w14:textId="307DD7FE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IED incidence rate per 100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 </w:t>
            </w: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 person-years (2017)</w:t>
            </w:r>
          </w:p>
        </w:tc>
      </w:tr>
      <w:tr w:rsidR="006C4AAA" w:rsidRPr="009F6CF3" w14:paraId="7B5C9AA0" w14:textId="77777777" w:rsidTr="009F6CF3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4EA637" w14:textId="4B3FA963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Non-bacter</w:t>
            </w:r>
            <w:r w:rsidR="003046E3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</w:t>
            </w: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emic urosepsis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54B788D" w14:textId="275F4EDE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SGSS-AMR intersection with HES</w:t>
            </w:r>
          </w:p>
        </w:tc>
      </w:tr>
      <w:tr w:rsidR="006C4AAA" w:rsidRPr="009F6CF3" w14:paraId="552F1F43" w14:textId="77777777" w:rsidTr="009F6CF3">
        <w:trPr>
          <w:trHeight w:val="454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4F16D" w14:textId="5E9118F3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Age group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y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9B79" w14:textId="77777777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6C4AAA" w:rsidRPr="009F6CF3" w14:paraId="2C7B0BC7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F30EC" w14:textId="4E895383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≥18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49093" w14:textId="19098F26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24.8 (24.4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25.3)</w:t>
            </w:r>
          </w:p>
        </w:tc>
      </w:tr>
      <w:tr w:rsidR="006C4AAA" w:rsidRPr="009F6CF3" w14:paraId="001AFC6F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FA9DD" w14:textId="14A32EC0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42B39" w14:textId="1861DF95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6.2 (5.9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6.5)</w:t>
            </w:r>
          </w:p>
        </w:tc>
      </w:tr>
      <w:tr w:rsidR="006C4AAA" w:rsidRPr="009F6CF3" w14:paraId="348BF875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2CFD2" w14:textId="01054403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≥60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B662F" w14:textId="74C6C6EC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69.0 (67.5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70.4)</w:t>
            </w:r>
          </w:p>
        </w:tc>
      </w:tr>
      <w:tr w:rsidR="006C4AAA" w:rsidRPr="009F6CF3" w14:paraId="559CF940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7831B" w14:textId="77CD6D76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≥85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DA483" w14:textId="513525F0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223.3 (215.4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231.4)</w:t>
            </w:r>
          </w:p>
        </w:tc>
      </w:tr>
      <w:tr w:rsidR="006C4AAA" w:rsidRPr="009F6CF3" w14:paraId="45B9BCBB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2E6EB" w14:textId="5E077E11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1709B" w14:textId="5561F223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3.4 (3.0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3.8)</w:t>
            </w:r>
          </w:p>
        </w:tc>
      </w:tr>
      <w:tr w:rsidR="006C4AAA" w:rsidRPr="009F6CF3" w14:paraId="3F4BB8B4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A3B49" w14:textId="70198C68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39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121D5" w14:textId="077F9724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3.6 (3.2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4.0)</w:t>
            </w:r>
          </w:p>
        </w:tc>
      </w:tr>
      <w:tr w:rsidR="006C4AAA" w:rsidRPr="009F6CF3" w14:paraId="72E9EB18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9ABF1" w14:textId="79418E83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40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616EA" w14:textId="6023D24A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5.6 (5.1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6.2)</w:t>
            </w:r>
          </w:p>
        </w:tc>
      </w:tr>
      <w:tr w:rsidR="006C4AAA" w:rsidRPr="009F6CF3" w14:paraId="4C74B5EC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CDAA1" w14:textId="1DEB470E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59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BFCFA" w14:textId="1EDDC346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12.6 (11.8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13.4)</w:t>
            </w:r>
          </w:p>
        </w:tc>
      </w:tr>
      <w:tr w:rsidR="006C4AAA" w:rsidRPr="009F6CF3" w14:paraId="43069A12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3F3EE" w14:textId="64F967D8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60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69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1B917" w14:textId="59F2F15C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24.8 (23.5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26.1)</w:t>
            </w:r>
          </w:p>
        </w:tc>
      </w:tr>
      <w:tr w:rsidR="006C4AAA" w:rsidRPr="009F6CF3" w14:paraId="556AD4F8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181E6" w14:textId="7E92CA8F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70</w:t>
            </w:r>
            <w:r w:rsidR="008D1A79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3AD5" w14:textId="3542EDC0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62.0 (59.7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64.4)</w:t>
            </w:r>
          </w:p>
        </w:tc>
      </w:tr>
      <w:tr w:rsidR="006C4AAA" w:rsidRPr="009F6CF3" w14:paraId="199DC9B0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914E4" w14:textId="25D9721D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≥80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37720" w14:textId="3386D45B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134.0 (124.8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143.5)</w:t>
            </w:r>
          </w:p>
        </w:tc>
      </w:tr>
      <w:tr w:rsidR="006C4AAA" w:rsidRPr="009F6CF3" w14:paraId="59155848" w14:textId="77777777" w:rsidTr="009F6CF3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F2E37" w14:textId="77777777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CE68B" w14:textId="77777777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C4AAA" w:rsidRPr="009F6CF3" w14:paraId="3BCD74EA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8B0AD" w14:textId="0E17B468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(≥18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EB39D" w14:textId="0E76FF24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21.2 (20.6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21.8)</w:t>
            </w:r>
          </w:p>
        </w:tc>
      </w:tr>
      <w:tr w:rsidR="006C4AAA" w:rsidRPr="009F6CF3" w14:paraId="55D5C641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AF78B" w14:textId="4AB9B73B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(≥18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774B9" w14:textId="1A76DFE9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28.3 (27.7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29.1)</w:t>
            </w:r>
          </w:p>
        </w:tc>
      </w:tr>
      <w:tr w:rsidR="006C4AAA" w:rsidRPr="009F6CF3" w14:paraId="06C2C800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39EC8" w14:textId="6A2829BF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(18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59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F191A" w14:textId="7A8194A2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4.2 (3.9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4.6)</w:t>
            </w:r>
          </w:p>
        </w:tc>
      </w:tr>
      <w:tr w:rsidR="006C4AAA" w:rsidRPr="009F6CF3" w14:paraId="751C07D8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F5B66" w14:textId="7955A433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(18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59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24920" w14:textId="46196A5A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8.1 (7.7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8.6)</w:t>
            </w:r>
          </w:p>
        </w:tc>
      </w:tr>
      <w:tr w:rsidR="006C4AAA" w:rsidRPr="009F6CF3" w14:paraId="41434A3F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5E4A6" w14:textId="6ED9741A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(≥60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1A5D3" w14:textId="3D5F8BF4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64.4 (62.4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66.4)</w:t>
            </w:r>
          </w:p>
        </w:tc>
      </w:tr>
      <w:tr w:rsidR="006C4AAA" w:rsidRPr="009F6CF3" w14:paraId="42741682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42E60" w14:textId="0604CBAB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(≥60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3EA65" w14:textId="408044B6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72.9 (70.9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75.0)</w:t>
            </w:r>
          </w:p>
        </w:tc>
      </w:tr>
      <w:tr w:rsidR="006C4AAA" w:rsidRPr="009F6CF3" w14:paraId="0AC7B538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04FB1" w14:textId="0B49B224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(≥85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E2AAC" w14:textId="7D207403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229.9 (216.6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243.7)</w:t>
            </w:r>
          </w:p>
        </w:tc>
      </w:tr>
      <w:tr w:rsidR="006C4AAA" w:rsidRPr="009F6CF3" w14:paraId="61D9E527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7FE9AE" w14:textId="1F641A6D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(≥85</w:t>
            </w:r>
            <w:r w:rsidR="008D1A79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3484DE" w14:textId="2F2BBE69" w:rsidR="006C4AAA" w:rsidRPr="000034E8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034E8">
              <w:rPr>
                <w:rFonts w:ascii="Arial" w:hAnsi="Arial" w:cs="Arial"/>
                <w:sz w:val="22"/>
                <w:szCs w:val="22"/>
              </w:rPr>
              <w:t>219.6 (209.8</w:t>
            </w:r>
            <w:r w:rsidR="009F5738" w:rsidRPr="000034E8">
              <w:rPr>
                <w:rFonts w:ascii="Arial" w:hAnsi="Arial" w:cs="Arial"/>
                <w:sz w:val="22"/>
                <w:szCs w:val="22"/>
              </w:rPr>
              <w:t>–</w:t>
            </w:r>
            <w:r w:rsidRPr="000034E8">
              <w:rPr>
                <w:rFonts w:ascii="Arial" w:hAnsi="Arial" w:cs="Arial"/>
                <w:sz w:val="22"/>
                <w:szCs w:val="22"/>
              </w:rPr>
              <w:t>229.7)</w:t>
            </w:r>
          </w:p>
        </w:tc>
      </w:tr>
    </w:tbl>
    <w:p w14:paraId="5E331A92" w14:textId="1622FFB9" w:rsidR="005F4240" w:rsidRPr="009F6CF3" w:rsidRDefault="005F4240" w:rsidP="005F4240">
      <w:pPr>
        <w:spacing w:after="0"/>
        <w:rPr>
          <w:rFonts w:ascii="Arial" w:hAnsi="Arial" w:cs="Arial"/>
          <w:szCs w:val="20"/>
        </w:rPr>
      </w:pPr>
      <w:r w:rsidRPr="009F6CF3">
        <w:rPr>
          <w:rFonts w:ascii="Arial" w:hAnsi="Arial" w:cs="Arial"/>
          <w:szCs w:val="20"/>
        </w:rPr>
        <w:t>DCS</w:t>
      </w:r>
      <w:r w:rsidR="009F6CF3">
        <w:rPr>
          <w:rFonts w:ascii="Arial" w:hAnsi="Arial" w:cs="Arial"/>
          <w:szCs w:val="20"/>
        </w:rPr>
        <w:t>,</w:t>
      </w:r>
      <w:r w:rsidRPr="009F6CF3">
        <w:rPr>
          <w:rFonts w:ascii="Arial" w:hAnsi="Arial" w:cs="Arial"/>
          <w:szCs w:val="20"/>
        </w:rPr>
        <w:t xml:space="preserve"> Data Capture System</w:t>
      </w:r>
      <w:r w:rsidR="009F6CF3">
        <w:rPr>
          <w:rFonts w:ascii="Arial" w:hAnsi="Arial" w:cs="Arial"/>
          <w:szCs w:val="20"/>
        </w:rPr>
        <w:t>;</w:t>
      </w:r>
      <w:r w:rsidRPr="009F6CF3">
        <w:rPr>
          <w:rFonts w:ascii="Arial" w:hAnsi="Arial" w:cs="Arial"/>
          <w:szCs w:val="20"/>
        </w:rPr>
        <w:t xml:space="preserve"> HES</w:t>
      </w:r>
      <w:r w:rsidR="009F6CF3">
        <w:rPr>
          <w:rFonts w:ascii="Arial" w:hAnsi="Arial" w:cs="Arial"/>
          <w:szCs w:val="20"/>
        </w:rPr>
        <w:t>,</w:t>
      </w:r>
      <w:r w:rsidRPr="009F6CF3">
        <w:rPr>
          <w:rFonts w:ascii="Arial" w:hAnsi="Arial" w:cs="Arial"/>
          <w:szCs w:val="20"/>
        </w:rPr>
        <w:t xml:space="preserve"> Hospital Episode Statistics database</w:t>
      </w:r>
      <w:r w:rsidR="009F6CF3">
        <w:rPr>
          <w:rFonts w:ascii="Arial" w:hAnsi="Arial" w:cs="Arial"/>
          <w:szCs w:val="20"/>
        </w:rPr>
        <w:t>;</w:t>
      </w:r>
      <w:r w:rsidRPr="009F6CF3">
        <w:rPr>
          <w:rFonts w:ascii="Arial" w:hAnsi="Arial" w:cs="Arial"/>
          <w:szCs w:val="20"/>
        </w:rPr>
        <w:t xml:space="preserve"> IED</w:t>
      </w:r>
      <w:r w:rsidR="009F6CF3">
        <w:rPr>
          <w:rFonts w:ascii="Arial" w:hAnsi="Arial" w:cs="Arial"/>
          <w:szCs w:val="20"/>
        </w:rPr>
        <w:t>,</w:t>
      </w:r>
      <w:r w:rsidRPr="009F6CF3">
        <w:rPr>
          <w:rFonts w:ascii="Arial" w:hAnsi="Arial" w:cs="Arial"/>
          <w:szCs w:val="20"/>
        </w:rPr>
        <w:t xml:space="preserve"> invasive </w:t>
      </w:r>
      <w:r w:rsidRPr="009F6CF3">
        <w:rPr>
          <w:rFonts w:ascii="Arial" w:hAnsi="Arial" w:cs="Arial"/>
          <w:i/>
          <w:iCs/>
          <w:szCs w:val="20"/>
        </w:rPr>
        <w:t>E. coli</w:t>
      </w:r>
      <w:r w:rsidRPr="009F6CF3">
        <w:rPr>
          <w:rFonts w:ascii="Arial" w:hAnsi="Arial" w:cs="Arial"/>
          <w:szCs w:val="20"/>
        </w:rPr>
        <w:t xml:space="preserve"> disease</w:t>
      </w:r>
      <w:r w:rsidR="009F6CF3">
        <w:rPr>
          <w:rFonts w:ascii="Arial" w:hAnsi="Arial" w:cs="Arial"/>
          <w:szCs w:val="20"/>
        </w:rPr>
        <w:t>;</w:t>
      </w:r>
      <w:r w:rsidRPr="009F6CF3">
        <w:rPr>
          <w:rFonts w:ascii="Arial" w:hAnsi="Arial" w:cs="Arial"/>
          <w:szCs w:val="20"/>
        </w:rPr>
        <w:t xml:space="preserve"> SGSS-AMR</w:t>
      </w:r>
      <w:r w:rsidR="009F6CF3">
        <w:rPr>
          <w:rFonts w:ascii="Arial" w:hAnsi="Arial" w:cs="Arial"/>
          <w:szCs w:val="20"/>
        </w:rPr>
        <w:t>,</w:t>
      </w:r>
      <w:r w:rsidRPr="009F6CF3">
        <w:rPr>
          <w:rFonts w:ascii="Arial" w:hAnsi="Arial" w:cs="Arial"/>
          <w:szCs w:val="20"/>
        </w:rPr>
        <w:t xml:space="preserve"> Second</w:t>
      </w:r>
      <w:r w:rsidR="009F6CF3">
        <w:rPr>
          <w:rFonts w:ascii="Arial" w:hAnsi="Arial" w:cs="Arial"/>
          <w:szCs w:val="20"/>
        </w:rPr>
        <w:t>-</w:t>
      </w:r>
      <w:r w:rsidRPr="009F6CF3">
        <w:rPr>
          <w:rFonts w:ascii="Arial" w:hAnsi="Arial" w:cs="Arial"/>
          <w:szCs w:val="20"/>
        </w:rPr>
        <w:t>Generation Surveillance System Antimicrobial Resistance Report.</w:t>
      </w:r>
    </w:p>
    <w:p w14:paraId="498E1A2B" w14:textId="1420DC77" w:rsidR="006C4AAA" w:rsidRPr="009F5738" w:rsidRDefault="006C4AAA" w:rsidP="006C4AAA">
      <w:pPr>
        <w:spacing w:after="120" w:line="264" w:lineRule="auto"/>
        <w:rPr>
          <w:rFonts w:ascii="Arial" w:hAnsi="Arial" w:cs="Arial"/>
          <w:b/>
          <w:bCs/>
        </w:rPr>
      </w:pPr>
      <w:r w:rsidRPr="009F5738">
        <w:rPr>
          <w:rFonts w:ascii="Arial" w:hAnsi="Arial" w:cs="Arial"/>
          <w:b/>
          <w:bCs/>
        </w:rPr>
        <w:br w:type="page"/>
      </w:r>
    </w:p>
    <w:p w14:paraId="6B8EB55E" w14:textId="08B5F80C" w:rsidR="006C4AAA" w:rsidRPr="009F5738" w:rsidRDefault="005E23A3" w:rsidP="005E23A3">
      <w:pPr>
        <w:pStyle w:val="Heading2"/>
      </w:pPr>
      <w:r w:rsidRPr="005E23A3">
        <w:rPr>
          <w:b/>
          <w:bCs w:val="0"/>
        </w:rPr>
        <w:lastRenderedPageBreak/>
        <w:t xml:space="preserve">Supplementary </w:t>
      </w:r>
      <w:r w:rsidR="005F4240" w:rsidRPr="005E23A3">
        <w:rPr>
          <w:b/>
          <w:bCs w:val="0"/>
        </w:rPr>
        <w:t>Table S3</w:t>
      </w:r>
      <w:r w:rsidR="007134A2">
        <w:rPr>
          <w:b/>
          <w:bCs w:val="0"/>
        </w:rPr>
        <w:t>D</w:t>
      </w:r>
      <w:r w:rsidR="005F4240" w:rsidRPr="005E23A3">
        <w:rPr>
          <w:b/>
          <w:bCs w:val="0"/>
        </w:rPr>
        <w:t>.</w:t>
      </w:r>
      <w:r w:rsidR="005F4240" w:rsidRPr="009F5738">
        <w:t xml:space="preserve"> Total IED incidence rate captured by SGSS-AMR in 2017, stratified by age group and sex</w:t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4660"/>
        <w:gridCol w:w="4883"/>
      </w:tblGrid>
      <w:tr w:rsidR="006C4AAA" w:rsidRPr="009F6CF3" w14:paraId="4E1CC07B" w14:textId="77777777" w:rsidTr="009F6CF3">
        <w:trPr>
          <w:trHeight w:val="567"/>
        </w:trPr>
        <w:tc>
          <w:tcPr>
            <w:tcW w:w="5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D0B781" w14:textId="24A2DFE5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IED incidence rate per 100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 </w:t>
            </w: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 person-years (2017)</w:t>
            </w:r>
          </w:p>
        </w:tc>
      </w:tr>
      <w:tr w:rsidR="006C4AAA" w:rsidRPr="009F6CF3" w14:paraId="7B4C69C1" w14:textId="77777777" w:rsidTr="009F6CF3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1108BF" w14:textId="77777777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Total IED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896DF6" w14:textId="38F15001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SGSS-</w:t>
            </w:r>
            <w:proofErr w:type="spellStart"/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AMR</w:t>
            </w:r>
            <w:r w:rsidR="009F6CF3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a</w:t>
            </w:r>
            <w:proofErr w:type="spellEnd"/>
          </w:p>
        </w:tc>
      </w:tr>
      <w:tr w:rsidR="006C4AAA" w:rsidRPr="009F6CF3" w14:paraId="59ACE9A6" w14:textId="77777777" w:rsidTr="009F6CF3">
        <w:trPr>
          <w:trHeight w:val="454"/>
        </w:trPr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206D3" w14:textId="45631AB7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Age group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y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CB447" w14:textId="77777777" w:rsidR="006C4AAA" w:rsidRPr="009F6CF3" w:rsidRDefault="006C4AAA" w:rsidP="00D758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6C4AAA" w:rsidRPr="009F6CF3" w14:paraId="183FB977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C67AF" w14:textId="57D77A6E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≥18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2915E" w14:textId="4606AA1C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149.4 (148.2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150.5)</w:t>
            </w:r>
          </w:p>
        </w:tc>
      </w:tr>
      <w:tr w:rsidR="006C4AAA" w:rsidRPr="009F6CF3" w14:paraId="16256B7C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AB683" w14:textId="42F26E4E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8A6D8" w14:textId="376D5C1D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56.7 (55.8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57.5)</w:t>
            </w:r>
          </w:p>
        </w:tc>
      </w:tr>
      <w:tr w:rsidR="006C4AAA" w:rsidRPr="009F6CF3" w14:paraId="603B6A8D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944AC" w14:textId="48918792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≥60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C3F0A" w14:textId="60DAD9B6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368.4 (365.1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371.7)</w:t>
            </w:r>
          </w:p>
        </w:tc>
      </w:tr>
      <w:tr w:rsidR="006C4AAA" w:rsidRPr="009F6CF3" w14:paraId="4B307272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3903E" w14:textId="041C107A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≥85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17F61" w14:textId="7775B27A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983.1 (966.5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999.9)</w:t>
            </w:r>
          </w:p>
        </w:tc>
      </w:tr>
      <w:tr w:rsidR="006C4AAA" w:rsidRPr="009F6CF3" w14:paraId="494164DE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360D3" w14:textId="65C0C8CC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63739" w14:textId="15FB67B5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34.1 (32.9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35.4)</w:t>
            </w:r>
          </w:p>
        </w:tc>
      </w:tr>
      <w:tr w:rsidR="006C4AAA" w:rsidRPr="009F6CF3" w14:paraId="11A7B7BC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76659" w14:textId="3F108B7E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39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E4C09" w14:textId="1B398D7C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43.5 (42.0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45.0)</w:t>
            </w:r>
          </w:p>
        </w:tc>
      </w:tr>
      <w:tr w:rsidR="006C4AAA" w:rsidRPr="009F6CF3" w14:paraId="475467E2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05F31" w14:textId="42CEB0D1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40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0C7F9" w14:textId="2ACCFF79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55.2 (53.5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57.0)</w:t>
            </w:r>
          </w:p>
        </w:tc>
      </w:tr>
      <w:tr w:rsidR="006C4AAA" w:rsidRPr="009F6CF3" w14:paraId="25BED1CB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22D6F" w14:textId="7C1F5C04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59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B71F" w14:textId="418CD94D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97.8 (95.6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100.1)</w:t>
            </w:r>
          </w:p>
        </w:tc>
      </w:tr>
      <w:tr w:rsidR="006C4AAA" w:rsidRPr="009F6CF3" w14:paraId="3359E105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30EB2" w14:textId="39DA0EC1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60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69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7941C" w14:textId="6BD31D40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178.0 (174.6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181.5)</w:t>
            </w:r>
          </w:p>
        </w:tc>
      </w:tr>
      <w:tr w:rsidR="006C4AAA" w:rsidRPr="009F6CF3" w14:paraId="0494C1B1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A5768" w14:textId="29942627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70</w:t>
            </w:r>
            <w:r w:rsidR="00C56576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–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7FB68" w14:textId="72E26B2A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350.5 (345.0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356.0)</w:t>
            </w:r>
          </w:p>
        </w:tc>
      </w:tr>
      <w:tr w:rsidR="006C4AAA" w:rsidRPr="009F6CF3" w14:paraId="2FD6957E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74EFC" w14:textId="075FC63B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≥80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DEF6A" w14:textId="7D308368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662.0 (652.4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671.7)</w:t>
            </w:r>
          </w:p>
        </w:tc>
      </w:tr>
      <w:tr w:rsidR="006C4AAA" w:rsidRPr="009F6CF3" w14:paraId="462840F7" w14:textId="77777777" w:rsidTr="009F6CF3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1D066" w14:textId="77777777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4B9C9" w14:textId="7777777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C4AAA" w:rsidRPr="009F6CF3" w14:paraId="7E21E499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1219E" w14:textId="68C2B94C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(≥18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374BA" w14:textId="08CEB056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144.9 (143.3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146.6)</w:t>
            </w:r>
          </w:p>
        </w:tc>
      </w:tr>
      <w:tr w:rsidR="006C4AAA" w:rsidRPr="009F6CF3" w14:paraId="5642F3F4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BCA79" w14:textId="06911070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(≥18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37EC3" w14:textId="11A835C0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153.6 (152.0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155.3)</w:t>
            </w:r>
          </w:p>
        </w:tc>
      </w:tr>
      <w:tr w:rsidR="006C4AAA" w:rsidRPr="009F6CF3" w14:paraId="1CF5DAB3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5ADE2" w14:textId="6FAA7B51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(18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59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C9390" w14:textId="3C31A7FF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47.7 (46.6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48.8)</w:t>
            </w:r>
          </w:p>
        </w:tc>
      </w:tr>
      <w:tr w:rsidR="006C4AAA" w:rsidRPr="009F6CF3" w14:paraId="6CB50C5D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3C146" w14:textId="0B8A94BD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(18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59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A4F68" w14:textId="144A94E5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65.7 (64.4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67.0)</w:t>
            </w:r>
          </w:p>
        </w:tc>
      </w:tr>
      <w:tr w:rsidR="006C4AAA" w:rsidRPr="009F6CF3" w14:paraId="2249F46F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845D7" w14:textId="5C7B640E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(≥60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C4542" w14:textId="5EE76254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392.8 (387.8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397.8)</w:t>
            </w:r>
          </w:p>
        </w:tc>
      </w:tr>
      <w:tr w:rsidR="006C4AAA" w:rsidRPr="009F6CF3" w14:paraId="6519D378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2F8AE" w14:textId="77CF5DC6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(≥60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AE115" w14:textId="2F71118F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347.3 (342.9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351.6)</w:t>
            </w:r>
          </w:p>
        </w:tc>
      </w:tr>
      <w:tr w:rsidR="006C4AAA" w:rsidRPr="009F6CF3" w14:paraId="5657D831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29190" w14:textId="4DC1F515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Male (≥85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 xml:space="preserve">y)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71B86" w14:textId="73BBCF3A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1158.2 (1128.4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1188.6)</w:t>
            </w:r>
          </w:p>
        </w:tc>
      </w:tr>
      <w:tr w:rsidR="006C4AAA" w:rsidRPr="009F6CF3" w14:paraId="06F8C948" w14:textId="77777777" w:rsidTr="000034E8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30DBB07" w14:textId="4FAC0A42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Female (≥85</w:t>
            </w:r>
            <w:r w:rsidR="00C56576" w:rsidRPr="009F6C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4AAA" w:rsidRPr="009F6CF3">
              <w:rPr>
                <w:rFonts w:ascii="Arial" w:hAnsi="Arial" w:cs="Arial"/>
                <w:sz w:val="22"/>
                <w:szCs w:val="22"/>
              </w:rPr>
              <w:t>y)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CCAC3F" w14:textId="201173FE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hAnsi="Arial" w:cs="Arial"/>
                <w:sz w:val="22"/>
                <w:szCs w:val="22"/>
              </w:rPr>
              <w:t>884.3 (864.7</w:t>
            </w:r>
            <w:r w:rsidR="009F5738" w:rsidRPr="009F6CF3">
              <w:rPr>
                <w:rFonts w:ascii="Arial" w:hAnsi="Arial" w:cs="Arial"/>
                <w:sz w:val="22"/>
                <w:szCs w:val="22"/>
              </w:rPr>
              <w:t>–</w:t>
            </w:r>
            <w:r w:rsidRPr="009F6CF3">
              <w:rPr>
                <w:rFonts w:ascii="Arial" w:hAnsi="Arial" w:cs="Arial"/>
                <w:sz w:val="22"/>
                <w:szCs w:val="22"/>
              </w:rPr>
              <w:t>904.3)</w:t>
            </w:r>
          </w:p>
        </w:tc>
      </w:tr>
    </w:tbl>
    <w:p w14:paraId="0E20ACF8" w14:textId="13AB8E6F" w:rsidR="00C56576" w:rsidRPr="009F5738" w:rsidRDefault="005F4240" w:rsidP="009F6CF3">
      <w:pPr>
        <w:pStyle w:val="TFFootnote"/>
        <w:rPr>
          <w:sz w:val="16"/>
          <w:szCs w:val="16"/>
        </w:rPr>
      </w:pPr>
      <w:r w:rsidRPr="005F4240">
        <w:t>Non-bacteraemic urosepsis were captured from the intersection of SGSS-AMR with HES.</w:t>
      </w:r>
      <w:r>
        <w:t xml:space="preserve"> </w:t>
      </w:r>
      <w:r w:rsidR="006C4AAA" w:rsidRPr="009F5738">
        <w:t>Bacter</w:t>
      </w:r>
      <w:r w:rsidR="008F2885" w:rsidRPr="009F5738">
        <w:t>a</w:t>
      </w:r>
      <w:r w:rsidR="006C4AAA" w:rsidRPr="009F5738">
        <w:t>emic IED: IED cases with positive blood cultures</w:t>
      </w:r>
      <w:r w:rsidR="005B61BD">
        <w:t>;</w:t>
      </w:r>
      <w:r w:rsidR="006C4AAA" w:rsidRPr="009F5738">
        <w:t xml:space="preserve"> </w:t>
      </w:r>
      <w:r w:rsidR="009F6CF3" w:rsidRPr="009F5738">
        <w:t xml:space="preserve">other </w:t>
      </w:r>
      <w:r w:rsidR="006C4AAA" w:rsidRPr="009F5738">
        <w:t>sterile site IED: IED cases with positive cultures only from normally sterile site other than blood</w:t>
      </w:r>
      <w:r w:rsidR="005B61BD">
        <w:t>;</w:t>
      </w:r>
      <w:r w:rsidR="006C4AAA" w:rsidRPr="009F5738">
        <w:t xml:space="preserve"> </w:t>
      </w:r>
      <w:r w:rsidR="009F6CF3" w:rsidRPr="009F5738">
        <w:t xml:space="preserve">any </w:t>
      </w:r>
      <w:r w:rsidR="006C4AAA" w:rsidRPr="009F5738">
        <w:t>sterile site IED: bacter</w:t>
      </w:r>
      <w:r w:rsidR="008F2885" w:rsidRPr="009F5738">
        <w:t>a</w:t>
      </w:r>
      <w:r w:rsidR="006C4AAA" w:rsidRPr="009F5738">
        <w:t xml:space="preserve">emic IED, other sterile site IED and positive </w:t>
      </w:r>
      <w:r w:rsidR="00413B92" w:rsidRPr="009F5738">
        <w:rPr>
          <w:i/>
        </w:rPr>
        <w:t>E. coli</w:t>
      </w:r>
      <w:r w:rsidR="006C4AAA" w:rsidRPr="009F5738">
        <w:t xml:space="preserve"> cultures obtained from sterile site and non-sterile site combined. Other sterile sites include specimens taken from a sterile site other than blood, e.g., </w:t>
      </w:r>
      <w:r w:rsidR="00C56576">
        <w:lastRenderedPageBreak/>
        <w:t>cerebrospinal fluid</w:t>
      </w:r>
      <w:r w:rsidR="006C4AAA" w:rsidRPr="009F5738">
        <w:t xml:space="preserve">, bone, </w:t>
      </w:r>
      <w:r w:rsidR="00C56576" w:rsidRPr="009F5738">
        <w:t>biops</w:t>
      </w:r>
      <w:r w:rsidR="00C56576">
        <w:t>y site</w:t>
      </w:r>
      <w:r w:rsidR="006C4AAA" w:rsidRPr="009F5738">
        <w:t xml:space="preserve">. Urine samples are not </w:t>
      </w:r>
      <w:r w:rsidR="006C4AAA" w:rsidRPr="009F6CF3">
        <w:t xml:space="preserve">included. The mid-year population counts from </w:t>
      </w:r>
      <w:r w:rsidR="00C56576" w:rsidRPr="009F6CF3">
        <w:t xml:space="preserve">the </w:t>
      </w:r>
      <w:r w:rsidR="006C4AAA" w:rsidRPr="009F6CF3">
        <w:t>Office for National Statistics</w:t>
      </w:r>
      <w:r w:rsidR="00C56576" w:rsidRPr="009F6CF3">
        <w:t xml:space="preserve"> </w:t>
      </w:r>
      <w:r w:rsidR="006C4AAA" w:rsidRPr="009F6CF3">
        <w:t>were taken as denominator.</w:t>
      </w:r>
      <w:r w:rsidR="009F6CF3" w:rsidRPr="009F6CF3">
        <w:br/>
      </w:r>
      <w:proofErr w:type="spellStart"/>
      <w:r w:rsidR="009F6CF3" w:rsidRPr="009F6CF3">
        <w:rPr>
          <w:vertAlign w:val="superscript"/>
        </w:rPr>
        <w:t>a</w:t>
      </w:r>
      <w:r w:rsidR="006C4AAA" w:rsidRPr="009F6CF3">
        <w:t>SGSS</w:t>
      </w:r>
      <w:proofErr w:type="spellEnd"/>
      <w:r w:rsidR="006C4AAA" w:rsidRPr="009F6CF3">
        <w:t>-AMR intersection with HES (2017) for the non-bacter</w:t>
      </w:r>
      <w:r w:rsidR="008F2885" w:rsidRPr="009F6CF3">
        <w:t>a</w:t>
      </w:r>
      <w:r w:rsidR="006C4AAA" w:rsidRPr="009F6CF3">
        <w:t>emic urosepsis data.</w:t>
      </w:r>
      <w:r w:rsidR="009F6CF3" w:rsidRPr="009F6CF3">
        <w:br/>
      </w:r>
      <w:r w:rsidR="00C56576" w:rsidRPr="009F6CF3">
        <w:t>DCS</w:t>
      </w:r>
      <w:r w:rsidR="009F6CF3">
        <w:t>,</w:t>
      </w:r>
      <w:r w:rsidR="00C56576" w:rsidRPr="009F6CF3">
        <w:t xml:space="preserve"> Data Capture System</w:t>
      </w:r>
      <w:r w:rsidR="009F6CF3">
        <w:t>;</w:t>
      </w:r>
      <w:r w:rsidR="00C56576" w:rsidRPr="009F6CF3">
        <w:t xml:space="preserve"> </w:t>
      </w:r>
      <w:r w:rsidR="0026792A" w:rsidRPr="009F6CF3">
        <w:t>HES</w:t>
      </w:r>
      <w:r w:rsidR="009F6CF3">
        <w:t>,</w:t>
      </w:r>
      <w:r w:rsidR="0026792A" w:rsidRPr="009F6CF3">
        <w:t xml:space="preserve"> Hospital Episode Statistics</w:t>
      </w:r>
      <w:r w:rsidR="009F6CF3">
        <w:t>;</w:t>
      </w:r>
      <w:r w:rsidR="0026792A" w:rsidRPr="009F6CF3">
        <w:t xml:space="preserve"> </w:t>
      </w:r>
      <w:r w:rsidR="00C56576" w:rsidRPr="009F6CF3">
        <w:t>IED</w:t>
      </w:r>
      <w:r w:rsidR="009F6CF3">
        <w:t>,</w:t>
      </w:r>
      <w:r w:rsidR="00C56576" w:rsidRPr="009F6CF3">
        <w:t xml:space="preserve"> invasive </w:t>
      </w:r>
      <w:r w:rsidR="00C56576" w:rsidRPr="009F6CF3">
        <w:rPr>
          <w:i/>
          <w:iCs/>
        </w:rPr>
        <w:t>E. coli</w:t>
      </w:r>
      <w:r w:rsidR="00C56576" w:rsidRPr="009F6CF3">
        <w:t xml:space="preserve"> disease</w:t>
      </w:r>
      <w:r w:rsidR="009F6CF3">
        <w:t>;</w:t>
      </w:r>
      <w:r w:rsidR="00C56576" w:rsidRPr="009F6CF3">
        <w:t xml:space="preserve"> SGSS-AMR</w:t>
      </w:r>
      <w:r w:rsidR="009F6CF3">
        <w:t>,</w:t>
      </w:r>
      <w:r w:rsidR="00C56576" w:rsidRPr="009F6CF3">
        <w:t xml:space="preserve"> Second</w:t>
      </w:r>
      <w:r w:rsidR="009F6CF3">
        <w:t>-</w:t>
      </w:r>
      <w:r w:rsidR="00C56576" w:rsidRPr="009F6CF3">
        <w:t>Generation Surveillance System Antimicrobial Resistance Report.</w:t>
      </w:r>
    </w:p>
    <w:p w14:paraId="63842B58" w14:textId="77777777" w:rsidR="006C4AAA" w:rsidRPr="009F5738" w:rsidRDefault="006C4AAA" w:rsidP="006C4AAA">
      <w:pPr>
        <w:spacing w:after="120" w:line="264" w:lineRule="auto"/>
        <w:rPr>
          <w:rFonts w:ascii="Arial" w:eastAsiaTheme="majorEastAsia" w:hAnsi="Arial" w:cs="Arial"/>
          <w:b/>
          <w:sz w:val="24"/>
          <w:szCs w:val="24"/>
        </w:rPr>
      </w:pPr>
      <w:r w:rsidRPr="009F5738">
        <w:rPr>
          <w:rFonts w:ascii="Arial" w:hAnsi="Arial" w:cs="Arial"/>
        </w:rPr>
        <w:br w:type="page"/>
      </w:r>
    </w:p>
    <w:p w14:paraId="1D9B51F1" w14:textId="6F4336C4" w:rsidR="006C4AAA" w:rsidRPr="009F5738" w:rsidRDefault="005E23A3" w:rsidP="005E23A3">
      <w:pPr>
        <w:pStyle w:val="Heading2"/>
      </w:pPr>
      <w:bookmarkStart w:id="3" w:name="_Toc157089187"/>
      <w:r>
        <w:rPr>
          <w:b/>
        </w:rPr>
        <w:lastRenderedPageBreak/>
        <w:t xml:space="preserve">Supplementary </w:t>
      </w:r>
      <w:r w:rsidR="006B428F" w:rsidRPr="005E23A3">
        <w:rPr>
          <w:b/>
          <w:bCs w:val="0"/>
        </w:rPr>
        <w:t>Table S4.</w:t>
      </w:r>
      <w:r w:rsidR="006B428F">
        <w:t xml:space="preserve"> </w:t>
      </w:r>
      <w:r w:rsidR="006C4AAA" w:rsidRPr="009F5738">
        <w:t xml:space="preserve">Proportion of </w:t>
      </w:r>
      <w:r w:rsidR="009F5738" w:rsidRPr="009F5738">
        <w:t>laboratory confirmed</w:t>
      </w:r>
      <w:r w:rsidR="006C4AAA" w:rsidRPr="009F5738">
        <w:t xml:space="preserve"> IED cases by body site and age</w:t>
      </w:r>
      <w:bookmarkEnd w:id="3"/>
    </w:p>
    <w:tbl>
      <w:tblPr>
        <w:tblW w:w="9543" w:type="dxa"/>
        <w:tblLook w:val="04A0" w:firstRow="1" w:lastRow="0" w:firstColumn="1" w:lastColumn="0" w:noHBand="0" w:noVBand="1"/>
      </w:tblPr>
      <w:tblGrid>
        <w:gridCol w:w="5929"/>
        <w:gridCol w:w="2313"/>
        <w:gridCol w:w="1301"/>
      </w:tblGrid>
      <w:tr w:rsidR="006C4AAA" w:rsidRPr="009F6CF3" w14:paraId="0727634A" w14:textId="77777777" w:rsidTr="009F6CF3">
        <w:trPr>
          <w:trHeight w:val="567"/>
          <w:tblHeader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34777" w14:textId="1D4E77E5" w:rsidR="006C4AAA" w:rsidRPr="009F6CF3" w:rsidRDefault="006C4AAA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SGSS</w:t>
            </w:r>
            <w:r w:rsidR="00720467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</w:t>
            </w: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AMR data (2017)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F993EC" w14:textId="2FDD128D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o.</w:t>
            </w: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of cases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AC8998" w14:textId="7777777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%</w:t>
            </w:r>
          </w:p>
        </w:tc>
      </w:tr>
      <w:tr w:rsidR="006C4AAA" w:rsidRPr="009F6CF3" w14:paraId="0DAF894B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8C3E9" w14:textId="3082A6B3" w:rsidR="006C4AAA" w:rsidRPr="009F6CF3" w:rsidRDefault="00E253AD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opulation</w:t>
            </w: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≥18 years of 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073B3" w14:textId="7777777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5A65" w14:textId="7777777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C4AAA" w:rsidRPr="009F6CF3" w14:paraId="72B86556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32C95B" w14:textId="543AAE47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Non</w:t>
            </w:r>
            <w:r w:rsidR="00720467" w:rsidRPr="009F6CF3">
              <w:rPr>
                <w:rStyle w:val="cf21"/>
                <w:rFonts w:ascii="Arial" w:hAnsi="Arial" w:cs="Arial"/>
                <w:sz w:val="22"/>
                <w:szCs w:val="22"/>
              </w:rPr>
              <w:t>-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bacter</w:t>
            </w:r>
            <w:r w:rsidR="008F2885" w:rsidRPr="009F6CF3">
              <w:rPr>
                <w:rStyle w:val="cf21"/>
                <w:rFonts w:ascii="Arial" w:hAnsi="Arial" w:cs="Arial"/>
                <w:sz w:val="22"/>
                <w:szCs w:val="22"/>
              </w:rPr>
              <w:t>a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emic urosepsis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36A00" w14:textId="3D1D380B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10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62F7C" w14:textId="24FBC98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16.6</w:t>
            </w:r>
          </w:p>
        </w:tc>
      </w:tr>
      <w:tr w:rsidR="006C4AAA" w:rsidRPr="009F6CF3" w14:paraId="0BFE9054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148469" w14:textId="369E8204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Bacter</w:t>
            </w:r>
            <w:r w:rsidR="008F2885" w:rsidRPr="009F6CF3">
              <w:rPr>
                <w:rStyle w:val="cf21"/>
                <w:rFonts w:ascii="Arial" w:hAnsi="Arial" w:cs="Arial"/>
                <w:sz w:val="22"/>
                <w:szCs w:val="22"/>
              </w:rPr>
              <w:t>a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emic IED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886D6" w14:textId="6A6EF71D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36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99FA8" w14:textId="3E0B00C8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55.6</w:t>
            </w:r>
          </w:p>
        </w:tc>
      </w:tr>
      <w:tr w:rsidR="006C4AAA" w:rsidRPr="009F6CF3" w14:paraId="5010D69D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3A502" w14:textId="0DCF8D39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IED from </w:t>
            </w:r>
            <w:proofErr w:type="gramStart"/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 sterile 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site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only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E1AEF" w14:textId="4729CC0D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17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BE585" w14:textId="2985EEEF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26.3</w:t>
            </w:r>
          </w:p>
        </w:tc>
      </w:tr>
      <w:tr w:rsidR="006C4AAA" w:rsidRPr="009F6CF3" w14:paraId="4D304751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062C53" w14:textId="7ACBB8E2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IED from any sterile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 site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F41DF" w14:textId="122C02FF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54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485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EDA10" w14:textId="3D7B9EA5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83.4</w:t>
            </w:r>
          </w:p>
        </w:tc>
      </w:tr>
      <w:tr w:rsidR="006C4AAA" w:rsidRPr="009F6CF3" w14:paraId="31FFF58E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2CCE69" w14:textId="40C01C1D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Total IED in population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 </w:t>
            </w:r>
            <w:r w:rsidR="00E253AD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≥18 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years of 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75FC5" w14:textId="03667E90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65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355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1E94C" w14:textId="58E7FB8D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</w:t>
            </w:r>
          </w:p>
        </w:tc>
      </w:tr>
      <w:tr w:rsidR="006C4AAA" w:rsidRPr="009F6CF3" w14:paraId="506EFAAE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7C2679" w14:textId="5C135757" w:rsidR="006C4AAA" w:rsidRPr="009F6CF3" w:rsidRDefault="00E253AD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P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opulation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 ≥60 years of 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CBA4A" w14:textId="7777777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3638E" w14:textId="7777777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C4AAA" w:rsidRPr="009F6CF3" w14:paraId="328D1D32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93B29D" w14:textId="40C0B959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Non</w:t>
            </w:r>
            <w:r w:rsidR="00720467" w:rsidRPr="009F6CF3">
              <w:rPr>
                <w:rStyle w:val="cf21"/>
                <w:rFonts w:ascii="Arial" w:hAnsi="Arial" w:cs="Arial"/>
                <w:sz w:val="22"/>
                <w:szCs w:val="22"/>
              </w:rPr>
              <w:t>-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bacter</w:t>
            </w:r>
            <w:r w:rsidR="008F2885" w:rsidRPr="009F6CF3">
              <w:rPr>
                <w:rStyle w:val="cf21"/>
                <w:rFonts w:ascii="Arial" w:hAnsi="Arial" w:cs="Arial"/>
                <w:sz w:val="22"/>
                <w:szCs w:val="22"/>
              </w:rPr>
              <w:t>a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emic urosepsis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7FCDD" w14:textId="4A3F4371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8974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C7D3B" w14:textId="780B2F2C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18.7</w:t>
            </w:r>
          </w:p>
        </w:tc>
      </w:tr>
      <w:tr w:rsidR="006C4AAA" w:rsidRPr="009F6CF3" w14:paraId="2959BB50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5DC0E" w14:textId="4A7C6B57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Bacter</w:t>
            </w:r>
            <w:r w:rsidR="008F2885" w:rsidRPr="009F6CF3">
              <w:rPr>
                <w:rStyle w:val="cf21"/>
                <w:rFonts w:ascii="Arial" w:hAnsi="Arial" w:cs="Arial"/>
                <w:sz w:val="22"/>
                <w:szCs w:val="22"/>
              </w:rPr>
              <w:t>a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emic IED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7FD91" w14:textId="601DA51E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29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7A6DF" w14:textId="6C544CBB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61.0</w:t>
            </w:r>
          </w:p>
        </w:tc>
      </w:tr>
      <w:tr w:rsidR="006C4AAA" w:rsidRPr="009F6CF3" w14:paraId="236343E1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3C11A" w14:textId="16483E41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IED from </w:t>
            </w:r>
            <w:proofErr w:type="gramStart"/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 sterile 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site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only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408DD" w14:textId="7910A428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9116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50164" w14:textId="0E76870C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19.0</w:t>
            </w:r>
          </w:p>
        </w:tc>
      </w:tr>
      <w:tr w:rsidR="006C4AAA" w:rsidRPr="009F6CF3" w14:paraId="36E2FD2A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2FCD74" w14:textId="0BB8A30F" w:rsidR="006C4AAA" w:rsidRPr="009F6CF3" w:rsidRDefault="009F6CF3" w:rsidP="009F6CF3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IED from any sterile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 site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9B640" w14:textId="74279C37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38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961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1B0A9" w14:textId="2EA0E769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81.3</w:t>
            </w:r>
          </w:p>
        </w:tc>
      </w:tr>
      <w:tr w:rsidR="006C4AAA" w:rsidRPr="009F6CF3" w14:paraId="211A3EC1" w14:textId="77777777" w:rsidTr="009F6CF3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70FD2" w14:textId="55EE45DD" w:rsidR="006C4AAA" w:rsidRPr="009F6CF3" w:rsidRDefault="009F6CF3" w:rsidP="009F6CF3">
            <w:pPr>
              <w:spacing w:after="0" w:line="240" w:lineRule="auto"/>
              <w:rPr>
                <w:rStyle w:val="cf21"/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Total IED among 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population </w:t>
            </w:r>
            <w:r w:rsidR="006C4AAA"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≥</w:t>
            </w:r>
            <w:r w:rsidR="006C4AAA" w:rsidRPr="009F6CF3">
              <w:rPr>
                <w:rStyle w:val="cf21"/>
                <w:rFonts w:ascii="Arial" w:hAnsi="Arial" w:cs="Arial"/>
                <w:sz w:val="22"/>
                <w:szCs w:val="22"/>
              </w:rPr>
              <w:t>60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 xml:space="preserve"> years of 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6C3C8" w14:textId="0E12156F" w:rsidR="006C4AAA" w:rsidRPr="009F6CF3" w:rsidRDefault="006C4AAA" w:rsidP="009F6CF3">
            <w:pPr>
              <w:spacing w:after="0" w:line="240" w:lineRule="auto"/>
              <w:jc w:val="center"/>
              <w:rPr>
                <w:rStyle w:val="cf21"/>
                <w:rFonts w:ascii="Arial" w:hAnsi="Arial" w:cs="Arial"/>
                <w:sz w:val="22"/>
                <w:szCs w:val="22"/>
              </w:rPr>
            </w:pP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47</w:t>
            </w:r>
            <w:r w:rsidR="00E253AD" w:rsidRPr="009F6CF3">
              <w:rPr>
                <w:rStyle w:val="cf21"/>
                <w:rFonts w:ascii="Arial" w:hAnsi="Arial" w:cs="Arial"/>
                <w:sz w:val="22"/>
                <w:szCs w:val="22"/>
              </w:rPr>
              <w:t> </w:t>
            </w:r>
            <w:r w:rsidRPr="009F6CF3">
              <w:rPr>
                <w:rStyle w:val="cf21"/>
                <w:rFonts w:ascii="Arial" w:hAnsi="Arial" w:cs="Arial"/>
                <w:sz w:val="22"/>
                <w:szCs w:val="22"/>
              </w:rPr>
              <w:t>935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196FD" w14:textId="1188C2F3" w:rsidR="006C4AAA" w:rsidRPr="009F6CF3" w:rsidRDefault="006C4AAA" w:rsidP="009F6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F6C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</w:t>
            </w:r>
          </w:p>
        </w:tc>
      </w:tr>
    </w:tbl>
    <w:p w14:paraId="06E63999" w14:textId="32A590A4" w:rsidR="006C4AAA" w:rsidRPr="009F5738" w:rsidRDefault="00E253AD" w:rsidP="009F6CF3">
      <w:pPr>
        <w:pStyle w:val="TFFootnote"/>
      </w:pPr>
      <w:r w:rsidRPr="009F6CF3">
        <w:t>IED</w:t>
      </w:r>
      <w:r w:rsidR="009F6CF3">
        <w:t>,</w:t>
      </w:r>
      <w:r w:rsidRPr="009F6CF3">
        <w:t xml:space="preserve"> </w:t>
      </w:r>
      <w:r w:rsidRPr="004B2278">
        <w:t xml:space="preserve">invasive </w:t>
      </w:r>
      <w:r w:rsidRPr="004B2278">
        <w:rPr>
          <w:i/>
          <w:iCs/>
        </w:rPr>
        <w:t>E. coli</w:t>
      </w:r>
      <w:r w:rsidRPr="004B2278">
        <w:t xml:space="preserve"> disease</w:t>
      </w:r>
      <w:r w:rsidR="009F6CF3">
        <w:t>;</w:t>
      </w:r>
      <w:r w:rsidRPr="004B2278">
        <w:rPr>
          <w:i/>
          <w:iCs/>
        </w:rPr>
        <w:t xml:space="preserve"> </w:t>
      </w:r>
      <w:r w:rsidRPr="009F6CF3">
        <w:t>SGSS-AMR</w:t>
      </w:r>
      <w:r w:rsidR="009F6CF3">
        <w:t>,</w:t>
      </w:r>
      <w:r w:rsidRPr="009F6CF3">
        <w:t xml:space="preserve"> Second</w:t>
      </w:r>
      <w:r w:rsidR="009F6CF3">
        <w:t>-</w:t>
      </w:r>
      <w:r w:rsidRPr="004B2278">
        <w:t>Generation Surveillance System Antimicrobial Resistance Report</w:t>
      </w:r>
      <w:r>
        <w:t>.</w:t>
      </w:r>
    </w:p>
    <w:p w14:paraId="0E205577" w14:textId="77777777" w:rsidR="005E23A3" w:rsidRDefault="005E23A3">
      <w:pPr>
        <w:spacing w:line="259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b/>
        </w:rPr>
        <w:br w:type="page"/>
      </w:r>
    </w:p>
    <w:p w14:paraId="6B795F7F" w14:textId="247EB8B7" w:rsidR="006C4AAA" w:rsidRPr="009F5738" w:rsidRDefault="005E23A3" w:rsidP="003C6DD1">
      <w:pPr>
        <w:pStyle w:val="Heading2"/>
      </w:pPr>
      <w:r w:rsidRPr="005E23A3">
        <w:rPr>
          <w:b/>
        </w:rPr>
        <w:lastRenderedPageBreak/>
        <w:t xml:space="preserve">Supplementary </w:t>
      </w:r>
      <w:r w:rsidR="006C4AAA" w:rsidRPr="005E23A3">
        <w:rPr>
          <w:b/>
        </w:rPr>
        <w:t>Figure S1</w:t>
      </w:r>
      <w:r w:rsidR="00DB5068" w:rsidRPr="005E23A3">
        <w:rPr>
          <w:b/>
        </w:rPr>
        <w:t>.</w:t>
      </w:r>
      <w:r w:rsidR="00DB5068" w:rsidRPr="009F5738">
        <w:t xml:space="preserve"> </w:t>
      </w:r>
      <w:bookmarkStart w:id="4" w:name="_Toc126142974"/>
      <w:bookmarkStart w:id="5" w:name="_Toc157089188"/>
      <w:r w:rsidR="006C4AAA" w:rsidRPr="009F5738">
        <w:t>Data linkage of SGSS-AMR and HES databases</w:t>
      </w:r>
      <w:bookmarkEnd w:id="4"/>
      <w:bookmarkEnd w:id="5"/>
    </w:p>
    <w:p w14:paraId="2A516DD2" w14:textId="7EBF0CFB" w:rsidR="006C4AAA" w:rsidRPr="009F5738" w:rsidRDefault="006C4AAA" w:rsidP="009F6CF3">
      <w:pPr>
        <w:pStyle w:val="TFFootnote"/>
      </w:pPr>
      <w:r w:rsidRPr="009F6CF3">
        <w:t>HES</w:t>
      </w:r>
      <w:r w:rsidR="009F6CF3">
        <w:t>,</w:t>
      </w:r>
      <w:r w:rsidRPr="009F6CF3">
        <w:t xml:space="preserve"> </w:t>
      </w:r>
      <w:r w:rsidRPr="009F5738">
        <w:t>Hospital Episode Statistics dataset</w:t>
      </w:r>
      <w:r w:rsidR="009F6CF3">
        <w:t>;</w:t>
      </w:r>
      <w:r w:rsidRPr="009F5738">
        <w:rPr>
          <w:i/>
          <w:iCs/>
        </w:rPr>
        <w:t xml:space="preserve"> </w:t>
      </w:r>
      <w:r w:rsidR="004F3FF4" w:rsidRPr="009F6CF3">
        <w:t>NHS</w:t>
      </w:r>
      <w:r w:rsidR="009F6CF3">
        <w:t>,</w:t>
      </w:r>
      <w:r w:rsidR="004F3FF4" w:rsidRPr="009F6CF3">
        <w:t xml:space="preserve"> National Health Service</w:t>
      </w:r>
      <w:r w:rsidR="009F6CF3">
        <w:t>;</w:t>
      </w:r>
      <w:r w:rsidR="004F3FF4" w:rsidRPr="009F6CF3">
        <w:t xml:space="preserve"> </w:t>
      </w:r>
      <w:r w:rsidRPr="009F6CF3">
        <w:t>SGSS-AMR</w:t>
      </w:r>
      <w:r w:rsidR="009F6CF3">
        <w:t>,</w:t>
      </w:r>
      <w:r w:rsidRPr="009F5738">
        <w:rPr>
          <w:i/>
          <w:iCs/>
        </w:rPr>
        <w:t xml:space="preserve"> </w:t>
      </w:r>
      <w:r w:rsidRPr="009F5738">
        <w:t>Second</w:t>
      </w:r>
      <w:r w:rsidR="009F6CF3">
        <w:t>-</w:t>
      </w:r>
      <w:r w:rsidRPr="009F5738">
        <w:t>Generation Surveillance System Antimicrobial Resistance Report.</w:t>
      </w:r>
    </w:p>
    <w:p w14:paraId="013E45DA" w14:textId="77777777" w:rsidR="006C4AAA" w:rsidRPr="009F5738" w:rsidRDefault="006C4AAA" w:rsidP="006C4AAA">
      <w:pPr>
        <w:spacing w:after="120" w:line="264" w:lineRule="auto"/>
        <w:rPr>
          <w:rFonts w:ascii="Arial" w:hAnsi="Arial" w:cs="Arial"/>
          <w:b/>
          <w:bCs/>
          <w:szCs w:val="20"/>
        </w:rPr>
      </w:pPr>
      <w:r w:rsidRPr="009F5738">
        <w:rPr>
          <w:rFonts w:ascii="Arial" w:hAnsi="Arial" w:cs="Arial"/>
        </w:rPr>
        <w:br w:type="page"/>
      </w:r>
    </w:p>
    <w:p w14:paraId="2B005CD9" w14:textId="754C796B" w:rsidR="006C4AAA" w:rsidRPr="003C6DD1" w:rsidRDefault="00B51945" w:rsidP="003C6DD1">
      <w:pPr>
        <w:pStyle w:val="Heading2"/>
      </w:pPr>
      <w:r>
        <w:rPr>
          <w:b/>
        </w:rPr>
        <w:lastRenderedPageBreak/>
        <w:t xml:space="preserve">Supplementary </w:t>
      </w:r>
      <w:r w:rsidR="006C4AAA" w:rsidRPr="00B51945">
        <w:rPr>
          <w:b/>
          <w:bCs w:val="0"/>
        </w:rPr>
        <w:t>Figure S2.</w:t>
      </w:r>
      <w:r w:rsidR="00DB5068" w:rsidRPr="009F5738">
        <w:t xml:space="preserve"> </w:t>
      </w:r>
      <w:bookmarkStart w:id="6" w:name="_Toc126142975"/>
      <w:bookmarkStart w:id="7" w:name="_Toc157089189"/>
      <w:r w:rsidR="006C4AAA" w:rsidRPr="009F5738">
        <w:t>Data linkage of DCS, SGSS-CDR</w:t>
      </w:r>
      <w:r w:rsidR="009F6CF3">
        <w:t>,</w:t>
      </w:r>
      <w:r w:rsidR="006C4AAA" w:rsidRPr="009F5738">
        <w:t xml:space="preserve"> and HES databases</w:t>
      </w:r>
      <w:bookmarkEnd w:id="6"/>
      <w:bookmarkEnd w:id="7"/>
    </w:p>
    <w:p w14:paraId="47F6B371" w14:textId="035947F5" w:rsidR="006C4AAA" w:rsidRPr="009F5738" w:rsidRDefault="006C4AAA" w:rsidP="009F6CF3">
      <w:pPr>
        <w:pStyle w:val="TFFootnote"/>
      </w:pPr>
      <w:r w:rsidRPr="009F6CF3">
        <w:t>DCS</w:t>
      </w:r>
      <w:r w:rsidR="009F6CF3">
        <w:t>,</w:t>
      </w:r>
      <w:r w:rsidRPr="009F6CF3">
        <w:t xml:space="preserve"> Data Capture System</w:t>
      </w:r>
      <w:r w:rsidR="009F6CF3">
        <w:t>;</w:t>
      </w:r>
      <w:r w:rsidRPr="009F6CF3">
        <w:t xml:space="preserve"> HES</w:t>
      </w:r>
      <w:r w:rsidR="009F6CF3">
        <w:t>,</w:t>
      </w:r>
      <w:r w:rsidRPr="009F6CF3">
        <w:t xml:space="preserve"> Hospital Episode Statistics</w:t>
      </w:r>
      <w:r w:rsidR="009F6CF3">
        <w:t>;</w:t>
      </w:r>
      <w:r w:rsidR="004F3FF4" w:rsidRPr="009F6CF3">
        <w:t xml:space="preserve"> NHS</w:t>
      </w:r>
      <w:r w:rsidR="009F6CF3">
        <w:t>,</w:t>
      </w:r>
      <w:r w:rsidR="004F3FF4" w:rsidRPr="009F6CF3">
        <w:t xml:space="preserve"> National Health Service</w:t>
      </w:r>
      <w:r w:rsidR="009F6CF3">
        <w:t>;</w:t>
      </w:r>
      <w:r w:rsidR="004F3FF4" w:rsidRPr="009F6CF3">
        <w:t xml:space="preserve"> SGSS-AMR</w:t>
      </w:r>
      <w:r w:rsidR="009F6CF3">
        <w:t>,</w:t>
      </w:r>
      <w:r w:rsidR="004F3FF4" w:rsidRPr="004B2278">
        <w:rPr>
          <w:i/>
          <w:iCs/>
        </w:rPr>
        <w:t xml:space="preserve"> </w:t>
      </w:r>
      <w:r w:rsidR="004F3FF4" w:rsidRPr="004B2278">
        <w:t>Second</w:t>
      </w:r>
      <w:r w:rsidR="009F6CF3">
        <w:t>-</w:t>
      </w:r>
      <w:r w:rsidR="004F3FF4" w:rsidRPr="004B2278">
        <w:t>Generation Surveillance System Antimicrobial Resistance Report</w:t>
      </w:r>
      <w:r w:rsidR="009F6CF3">
        <w:t>;</w:t>
      </w:r>
      <w:r w:rsidR="004F3FF4" w:rsidRPr="009F6CF3">
        <w:t xml:space="preserve"> </w:t>
      </w:r>
      <w:r w:rsidRPr="009F6CF3">
        <w:t>SGSS-CDR</w:t>
      </w:r>
      <w:r w:rsidR="009F6CF3">
        <w:t>,</w:t>
      </w:r>
      <w:r w:rsidRPr="009F5738">
        <w:rPr>
          <w:i/>
          <w:iCs/>
        </w:rPr>
        <w:t xml:space="preserve"> </w:t>
      </w:r>
      <w:r w:rsidRPr="009F5738">
        <w:t>Second</w:t>
      </w:r>
      <w:r w:rsidR="009F6CF3">
        <w:t>-</w:t>
      </w:r>
      <w:r w:rsidRPr="009F5738">
        <w:t>Generation Surveillance System Communicable Disease Report.</w:t>
      </w:r>
      <w:bookmarkEnd w:id="0"/>
    </w:p>
    <w:sectPr w:rsidR="006C4AAA" w:rsidRPr="009F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Arial"/>
    <w:charset w:val="00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Stencil">
    <w:altName w:val="Calibri"/>
    <w:charset w:val="00"/>
    <w:family w:val="auto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F0"/>
    <w:multiLevelType w:val="hybridMultilevel"/>
    <w:tmpl w:val="0F42A53E"/>
    <w:lvl w:ilvl="0" w:tplc="258CE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8DD"/>
    <w:multiLevelType w:val="hybridMultilevel"/>
    <w:tmpl w:val="C5FE2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413"/>
    <w:multiLevelType w:val="hybridMultilevel"/>
    <w:tmpl w:val="7AE64CA8"/>
    <w:lvl w:ilvl="0" w:tplc="EAFC57D8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47AD"/>
    <w:multiLevelType w:val="hybridMultilevel"/>
    <w:tmpl w:val="DB90AF46"/>
    <w:lvl w:ilvl="0" w:tplc="84C60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356A"/>
    <w:multiLevelType w:val="multilevel"/>
    <w:tmpl w:val="3DD805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4B711A"/>
    <w:multiLevelType w:val="hybridMultilevel"/>
    <w:tmpl w:val="F216E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D6149"/>
    <w:multiLevelType w:val="hybridMultilevel"/>
    <w:tmpl w:val="E9EE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2ACB"/>
    <w:multiLevelType w:val="hybridMultilevel"/>
    <w:tmpl w:val="F6C6B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6CE6"/>
    <w:multiLevelType w:val="hybridMultilevel"/>
    <w:tmpl w:val="EB8C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508E6"/>
    <w:multiLevelType w:val="hybridMultilevel"/>
    <w:tmpl w:val="01BAAC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4BE2517"/>
    <w:multiLevelType w:val="hybridMultilevel"/>
    <w:tmpl w:val="2F36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0906"/>
    <w:multiLevelType w:val="hybridMultilevel"/>
    <w:tmpl w:val="B23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4B3E"/>
    <w:multiLevelType w:val="hybridMultilevel"/>
    <w:tmpl w:val="303CB4F2"/>
    <w:lvl w:ilvl="0" w:tplc="65F27B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C1A"/>
    <w:multiLevelType w:val="hybridMultilevel"/>
    <w:tmpl w:val="ACC81AC0"/>
    <w:lvl w:ilvl="0" w:tplc="F1141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7B7C"/>
    <w:multiLevelType w:val="multilevel"/>
    <w:tmpl w:val="B3205B72"/>
    <w:lvl w:ilvl="0">
      <w:start w:val="1"/>
      <w:numFmt w:val="decimal"/>
      <w:pStyle w:val="List"/>
      <w:lvlText w:val="%1."/>
      <w:lvlJc w:val="left"/>
      <w:pPr>
        <w:ind w:left="644" w:hanging="360"/>
      </w:pPr>
      <w:rPr>
        <w:rFonts w:hint="default"/>
        <w:color w:val="333333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1588" w:hanging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8"/>
        </w:tabs>
        <w:ind w:left="1418" w:hanging="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4D324909"/>
    <w:multiLevelType w:val="hybridMultilevel"/>
    <w:tmpl w:val="EF9A7E5C"/>
    <w:lvl w:ilvl="0" w:tplc="498E5E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05D55"/>
    <w:multiLevelType w:val="hybridMultilevel"/>
    <w:tmpl w:val="BF46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78E"/>
    <w:multiLevelType w:val="hybridMultilevel"/>
    <w:tmpl w:val="E38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E7371"/>
    <w:multiLevelType w:val="hybridMultilevel"/>
    <w:tmpl w:val="93500576"/>
    <w:lvl w:ilvl="0" w:tplc="EAFC57D8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33B3A"/>
    <w:multiLevelType w:val="hybridMultilevel"/>
    <w:tmpl w:val="2EEC8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167C5"/>
    <w:multiLevelType w:val="hybridMultilevel"/>
    <w:tmpl w:val="932C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576C3"/>
    <w:multiLevelType w:val="hybridMultilevel"/>
    <w:tmpl w:val="3DDA462A"/>
    <w:lvl w:ilvl="0" w:tplc="E1B21D16">
      <w:start w:val="39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CD2"/>
    <w:multiLevelType w:val="multilevel"/>
    <w:tmpl w:val="E3D2AF46"/>
    <w:lvl w:ilvl="0">
      <w:start w:val="1"/>
      <w:numFmt w:val="bullet"/>
      <w:pStyle w:val="Bulletedlist"/>
      <w:lvlText w:val="-"/>
      <w:lvlJc w:val="left"/>
      <w:pPr>
        <w:tabs>
          <w:tab w:val="num" w:pos="717"/>
        </w:tabs>
        <w:ind w:left="717" w:hanging="360"/>
      </w:pPr>
      <w:rPr>
        <w:rFonts w:ascii="Futura Bk BT" w:hAnsi="Futura Bk BT" w:hint="default"/>
        <w:color w:val="333333"/>
        <w:sz w:val="22"/>
      </w:rPr>
    </w:lvl>
    <w:lvl w:ilvl="1">
      <w:start w:val="1"/>
      <w:numFmt w:val="bullet"/>
      <w:lvlText w:val="›"/>
      <w:lvlJc w:val="left"/>
      <w:pPr>
        <w:tabs>
          <w:tab w:val="num" w:pos="924"/>
        </w:tabs>
        <w:ind w:left="924" w:hanging="284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1207"/>
        </w:tabs>
        <w:ind w:left="1207" w:hanging="283"/>
      </w:pPr>
      <w:rPr>
        <w:rFonts w:ascii="Arial" w:hAnsi="Arial" w:hint="default"/>
      </w:rPr>
    </w:lvl>
    <w:lvl w:ilvl="3">
      <w:start w:val="1"/>
      <w:numFmt w:val="bullet"/>
      <w:lvlText w:val="▫"/>
      <w:lvlJc w:val="left"/>
      <w:pPr>
        <w:tabs>
          <w:tab w:val="num" w:pos="1491"/>
        </w:tabs>
        <w:ind w:left="1491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◦"/>
      <w:lvlJc w:val="left"/>
      <w:pPr>
        <w:tabs>
          <w:tab w:val="num" w:pos="1774"/>
        </w:tabs>
        <w:ind w:left="1774" w:hanging="283"/>
      </w:pPr>
      <w:rPr>
        <w:rFonts w:ascii="Arial" w:hAnsi="Arial" w:hint="default"/>
      </w:rPr>
    </w:lvl>
    <w:lvl w:ilvl="5">
      <w:start w:val="1"/>
      <w:numFmt w:val="bullet"/>
      <w:lvlText w:val=""/>
      <w:lvlJc w:val="left"/>
      <w:pPr>
        <w:tabs>
          <w:tab w:val="num" w:pos="2058"/>
        </w:tabs>
        <w:ind w:left="205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1"/>
        </w:tabs>
        <w:ind w:left="234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25"/>
        </w:tabs>
        <w:ind w:left="262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08"/>
        </w:tabs>
        <w:ind w:left="2908" w:hanging="283"/>
      </w:pPr>
      <w:rPr>
        <w:rFonts w:ascii="Wingdings" w:hAnsi="Wingdings" w:hint="default"/>
      </w:rPr>
    </w:lvl>
  </w:abstractNum>
  <w:abstractNum w:abstractNumId="23" w15:restartNumberingAfterBreak="0">
    <w:nsid w:val="6380734C"/>
    <w:multiLevelType w:val="hybridMultilevel"/>
    <w:tmpl w:val="E942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3EFE"/>
    <w:multiLevelType w:val="hybridMultilevel"/>
    <w:tmpl w:val="F9D290CE"/>
    <w:lvl w:ilvl="0" w:tplc="49943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38DD"/>
    <w:multiLevelType w:val="hybridMultilevel"/>
    <w:tmpl w:val="485C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63A6"/>
    <w:multiLevelType w:val="hybridMultilevel"/>
    <w:tmpl w:val="5518F490"/>
    <w:lvl w:ilvl="0" w:tplc="F490F9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71E33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86A26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9308D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2AC6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CC026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16CDE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5AF9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EC9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68C9453B"/>
    <w:multiLevelType w:val="hybridMultilevel"/>
    <w:tmpl w:val="68725738"/>
    <w:lvl w:ilvl="0" w:tplc="7FF42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522D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B823F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C066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1A63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97644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60A1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852A7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3527A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8" w15:restartNumberingAfterBreak="0">
    <w:nsid w:val="697A4A47"/>
    <w:multiLevelType w:val="hybridMultilevel"/>
    <w:tmpl w:val="5CBE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10EA"/>
    <w:multiLevelType w:val="hybridMultilevel"/>
    <w:tmpl w:val="CD82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D310C"/>
    <w:multiLevelType w:val="hybridMultilevel"/>
    <w:tmpl w:val="ADF89B4E"/>
    <w:lvl w:ilvl="0" w:tplc="6518D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BEE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D6E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224B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6A6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6C8F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2EB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449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08F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0DE496B"/>
    <w:multiLevelType w:val="hybridMultilevel"/>
    <w:tmpl w:val="9A483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E0542"/>
    <w:multiLevelType w:val="hybridMultilevel"/>
    <w:tmpl w:val="9B76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387A"/>
    <w:multiLevelType w:val="hybridMultilevel"/>
    <w:tmpl w:val="C71617EE"/>
    <w:lvl w:ilvl="0" w:tplc="7870C1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1AE97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E927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1F63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EF824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752DA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CE7C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70A2E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3B0C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686134269">
    <w:abstractNumId w:val="14"/>
  </w:num>
  <w:num w:numId="2" w16cid:durableId="1999573225">
    <w:abstractNumId w:val="22"/>
  </w:num>
  <w:num w:numId="3" w16cid:durableId="2121413895">
    <w:abstractNumId w:val="4"/>
  </w:num>
  <w:num w:numId="4" w16cid:durableId="1139542601">
    <w:abstractNumId w:val="8"/>
  </w:num>
  <w:num w:numId="5" w16cid:durableId="1887720654">
    <w:abstractNumId w:val="20"/>
  </w:num>
  <w:num w:numId="6" w16cid:durableId="610667981">
    <w:abstractNumId w:val="16"/>
  </w:num>
  <w:num w:numId="7" w16cid:durableId="1055277023">
    <w:abstractNumId w:val="10"/>
  </w:num>
  <w:num w:numId="8" w16cid:durableId="192689784">
    <w:abstractNumId w:val="28"/>
  </w:num>
  <w:num w:numId="9" w16cid:durableId="1299336866">
    <w:abstractNumId w:val="25"/>
  </w:num>
  <w:num w:numId="10" w16cid:durableId="1283002831">
    <w:abstractNumId w:val="24"/>
  </w:num>
  <w:num w:numId="11" w16cid:durableId="1636831046">
    <w:abstractNumId w:val="9"/>
  </w:num>
  <w:num w:numId="12" w16cid:durableId="659385344">
    <w:abstractNumId w:val="0"/>
  </w:num>
  <w:num w:numId="13" w16cid:durableId="1195575899">
    <w:abstractNumId w:val="7"/>
  </w:num>
  <w:num w:numId="14" w16cid:durableId="1997687369">
    <w:abstractNumId w:val="17"/>
  </w:num>
  <w:num w:numId="15" w16cid:durableId="70010371">
    <w:abstractNumId w:val="19"/>
  </w:num>
  <w:num w:numId="16" w16cid:durableId="1009210281">
    <w:abstractNumId w:val="31"/>
  </w:num>
  <w:num w:numId="17" w16cid:durableId="804392923">
    <w:abstractNumId w:val="6"/>
  </w:num>
  <w:num w:numId="18" w16cid:durableId="1714579796">
    <w:abstractNumId w:val="32"/>
  </w:num>
  <w:num w:numId="19" w16cid:durableId="41442400">
    <w:abstractNumId w:val="18"/>
  </w:num>
  <w:num w:numId="20" w16cid:durableId="1549489488">
    <w:abstractNumId w:val="2"/>
  </w:num>
  <w:num w:numId="21" w16cid:durableId="1729912789">
    <w:abstractNumId w:val="13"/>
  </w:num>
  <w:num w:numId="22" w16cid:durableId="239679522">
    <w:abstractNumId w:val="21"/>
  </w:num>
  <w:num w:numId="23" w16cid:durableId="14410283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9147">
    <w:abstractNumId w:val="12"/>
  </w:num>
  <w:num w:numId="25" w16cid:durableId="157382304">
    <w:abstractNumId w:val="23"/>
  </w:num>
  <w:num w:numId="26" w16cid:durableId="1009061115">
    <w:abstractNumId w:val="15"/>
  </w:num>
  <w:num w:numId="27" w16cid:durableId="702176310">
    <w:abstractNumId w:val="5"/>
  </w:num>
  <w:num w:numId="28" w16cid:durableId="169756481">
    <w:abstractNumId w:val="11"/>
  </w:num>
  <w:num w:numId="29" w16cid:durableId="1544438350">
    <w:abstractNumId w:val="33"/>
  </w:num>
  <w:num w:numId="30" w16cid:durableId="1420131648">
    <w:abstractNumId w:val="29"/>
  </w:num>
  <w:num w:numId="31" w16cid:durableId="1089540727">
    <w:abstractNumId w:val="27"/>
  </w:num>
  <w:num w:numId="32" w16cid:durableId="44528297">
    <w:abstractNumId w:val="30"/>
  </w:num>
  <w:num w:numId="33" w16cid:durableId="426730008">
    <w:abstractNumId w:val="26"/>
  </w:num>
  <w:num w:numId="34" w16cid:durableId="28800939">
    <w:abstractNumId w:val="3"/>
  </w:num>
  <w:num w:numId="35" w16cid:durableId="91149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C4AAA"/>
    <w:rsid w:val="000034E8"/>
    <w:rsid w:val="00040B09"/>
    <w:rsid w:val="00057C1F"/>
    <w:rsid w:val="000E29D9"/>
    <w:rsid w:val="001039D3"/>
    <w:rsid w:val="0010549B"/>
    <w:rsid w:val="00116999"/>
    <w:rsid w:val="00121DC7"/>
    <w:rsid w:val="0012240B"/>
    <w:rsid w:val="001365F1"/>
    <w:rsid w:val="00140A35"/>
    <w:rsid w:val="00141100"/>
    <w:rsid w:val="001478F5"/>
    <w:rsid w:val="00167CD7"/>
    <w:rsid w:val="0019203B"/>
    <w:rsid w:val="001C4477"/>
    <w:rsid w:val="00224192"/>
    <w:rsid w:val="00237245"/>
    <w:rsid w:val="0026792A"/>
    <w:rsid w:val="00272DBF"/>
    <w:rsid w:val="002F79E2"/>
    <w:rsid w:val="003046E3"/>
    <w:rsid w:val="003124F4"/>
    <w:rsid w:val="00387F5B"/>
    <w:rsid w:val="00390C55"/>
    <w:rsid w:val="003B7BCA"/>
    <w:rsid w:val="003C6DD1"/>
    <w:rsid w:val="003D7684"/>
    <w:rsid w:val="0040453D"/>
    <w:rsid w:val="00413B92"/>
    <w:rsid w:val="004274FB"/>
    <w:rsid w:val="004407E5"/>
    <w:rsid w:val="00455EBE"/>
    <w:rsid w:val="00464579"/>
    <w:rsid w:val="004663E3"/>
    <w:rsid w:val="00482F5C"/>
    <w:rsid w:val="004A2120"/>
    <w:rsid w:val="004C40A3"/>
    <w:rsid w:val="004F3FF4"/>
    <w:rsid w:val="00504226"/>
    <w:rsid w:val="005201A6"/>
    <w:rsid w:val="00530F8A"/>
    <w:rsid w:val="005B61BD"/>
    <w:rsid w:val="005E23A3"/>
    <w:rsid w:val="005F4240"/>
    <w:rsid w:val="005F5653"/>
    <w:rsid w:val="006427B2"/>
    <w:rsid w:val="006459F5"/>
    <w:rsid w:val="006B428F"/>
    <w:rsid w:val="006C1888"/>
    <w:rsid w:val="006C4AAA"/>
    <w:rsid w:val="007134A2"/>
    <w:rsid w:val="00720467"/>
    <w:rsid w:val="007C1380"/>
    <w:rsid w:val="00870576"/>
    <w:rsid w:val="00874B4E"/>
    <w:rsid w:val="0089298A"/>
    <w:rsid w:val="008D1A79"/>
    <w:rsid w:val="008F2885"/>
    <w:rsid w:val="00932E84"/>
    <w:rsid w:val="009600A6"/>
    <w:rsid w:val="009B5429"/>
    <w:rsid w:val="009C6111"/>
    <w:rsid w:val="009E4523"/>
    <w:rsid w:val="009F5738"/>
    <w:rsid w:val="009F6CF3"/>
    <w:rsid w:val="00A2325B"/>
    <w:rsid w:val="00A827C7"/>
    <w:rsid w:val="00AD7881"/>
    <w:rsid w:val="00AE56ED"/>
    <w:rsid w:val="00AF29CC"/>
    <w:rsid w:val="00B51945"/>
    <w:rsid w:val="00B740AB"/>
    <w:rsid w:val="00BF4474"/>
    <w:rsid w:val="00C03122"/>
    <w:rsid w:val="00C236AD"/>
    <w:rsid w:val="00C56576"/>
    <w:rsid w:val="00C86B74"/>
    <w:rsid w:val="00CD4DAA"/>
    <w:rsid w:val="00D03500"/>
    <w:rsid w:val="00D94214"/>
    <w:rsid w:val="00DB5068"/>
    <w:rsid w:val="00DC0ECB"/>
    <w:rsid w:val="00DC7F2B"/>
    <w:rsid w:val="00E02196"/>
    <w:rsid w:val="00E16271"/>
    <w:rsid w:val="00E253AD"/>
    <w:rsid w:val="00E26E32"/>
    <w:rsid w:val="00E4257F"/>
    <w:rsid w:val="00E43833"/>
    <w:rsid w:val="00E87417"/>
    <w:rsid w:val="00ED2D82"/>
    <w:rsid w:val="00F2395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6D984"/>
  <w15:chartTrackingRefBased/>
  <w15:docId w15:val="{50B82225-876C-4CB8-9CB4-BF956D8F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AA"/>
    <w:pPr>
      <w:spacing w:line="312" w:lineRule="auto"/>
    </w:pPr>
    <w:rPr>
      <w:rFonts w:eastAsiaTheme="minorEastAsia"/>
      <w:kern w:val="0"/>
      <w:sz w:val="20"/>
      <w:szCs w:val="21"/>
      <w:lang w:eastAsia="es-E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4AAA"/>
    <w:pPr>
      <w:keepNext/>
      <w:keepLines/>
      <w:numPr>
        <w:numId w:val="3"/>
      </w:numPr>
      <w:pBdr>
        <w:bottom w:val="single" w:sz="8" w:space="1" w:color="FFC000" w:themeColor="accent4"/>
      </w:pBdr>
      <w:spacing w:before="400" w:after="24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1888"/>
    <w:pPr>
      <w:keepNext/>
      <w:keepLines/>
      <w:spacing w:before="160" w:after="240" w:line="360" w:lineRule="auto"/>
      <w:contextualSpacing/>
      <w:mirrorIndents/>
      <w:outlineLvl w:val="1"/>
    </w:pPr>
    <w:rPr>
      <w:rFonts w:ascii="Arial" w:eastAsiaTheme="majorEastAsia" w:hAnsi="Arial" w:cs="Arial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4AAA"/>
    <w:pPr>
      <w:keepNext/>
      <w:keepLines/>
      <w:numPr>
        <w:ilvl w:val="2"/>
        <w:numId w:val="3"/>
      </w:numPr>
      <w:spacing w:before="120" w:after="120" w:line="240" w:lineRule="auto"/>
      <w:ind w:left="1021" w:hanging="1021"/>
      <w:mirrorIndents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4AAA"/>
    <w:pPr>
      <w:keepNext/>
      <w:keepLines/>
      <w:numPr>
        <w:ilvl w:val="3"/>
        <w:numId w:val="3"/>
      </w:numPr>
      <w:spacing w:before="80" w:after="120"/>
      <w:ind w:left="1134" w:hanging="1134"/>
      <w:outlineLvl w:val="3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C4AAA"/>
    <w:pPr>
      <w:keepNext/>
      <w:keepLines/>
      <w:numPr>
        <w:ilvl w:val="4"/>
        <w:numId w:val="3"/>
      </w:numPr>
      <w:spacing w:before="80" w:after="120" w:line="240" w:lineRule="auto"/>
      <w:ind w:left="1247" w:hanging="1247"/>
      <w:mirrorIndents/>
      <w:outlineLvl w:val="4"/>
    </w:pPr>
    <w:rPr>
      <w:rFonts w:asciiTheme="majorHAnsi" w:eastAsiaTheme="majorEastAsia" w:hAnsiTheme="majorHAnsi" w:cstheme="majorBidi"/>
      <w:b/>
      <w:iCs/>
      <w:szCs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6C4AAA"/>
    <w:pPr>
      <w:keepNext/>
      <w:keepLines/>
      <w:numPr>
        <w:ilvl w:val="5"/>
        <w:numId w:val="3"/>
      </w:numPr>
      <w:spacing w:before="80" w:after="0" w:line="240" w:lineRule="auto"/>
      <w:ind w:left="1474" w:hanging="1474"/>
      <w:contextualSpacing/>
      <w:mirrorIndents/>
      <w:outlineLvl w:val="5"/>
    </w:pPr>
    <w:rPr>
      <w:rFonts w:asciiTheme="majorHAnsi" w:eastAsiaTheme="majorEastAsia" w:hAnsiTheme="majorHAnsi" w:cstheme="majorBidi"/>
      <w:b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4AAA"/>
    <w:pPr>
      <w:keepNext/>
      <w:keepLines/>
      <w:numPr>
        <w:ilvl w:val="6"/>
        <w:numId w:val="3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4AAA"/>
    <w:pPr>
      <w:keepNext/>
      <w:keepLines/>
      <w:numPr>
        <w:ilvl w:val="7"/>
        <w:numId w:val="3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4AAA"/>
    <w:pPr>
      <w:keepNext/>
      <w:keepLines/>
      <w:numPr>
        <w:ilvl w:val="8"/>
        <w:numId w:val="3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AA"/>
    <w:rPr>
      <w:rFonts w:asciiTheme="majorHAnsi" w:eastAsiaTheme="majorEastAsia" w:hAnsiTheme="majorHAnsi" w:cstheme="majorBidi"/>
      <w:b/>
      <w:color w:val="2F5496" w:themeColor="accent1" w:themeShade="BF"/>
      <w:kern w:val="0"/>
      <w:sz w:val="36"/>
      <w:szCs w:val="36"/>
      <w:lang w:eastAsia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1888"/>
    <w:rPr>
      <w:rFonts w:ascii="Arial" w:eastAsiaTheme="majorEastAsia" w:hAnsi="Arial" w:cs="Arial"/>
      <w:bCs/>
      <w:kern w:val="0"/>
      <w:sz w:val="24"/>
      <w:szCs w:val="24"/>
      <w:lang w:eastAsia="es-E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C4AAA"/>
    <w:rPr>
      <w:rFonts w:asciiTheme="majorHAnsi" w:eastAsiaTheme="majorEastAsia" w:hAnsiTheme="majorHAnsi" w:cstheme="majorBidi"/>
      <w:b/>
      <w:color w:val="000000" w:themeColor="text1"/>
      <w:kern w:val="0"/>
      <w:sz w:val="26"/>
      <w:szCs w:val="26"/>
      <w:lang w:eastAsia="es-E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4AAA"/>
    <w:rPr>
      <w:rFonts w:asciiTheme="majorHAnsi" w:eastAsiaTheme="majorEastAsia" w:hAnsiTheme="majorHAnsi" w:cstheme="majorBidi"/>
      <w:b/>
      <w:kern w:val="0"/>
      <w:sz w:val="24"/>
      <w:szCs w:val="24"/>
      <w:lang w:eastAsia="es-E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C4AAA"/>
    <w:rPr>
      <w:rFonts w:asciiTheme="majorHAnsi" w:eastAsiaTheme="majorEastAsia" w:hAnsiTheme="majorHAnsi" w:cstheme="majorBidi"/>
      <w:b/>
      <w:iCs/>
      <w:kern w:val="0"/>
      <w:sz w:val="20"/>
      <w:lang w:eastAsia="es-E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C4AAA"/>
    <w:rPr>
      <w:rFonts w:asciiTheme="majorHAnsi" w:eastAsiaTheme="majorEastAsia" w:hAnsiTheme="majorHAnsi" w:cstheme="majorBidi"/>
      <w:b/>
      <w:color w:val="595959" w:themeColor="text1" w:themeTint="A6"/>
      <w:kern w:val="0"/>
      <w:sz w:val="20"/>
      <w:szCs w:val="21"/>
      <w:lang w:eastAsia="es-E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C4AAA"/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0"/>
      <w:szCs w:val="21"/>
      <w:lang w:eastAsia="es-E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C4AAA"/>
    <w:rPr>
      <w:rFonts w:asciiTheme="majorHAnsi" w:eastAsiaTheme="majorEastAsia" w:hAnsiTheme="majorHAnsi" w:cstheme="majorBidi"/>
      <w:smallCaps/>
      <w:color w:val="595959" w:themeColor="text1" w:themeTint="A6"/>
      <w:kern w:val="0"/>
      <w:sz w:val="20"/>
      <w:szCs w:val="21"/>
      <w:lang w:eastAsia="es-E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C4AAA"/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0"/>
      <w:szCs w:val="21"/>
      <w:lang w:eastAsia="es-ES"/>
      <w14:ligatures w14:val="none"/>
    </w:rPr>
  </w:style>
  <w:style w:type="paragraph" w:customStyle="1" w:styleId="CoverDoc-Title">
    <w:name w:val="Cover_Doc-Title"/>
    <w:basedOn w:val="Normal"/>
    <w:autoRedefine/>
    <w:rsid w:val="006C4AAA"/>
    <w:pPr>
      <w:framePr w:hSpace="180" w:wrap="around" w:hAnchor="margin" w:y="4400"/>
      <w:spacing w:after="0" w:line="160" w:lineRule="atLeast"/>
      <w:contextualSpacing/>
    </w:pPr>
    <w:rPr>
      <w:rFonts w:asciiTheme="majorHAnsi" w:hAnsiTheme="majorHAnsi"/>
      <w:b/>
      <w:sz w:val="48"/>
    </w:rPr>
  </w:style>
  <w:style w:type="paragraph" w:styleId="Footer">
    <w:name w:val="footer"/>
    <w:basedOn w:val="Normal"/>
    <w:link w:val="FooterChar"/>
    <w:autoRedefine/>
    <w:rsid w:val="006C4AAA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rsid w:val="006C4AAA"/>
    <w:rPr>
      <w:rFonts w:eastAsiaTheme="minorEastAsia"/>
      <w:kern w:val="0"/>
      <w:sz w:val="20"/>
      <w:szCs w:val="21"/>
      <w:lang w:eastAsia="es-ES"/>
      <w14:ligatures w14:val="none"/>
    </w:rPr>
  </w:style>
  <w:style w:type="character" w:styleId="Hyperlink">
    <w:name w:val="Hyperlink"/>
    <w:basedOn w:val="DefaultParagraphFont"/>
    <w:uiPriority w:val="99"/>
    <w:qFormat/>
    <w:rsid w:val="006C4AAA"/>
    <w:rPr>
      <w:rFonts w:asciiTheme="minorHAnsi" w:hAnsiTheme="minorHAnsi"/>
      <w:color w:val="ED7D31" w:themeColor="accent2"/>
      <w:sz w:val="22"/>
      <w:u w:val="single"/>
    </w:rPr>
  </w:style>
  <w:style w:type="paragraph" w:customStyle="1" w:styleId="HEADER-PG1-Title">
    <w:name w:val="HEADER-PG_1-Title"/>
    <w:basedOn w:val="Normal"/>
    <w:next w:val="HEADER-PG2-Subtitle"/>
    <w:autoRedefine/>
    <w:rsid w:val="006C4AAA"/>
    <w:pPr>
      <w:suppressLineNumbers/>
      <w:spacing w:after="0" w:line="250" w:lineRule="exact"/>
      <w:contextualSpacing/>
      <w:jc w:val="right"/>
    </w:pPr>
    <w:rPr>
      <w:b/>
      <w:szCs w:val="20"/>
    </w:rPr>
  </w:style>
  <w:style w:type="paragraph" w:styleId="List">
    <w:name w:val="List"/>
    <w:aliases w:val="List with numbers"/>
    <w:basedOn w:val="Normal"/>
    <w:autoRedefine/>
    <w:qFormat/>
    <w:rsid w:val="006C4AAA"/>
    <w:pPr>
      <w:numPr>
        <w:numId w:val="1"/>
      </w:numPr>
      <w:tabs>
        <w:tab w:val="num" w:pos="360"/>
      </w:tabs>
      <w:ind w:left="0" w:firstLine="0"/>
    </w:pPr>
  </w:style>
  <w:style w:type="paragraph" w:styleId="FootnoteText">
    <w:name w:val="footnote text"/>
    <w:basedOn w:val="Normal"/>
    <w:link w:val="FootnoteTextChar"/>
    <w:semiHidden/>
    <w:rsid w:val="006C4AA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4AAA"/>
    <w:rPr>
      <w:rFonts w:eastAsiaTheme="minorEastAsia"/>
      <w:kern w:val="0"/>
      <w:sz w:val="20"/>
      <w:szCs w:val="20"/>
      <w:lang w:eastAsia="es-ES"/>
      <w14:ligatures w14:val="none"/>
    </w:rPr>
  </w:style>
  <w:style w:type="character" w:customStyle="1" w:styleId="Normalsmall">
    <w:name w:val="Normal_small"/>
    <w:basedOn w:val="DefaultParagraphFont"/>
    <w:rsid w:val="006C4AAA"/>
    <w:rPr>
      <w:sz w:val="16"/>
      <w:lang w:val="ca-ES"/>
    </w:rPr>
  </w:style>
  <w:style w:type="character" w:styleId="FootnoteReference">
    <w:name w:val="footnote reference"/>
    <w:basedOn w:val="DefaultParagraphFont"/>
    <w:semiHidden/>
    <w:rsid w:val="006C4AAA"/>
    <w:rPr>
      <w:vertAlign w:val="superscript"/>
    </w:rPr>
  </w:style>
  <w:style w:type="paragraph" w:customStyle="1" w:styleId="Footer-link">
    <w:name w:val="Footer-link"/>
    <w:basedOn w:val="Normal"/>
    <w:next w:val="Normal"/>
    <w:autoRedefine/>
    <w:qFormat/>
    <w:rsid w:val="006C4AAA"/>
    <w:rPr>
      <w:color w:val="4472C4" w:themeColor="accent1"/>
      <w:lang w:val="ca-ES"/>
    </w:rPr>
  </w:style>
  <w:style w:type="character" w:customStyle="1" w:styleId="Normaltab-decimalCar">
    <w:name w:val="Normal_tab-decimal Car"/>
    <w:basedOn w:val="DefaultParagraphFont"/>
    <w:link w:val="Normaltab-decimal"/>
    <w:rsid w:val="006C4AAA"/>
    <w:rPr>
      <w:rFonts w:ascii="Arial" w:hAnsi="Arial"/>
      <w:color w:val="000000"/>
      <w:kern w:val="28"/>
    </w:rPr>
  </w:style>
  <w:style w:type="paragraph" w:customStyle="1" w:styleId="Normaltab-decimal">
    <w:name w:val="Normal_tab-decimal"/>
    <w:basedOn w:val="Normal"/>
    <w:link w:val="Normaltab-decimalCar"/>
    <w:rsid w:val="006C4AAA"/>
    <w:pPr>
      <w:tabs>
        <w:tab w:val="decimal" w:pos="7938"/>
      </w:tabs>
    </w:pPr>
    <w:rPr>
      <w:rFonts w:ascii="Arial" w:eastAsiaTheme="minorHAnsi" w:hAnsi="Arial"/>
      <w:color w:val="000000"/>
      <w:kern w:val="28"/>
      <w:sz w:val="22"/>
      <w:szCs w:val="22"/>
      <w:lang w:eastAsia="en-US"/>
      <w14:ligatures w14:val="standardContextual"/>
    </w:rPr>
  </w:style>
  <w:style w:type="paragraph" w:customStyle="1" w:styleId="IndexNum">
    <w:name w:val="Index_Num"/>
    <w:basedOn w:val="Normal"/>
    <w:link w:val="IndexNumCar"/>
    <w:rsid w:val="006C4AAA"/>
    <w:pPr>
      <w:jc w:val="right"/>
    </w:pPr>
    <w:rPr>
      <w:rFonts w:ascii="ModernStencil" w:hAnsi="ModernStencil" w:cs="Arial"/>
      <w:color w:val="5F5F5F"/>
      <w:sz w:val="76"/>
      <w:szCs w:val="76"/>
    </w:rPr>
  </w:style>
  <w:style w:type="character" w:customStyle="1" w:styleId="IndexNumCar">
    <w:name w:val="Index_Num Car"/>
    <w:basedOn w:val="DefaultParagraphFont"/>
    <w:link w:val="IndexNum"/>
    <w:rsid w:val="006C4AAA"/>
    <w:rPr>
      <w:rFonts w:ascii="ModernStencil" w:eastAsiaTheme="minorEastAsia" w:hAnsi="ModernStencil" w:cs="Arial"/>
      <w:color w:val="5F5F5F"/>
      <w:kern w:val="0"/>
      <w:sz w:val="76"/>
      <w:szCs w:val="76"/>
      <w:lang w:eastAsia="es-ES"/>
      <w14:ligatures w14:val="none"/>
    </w:rPr>
  </w:style>
  <w:style w:type="paragraph" w:customStyle="1" w:styleId="Normalposright">
    <w:name w:val="Normal_pos_right"/>
    <w:basedOn w:val="Normal"/>
    <w:link w:val="NormalposrightCar"/>
    <w:autoRedefine/>
    <w:rsid w:val="006C4AAA"/>
    <w:pPr>
      <w:jc w:val="right"/>
    </w:pPr>
  </w:style>
  <w:style w:type="character" w:customStyle="1" w:styleId="NormalposrightCar">
    <w:name w:val="Normal_pos_right Car"/>
    <w:basedOn w:val="DefaultParagraphFont"/>
    <w:link w:val="Normalposright"/>
    <w:rsid w:val="006C4AAA"/>
    <w:rPr>
      <w:rFonts w:eastAsiaTheme="minorEastAsia"/>
      <w:kern w:val="0"/>
      <w:sz w:val="20"/>
      <w:szCs w:val="21"/>
      <w:lang w:eastAsia="es-ES"/>
      <w14:ligatures w14:val="none"/>
    </w:rPr>
  </w:style>
  <w:style w:type="table" w:styleId="TableGrid">
    <w:name w:val="Table Grid"/>
    <w:basedOn w:val="TableNormal"/>
    <w:uiPriority w:val="39"/>
    <w:rsid w:val="006C4AAA"/>
    <w:pPr>
      <w:spacing w:after="120" w:line="264" w:lineRule="auto"/>
    </w:pPr>
    <w:rPr>
      <w:rFonts w:eastAsiaTheme="minorEastAsia"/>
      <w:kern w:val="0"/>
      <w:sz w:val="21"/>
      <w:szCs w:val="21"/>
      <w:lang w:val="es-ES" w:eastAsia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P95">
    <w:name w:val="Table_P95"/>
    <w:basedOn w:val="TableNormal"/>
    <w:uiPriority w:val="99"/>
    <w:qFormat/>
    <w:rsid w:val="006C4AAA"/>
    <w:pPr>
      <w:keepNext/>
      <w:keepLines/>
      <w:spacing w:after="120" w:line="264" w:lineRule="auto"/>
      <w:contextualSpacing/>
      <w:textboxTightWrap w:val="allLines"/>
    </w:pPr>
    <w:rPr>
      <w:rFonts w:eastAsiaTheme="minorEastAsia"/>
      <w:kern w:val="0"/>
      <w:sz w:val="21"/>
      <w:szCs w:val="21"/>
      <w:lang w:val="es-ES" w:eastAsia="es-ES"/>
      <w14:ligatures w14:val="none"/>
    </w:rPr>
    <w:tblPr>
      <w:tblInd w:w="284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472C4" w:themeFill="accent1"/>
      </w:tcPr>
    </w:tblStylePr>
    <w:tblStylePr w:type="firstCol">
      <w:rPr>
        <w:b w:val="0"/>
      </w:rPr>
    </w:tblStylePr>
  </w:style>
  <w:style w:type="character" w:customStyle="1" w:styleId="NormalItalics">
    <w:name w:val="Normal_Italics"/>
    <w:basedOn w:val="DefaultParagraphFont"/>
    <w:rsid w:val="006C4AAA"/>
    <w:rPr>
      <w:i/>
    </w:rPr>
  </w:style>
  <w:style w:type="paragraph" w:customStyle="1" w:styleId="Normalposcenter">
    <w:name w:val="Normal_pos_center"/>
    <w:basedOn w:val="Normal"/>
    <w:next w:val="Normal"/>
    <w:autoRedefine/>
    <w:rsid w:val="006C4AAA"/>
    <w:pPr>
      <w:jc w:val="center"/>
    </w:pPr>
  </w:style>
  <w:style w:type="character" w:customStyle="1" w:styleId="NormalSuperindex">
    <w:name w:val="Normal_Superindex"/>
    <w:basedOn w:val="DefaultParagraphFont"/>
    <w:rsid w:val="006C4AAA"/>
    <w:rPr>
      <w:vertAlign w:val="superscript"/>
    </w:rPr>
  </w:style>
  <w:style w:type="character" w:customStyle="1" w:styleId="NormalSubindex">
    <w:name w:val="Normal_Subindex"/>
    <w:basedOn w:val="DefaultParagraphFont"/>
    <w:rsid w:val="006C4AAA"/>
    <w:rPr>
      <w:vertAlign w:val="subscript"/>
    </w:rPr>
  </w:style>
  <w:style w:type="paragraph" w:styleId="Index1">
    <w:name w:val="index 1"/>
    <w:basedOn w:val="Normal"/>
    <w:next w:val="Normal"/>
    <w:semiHidden/>
    <w:rsid w:val="006C4AAA"/>
    <w:pPr>
      <w:ind w:left="220" w:hanging="220"/>
    </w:pPr>
  </w:style>
  <w:style w:type="character" w:customStyle="1" w:styleId="NormalBold">
    <w:name w:val="Normal_Bold"/>
    <w:basedOn w:val="DefaultParagraphFont"/>
    <w:rsid w:val="006C4AAA"/>
    <w:rPr>
      <w:b/>
      <w:bCs/>
      <w:lang w:val="ca-ES"/>
    </w:rPr>
  </w:style>
  <w:style w:type="table" w:customStyle="1" w:styleId="Tabla">
    <w:name w:val="Tabla"/>
    <w:basedOn w:val="TableNormal"/>
    <w:rsid w:val="006C4AAA"/>
    <w:pPr>
      <w:suppressAutoHyphens/>
      <w:spacing w:after="120" w:line="264" w:lineRule="auto"/>
    </w:pPr>
    <w:rPr>
      <w:rFonts w:ascii="Arial" w:eastAsiaTheme="minorEastAsia" w:hAnsi="Arial"/>
      <w:kern w:val="0"/>
      <w:sz w:val="21"/>
      <w:szCs w:val="21"/>
      <w:lang w:val="es-ES" w:eastAsia="es-ES"/>
      <w14:ligatures w14:val="none"/>
    </w:rPr>
    <w:tblPr>
      <w:tblInd w:w="11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vAlign w:val="bottom"/>
      </w:tcPr>
    </w:tblStylePr>
  </w:style>
  <w:style w:type="paragraph" w:styleId="DocumentMap">
    <w:name w:val="Document Map"/>
    <w:basedOn w:val="Normal"/>
    <w:link w:val="DocumentMapChar"/>
    <w:semiHidden/>
    <w:rsid w:val="006C4AA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C4AAA"/>
    <w:rPr>
      <w:rFonts w:ascii="Tahoma" w:eastAsiaTheme="minorEastAsia" w:hAnsi="Tahoma" w:cs="Tahoma"/>
      <w:kern w:val="0"/>
      <w:sz w:val="20"/>
      <w:szCs w:val="20"/>
      <w:shd w:val="clear" w:color="auto" w:fill="000080"/>
      <w:lang w:eastAsia="es-ES"/>
      <w14:ligatures w14:val="none"/>
    </w:rPr>
  </w:style>
  <w:style w:type="paragraph" w:customStyle="1" w:styleId="HEADER-PG2-Subtitle">
    <w:name w:val="HEADER-PG_2-Subtitle"/>
    <w:basedOn w:val="Normal"/>
    <w:next w:val="Normal"/>
    <w:autoRedefine/>
    <w:rsid w:val="006C4AAA"/>
    <w:pPr>
      <w:spacing w:after="0" w:line="240" w:lineRule="auto"/>
      <w:jc w:val="right"/>
    </w:pPr>
    <w:rPr>
      <w:rFonts w:asciiTheme="majorHAnsi" w:hAnsiTheme="majorHAnsi"/>
      <w:szCs w:val="20"/>
    </w:rPr>
  </w:style>
  <w:style w:type="paragraph" w:customStyle="1" w:styleId="Bulletedlist">
    <w:name w:val="Bulleted list"/>
    <w:basedOn w:val="Normal"/>
    <w:autoRedefine/>
    <w:qFormat/>
    <w:locked/>
    <w:rsid w:val="006C4AAA"/>
    <w:pPr>
      <w:numPr>
        <w:numId w:val="2"/>
      </w:numPr>
      <w:spacing w:before="160"/>
    </w:pPr>
  </w:style>
  <w:style w:type="table" w:customStyle="1" w:styleId="Tablewithoutlines">
    <w:name w:val="Table without lines"/>
    <w:basedOn w:val="TableNormal"/>
    <w:rsid w:val="006C4AAA"/>
    <w:pPr>
      <w:spacing w:after="120" w:line="264" w:lineRule="auto"/>
      <w:contextualSpacing/>
    </w:pPr>
    <w:rPr>
      <w:rFonts w:asciiTheme="majorHAnsi" w:eastAsiaTheme="minorEastAsia" w:hAnsiTheme="majorHAnsi"/>
      <w:kern w:val="0"/>
      <w:sz w:val="21"/>
      <w:szCs w:val="21"/>
      <w:lang w:val="es-ES" w:eastAsia="es-ES"/>
      <w14:ligatures w14:val="none"/>
    </w:rPr>
    <w:tblPr>
      <w:tblInd w:w="284" w:type="dxa"/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</w:rPr>
    </w:tblStylePr>
  </w:style>
  <w:style w:type="paragraph" w:customStyle="1" w:styleId="Footnote">
    <w:name w:val="Footnote"/>
    <w:basedOn w:val="FootnoteText"/>
    <w:autoRedefine/>
    <w:rsid w:val="006C4AAA"/>
  </w:style>
  <w:style w:type="paragraph" w:styleId="BalloonText">
    <w:name w:val="Balloon Text"/>
    <w:basedOn w:val="Normal"/>
    <w:link w:val="BalloonTextChar"/>
    <w:autoRedefine/>
    <w:rsid w:val="006C4AA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AAA"/>
    <w:rPr>
      <w:rFonts w:eastAsiaTheme="minorEastAsia" w:cs="Tahoma"/>
      <w:kern w:val="0"/>
      <w:sz w:val="16"/>
      <w:szCs w:val="16"/>
      <w:lang w:eastAsia="es-ES"/>
      <w14:ligatures w14:val="none"/>
    </w:rPr>
  </w:style>
  <w:style w:type="paragraph" w:customStyle="1" w:styleId="Coverversiondate">
    <w:name w:val="Cover_version+date"/>
    <w:basedOn w:val="Normal"/>
    <w:autoRedefine/>
    <w:qFormat/>
    <w:rsid w:val="006C4AAA"/>
    <w:pPr>
      <w:keepNext/>
      <w:keepLines/>
      <w:tabs>
        <w:tab w:val="center" w:pos="4252"/>
        <w:tab w:val="right" w:pos="8504"/>
      </w:tabs>
      <w:spacing w:before="100" w:beforeAutospacing="1" w:after="100" w:afterAutospacing="1" w:line="120" w:lineRule="atLeast"/>
      <w:contextualSpacing/>
      <w:jc w:val="both"/>
    </w:pPr>
    <w:rPr>
      <w:color w:val="7F7F7F" w:themeColor="text1" w:themeTint="80"/>
      <w:sz w:val="18"/>
      <w:szCs w:val="28"/>
    </w:rPr>
  </w:style>
  <w:style w:type="paragraph" w:customStyle="1" w:styleId="CoverSubtitle">
    <w:name w:val="Cover_Subtitle"/>
    <w:basedOn w:val="Normal"/>
    <w:autoRedefine/>
    <w:qFormat/>
    <w:rsid w:val="006C4AAA"/>
    <w:pPr>
      <w:tabs>
        <w:tab w:val="center" w:pos="4252"/>
        <w:tab w:val="right" w:pos="8504"/>
      </w:tabs>
      <w:spacing w:after="0" w:line="160" w:lineRule="atLeast"/>
    </w:pPr>
    <w:rPr>
      <w:rFonts w:asciiTheme="majorHAnsi" w:hAnsiTheme="majorHAnsi"/>
      <w:sz w:val="40"/>
      <w:szCs w:val="28"/>
    </w:rPr>
  </w:style>
  <w:style w:type="paragraph" w:styleId="Header">
    <w:name w:val="header"/>
    <w:basedOn w:val="Normal"/>
    <w:link w:val="HeaderChar"/>
    <w:unhideWhenUsed/>
    <w:rsid w:val="006C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4AAA"/>
    <w:rPr>
      <w:rFonts w:eastAsiaTheme="minorEastAsia"/>
      <w:kern w:val="0"/>
      <w:sz w:val="20"/>
      <w:szCs w:val="21"/>
      <w:lang w:eastAsia="es-ES"/>
      <w14:ligatures w14:val="none"/>
    </w:rPr>
  </w:style>
  <w:style w:type="paragraph" w:styleId="NoSpacing">
    <w:name w:val="No Spacing"/>
    <w:link w:val="NoSpacingChar"/>
    <w:autoRedefine/>
    <w:uiPriority w:val="1"/>
    <w:qFormat/>
    <w:rsid w:val="006C4AAA"/>
    <w:pPr>
      <w:spacing w:after="0" w:line="240" w:lineRule="auto"/>
    </w:pPr>
    <w:rPr>
      <w:rFonts w:eastAsiaTheme="minorEastAsia"/>
      <w:kern w:val="0"/>
      <w:sz w:val="21"/>
      <w:szCs w:val="21"/>
      <w:lang w:val="es-ES" w:eastAsia="es-E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C4AAA"/>
    <w:rPr>
      <w:rFonts w:eastAsiaTheme="minorEastAsia"/>
      <w:kern w:val="0"/>
      <w:sz w:val="21"/>
      <w:szCs w:val="21"/>
      <w:lang w:val="es-ES" w:eastAsia="es-ES"/>
      <w14:ligatures w14:val="none"/>
    </w:rPr>
  </w:style>
  <w:style w:type="table" w:styleId="TableGridLight">
    <w:name w:val="Grid Table Light"/>
    <w:basedOn w:val="TableNormal"/>
    <w:uiPriority w:val="40"/>
    <w:rsid w:val="006C4AAA"/>
    <w:pPr>
      <w:spacing w:after="120" w:line="264" w:lineRule="auto"/>
    </w:pPr>
    <w:rPr>
      <w:rFonts w:eastAsiaTheme="minorEastAsia"/>
      <w:kern w:val="0"/>
      <w:sz w:val="21"/>
      <w:szCs w:val="21"/>
      <w:lang w:val="es-ES" w:eastAsia="es-E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6C4AAA"/>
    <w:rPr>
      <w:color w:val="808080"/>
    </w:rPr>
  </w:style>
  <w:style w:type="paragraph" w:customStyle="1" w:styleId="Coverlegal">
    <w:name w:val="Cover_legal"/>
    <w:basedOn w:val="Coverversiondate"/>
    <w:autoRedefine/>
    <w:rsid w:val="006C4AAA"/>
    <w:pPr>
      <w:framePr w:wrap="around" w:vAnchor="page" w:hAnchor="page" w:x="630" w:y="13450"/>
      <w:spacing w:before="0" w:beforeAutospacing="0"/>
      <w:jc w:val="center"/>
    </w:pPr>
    <w:rPr>
      <w:sz w:val="13"/>
    </w:rPr>
  </w:style>
  <w:style w:type="character" w:customStyle="1" w:styleId="Notes">
    <w:name w:val="Notes"/>
    <w:basedOn w:val="DefaultParagraphFont"/>
    <w:uiPriority w:val="1"/>
    <w:qFormat/>
    <w:rsid w:val="006C4AAA"/>
    <w:rPr>
      <w:color w:val="7B7B7B" w:themeColor="accent3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6C4AAA"/>
    <w:pPr>
      <w:outlineLvl w:val="9"/>
    </w:pPr>
  </w:style>
  <w:style w:type="paragraph" w:styleId="TOC1">
    <w:name w:val="toc 1"/>
    <w:basedOn w:val="Normal"/>
    <w:next w:val="Normal"/>
    <w:autoRedefine/>
    <w:uiPriority w:val="1"/>
    <w:unhideWhenUsed/>
    <w:qFormat/>
    <w:rsid w:val="006C4AAA"/>
    <w:pPr>
      <w:spacing w:after="100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6C4AA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1"/>
    <w:unhideWhenUsed/>
    <w:qFormat/>
    <w:rsid w:val="006C4AA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6C4AAA"/>
    <w:pPr>
      <w:keepNext/>
      <w:spacing w:after="0" w:line="240" w:lineRule="auto"/>
    </w:pPr>
    <w:rPr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C4A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C4AAA"/>
    <w:rPr>
      <w:rFonts w:asciiTheme="majorHAnsi" w:eastAsiaTheme="majorEastAsia" w:hAnsiTheme="majorHAnsi" w:cstheme="majorBidi"/>
      <w:color w:val="2F5496" w:themeColor="accent1" w:themeShade="BF"/>
      <w:spacing w:val="-7"/>
      <w:kern w:val="0"/>
      <w:sz w:val="80"/>
      <w:szCs w:val="80"/>
      <w:lang w:eastAsia="es-ES"/>
      <w14:ligatures w14:val="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C4A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C4AAA"/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6C4AAA"/>
    <w:rPr>
      <w:b/>
      <w:bCs/>
    </w:rPr>
  </w:style>
  <w:style w:type="character" w:styleId="Emphasis">
    <w:name w:val="Emphasis"/>
    <w:basedOn w:val="DefaultParagraphFont"/>
    <w:uiPriority w:val="20"/>
    <w:qFormat/>
    <w:rsid w:val="006C4A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C4A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4AAA"/>
    <w:rPr>
      <w:rFonts w:eastAsiaTheme="minorEastAsia"/>
      <w:i/>
      <w:iCs/>
      <w:kern w:val="0"/>
      <w:sz w:val="20"/>
      <w:szCs w:val="21"/>
      <w:lang w:eastAsia="es-E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A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AAA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:lang w:eastAsia="es-E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6C4A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4A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4A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C4A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C4AAA"/>
    <w:rPr>
      <w:b/>
      <w:bCs/>
      <w:smallCaps/>
    </w:rPr>
  </w:style>
  <w:style w:type="paragraph" w:customStyle="1" w:styleId="Coverfooter">
    <w:name w:val="Cover_footer"/>
    <w:basedOn w:val="Normal"/>
    <w:autoRedefine/>
    <w:rsid w:val="006C4AAA"/>
    <w:pPr>
      <w:keepNext/>
      <w:keepLines/>
      <w:framePr w:wrap="around" w:vAnchor="page" w:hAnchor="page" w:x="630" w:y="13450"/>
      <w:tabs>
        <w:tab w:val="center" w:pos="4252"/>
        <w:tab w:val="right" w:pos="8504"/>
      </w:tabs>
      <w:spacing w:after="100" w:afterAutospacing="1" w:line="160" w:lineRule="atLeast"/>
      <w:contextualSpacing/>
      <w:jc w:val="center"/>
    </w:pPr>
    <w:rPr>
      <w:rFonts w:eastAsia="Times New Roman" w:cs="Times New Roman"/>
      <w:color w:val="7F7F7F" w:themeColor="text1" w:themeTint="80"/>
      <w:sz w:val="1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6C4AAA"/>
    <w:pPr>
      <w:ind w:left="720"/>
      <w:contextualSpacing/>
    </w:pPr>
  </w:style>
  <w:style w:type="table" w:customStyle="1" w:styleId="TablaP951">
    <w:name w:val="Tabla_P951"/>
    <w:basedOn w:val="TableNormal"/>
    <w:uiPriority w:val="99"/>
    <w:qFormat/>
    <w:rsid w:val="006C4AAA"/>
    <w:pPr>
      <w:keepNext/>
      <w:keepLines/>
      <w:spacing w:after="120" w:line="264" w:lineRule="auto"/>
      <w:contextualSpacing/>
      <w:jc w:val="center"/>
      <w:textboxTightWrap w:val="allLines"/>
    </w:pPr>
    <w:rPr>
      <w:rFonts w:eastAsiaTheme="minorEastAsia"/>
      <w:kern w:val="0"/>
      <w:sz w:val="21"/>
      <w:szCs w:val="21"/>
      <w:lang w:val="es-ES" w:eastAsia="es-ES"/>
      <w14:ligatures w14:val="none"/>
    </w:rPr>
    <w:tblPr>
      <w:tblInd w:w="284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7171" w:themeFill="background2" w:themeFillShade="80"/>
      </w:tcPr>
    </w:tblStylePr>
    <w:tblStylePr w:type="firstCol">
      <w:rPr>
        <w:b w:val="0"/>
      </w:rPr>
    </w:tblStylePr>
  </w:style>
  <w:style w:type="table" w:customStyle="1" w:styleId="Tablasincudrcula1">
    <w:name w:val="Tabla sin cudrícula1"/>
    <w:basedOn w:val="TableNormal"/>
    <w:rsid w:val="006C4AAA"/>
    <w:pPr>
      <w:spacing w:after="120" w:line="264" w:lineRule="auto"/>
      <w:contextualSpacing/>
    </w:pPr>
    <w:rPr>
      <w:rFonts w:asciiTheme="majorHAnsi" w:eastAsiaTheme="minorEastAsia" w:hAnsiTheme="majorHAnsi"/>
      <w:kern w:val="0"/>
      <w:sz w:val="21"/>
      <w:szCs w:val="21"/>
      <w:lang w:val="es-ES" w:eastAsia="es-ES"/>
      <w14:ligatures w14:val="none"/>
    </w:rPr>
    <w:tblPr>
      <w:tblInd w:w="284" w:type="dxa"/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</w:rPr>
    </w:tblStylePr>
  </w:style>
  <w:style w:type="table" w:styleId="PlainTable2">
    <w:name w:val="Plain Table 2"/>
    <w:basedOn w:val="TableNormal"/>
    <w:uiPriority w:val="42"/>
    <w:rsid w:val="006C4AAA"/>
    <w:pPr>
      <w:spacing w:after="0" w:line="240" w:lineRule="auto"/>
    </w:pPr>
    <w:rPr>
      <w:rFonts w:eastAsiaTheme="minorEastAsia"/>
      <w:kern w:val="0"/>
      <w:sz w:val="21"/>
      <w:szCs w:val="21"/>
      <w:lang w:val="es-ES" w:eastAsia="es-E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2P95">
    <w:name w:val="Table2_P95"/>
    <w:basedOn w:val="TableP95"/>
    <w:uiPriority w:val="99"/>
    <w:rsid w:val="006C4AAA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none" w:sz="0" w:space="0" w:color="auto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000000" w:themeColor="text1"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</w:rPr>
    </w:tblStylePr>
  </w:style>
  <w:style w:type="paragraph" w:customStyle="1" w:styleId="H1wnum">
    <w:name w:val="H1 w/num"/>
    <w:basedOn w:val="Heading1"/>
    <w:next w:val="Normal"/>
    <w:autoRedefine/>
    <w:qFormat/>
    <w:rsid w:val="00720467"/>
    <w:pPr>
      <w:numPr>
        <w:numId w:val="0"/>
      </w:numPr>
    </w:pPr>
  </w:style>
  <w:style w:type="paragraph" w:customStyle="1" w:styleId="H2wnum">
    <w:name w:val="H2 w/num"/>
    <w:basedOn w:val="Heading2"/>
    <w:next w:val="Normal"/>
    <w:autoRedefine/>
    <w:qFormat/>
    <w:rsid w:val="006C4AAA"/>
    <w:rPr>
      <w:rFonts w:ascii="Verdana" w:hAnsi="Verdana"/>
    </w:rPr>
  </w:style>
  <w:style w:type="paragraph" w:customStyle="1" w:styleId="H3wnum">
    <w:name w:val="H3 w/num"/>
    <w:basedOn w:val="Heading3"/>
    <w:autoRedefine/>
    <w:qFormat/>
    <w:rsid w:val="006C4AAA"/>
    <w:pPr>
      <w:numPr>
        <w:ilvl w:val="0"/>
        <w:numId w:val="0"/>
      </w:numPr>
    </w:pPr>
  </w:style>
  <w:style w:type="paragraph" w:customStyle="1" w:styleId="H4wnum">
    <w:name w:val="H4 w/num"/>
    <w:basedOn w:val="Heading4"/>
    <w:next w:val="Normal"/>
    <w:autoRedefine/>
    <w:qFormat/>
    <w:rsid w:val="00DC7F2B"/>
    <w:pPr>
      <w:pageBreakBefore/>
      <w:numPr>
        <w:ilvl w:val="0"/>
        <w:numId w:val="0"/>
      </w:numPr>
    </w:pPr>
    <w:rPr>
      <w:rFonts w:ascii="Arial" w:eastAsia="TimesNewRoman" w:hAnsi="Arial" w:cs="Arial"/>
      <w:sz w:val="20"/>
      <w:szCs w:val="20"/>
    </w:rPr>
  </w:style>
  <w:style w:type="paragraph" w:customStyle="1" w:styleId="H5wnum">
    <w:name w:val="H5 w/num"/>
    <w:basedOn w:val="Heading5"/>
    <w:next w:val="Normal"/>
    <w:autoRedefine/>
    <w:qFormat/>
    <w:rsid w:val="006C4AAA"/>
    <w:pPr>
      <w:numPr>
        <w:ilvl w:val="0"/>
        <w:numId w:val="0"/>
      </w:numPr>
      <w:spacing w:after="0"/>
    </w:pPr>
    <w:rPr>
      <w:lang w:val="en-US"/>
    </w:rPr>
  </w:style>
  <w:style w:type="paragraph" w:customStyle="1" w:styleId="H6wnum">
    <w:name w:val="H6 w/num"/>
    <w:basedOn w:val="Heading6"/>
    <w:next w:val="Normal"/>
    <w:qFormat/>
    <w:rsid w:val="006C4AAA"/>
    <w:pPr>
      <w:numPr>
        <w:ilvl w:val="0"/>
        <w:numId w:val="0"/>
      </w:numPr>
    </w:pPr>
  </w:style>
  <w:style w:type="character" w:styleId="CommentReference">
    <w:name w:val="annotation reference"/>
    <w:basedOn w:val="DefaultParagraphFont"/>
    <w:semiHidden/>
    <w:unhideWhenUsed/>
    <w:rsid w:val="006C4A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4A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C4AAA"/>
    <w:rPr>
      <w:rFonts w:eastAsiaTheme="minorEastAsia"/>
      <w:kern w:val="0"/>
      <w:sz w:val="20"/>
      <w:szCs w:val="20"/>
      <w:lang w:eastAsia="es-E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4AAA"/>
    <w:rPr>
      <w:rFonts w:eastAsiaTheme="minorEastAsia"/>
      <w:b/>
      <w:bCs/>
      <w:kern w:val="0"/>
      <w:sz w:val="20"/>
      <w:szCs w:val="20"/>
      <w:lang w:eastAsia="es-ES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6C4A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A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6C4AAA"/>
    <w:pPr>
      <w:spacing w:after="0"/>
    </w:pPr>
  </w:style>
  <w:style w:type="paragraph" w:customStyle="1" w:styleId="EndNoteBibliographyTitle">
    <w:name w:val="EndNote Bibliography Title"/>
    <w:basedOn w:val="Normal"/>
    <w:link w:val="EndNoteBibliographyTitleChar"/>
    <w:rsid w:val="006C4AAA"/>
    <w:pPr>
      <w:spacing w:after="0"/>
      <w:jc w:val="center"/>
    </w:pPr>
    <w:rPr>
      <w:rFonts w:ascii="Verdana" w:hAnsi="Verdana"/>
      <w:noProof/>
      <w:sz w:val="22"/>
      <w:lang w:val="es-E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4AAA"/>
    <w:rPr>
      <w:rFonts w:ascii="Verdana" w:eastAsiaTheme="minorEastAsia" w:hAnsi="Verdana"/>
      <w:noProof/>
      <w:kern w:val="0"/>
      <w:szCs w:val="21"/>
      <w:lang w:val="es-ES" w:eastAsia="es-E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6C4AAA"/>
    <w:pPr>
      <w:spacing w:line="240" w:lineRule="auto"/>
    </w:pPr>
    <w:rPr>
      <w:rFonts w:ascii="Verdana" w:hAnsi="Verdana"/>
      <w:noProof/>
      <w:sz w:val="22"/>
      <w:lang w:val="es-ES"/>
    </w:rPr>
  </w:style>
  <w:style w:type="character" w:customStyle="1" w:styleId="EndNoteBibliographyChar">
    <w:name w:val="EndNote Bibliography Char"/>
    <w:basedOn w:val="DefaultParagraphFont"/>
    <w:link w:val="EndNoteBibliography"/>
    <w:rsid w:val="006C4AAA"/>
    <w:rPr>
      <w:rFonts w:ascii="Verdana" w:eastAsiaTheme="minorEastAsia" w:hAnsi="Verdana"/>
      <w:noProof/>
      <w:kern w:val="0"/>
      <w:szCs w:val="21"/>
      <w:lang w:val="es-ES" w:eastAsia="es-ES"/>
      <w14:ligatures w14:val="none"/>
    </w:rPr>
  </w:style>
  <w:style w:type="paragraph" w:styleId="Revision">
    <w:name w:val="Revision"/>
    <w:hidden/>
    <w:uiPriority w:val="99"/>
    <w:semiHidden/>
    <w:rsid w:val="006C4AAA"/>
    <w:pPr>
      <w:spacing w:after="0" w:line="240" w:lineRule="auto"/>
    </w:pPr>
    <w:rPr>
      <w:rFonts w:eastAsiaTheme="minorEastAsia"/>
      <w:kern w:val="0"/>
      <w:szCs w:val="21"/>
      <w:lang w:eastAsia="es-E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C4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C4AA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C4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eastAsia="en-US"/>
    </w:rPr>
  </w:style>
  <w:style w:type="character" w:customStyle="1" w:styleId="cf01">
    <w:name w:val="cf01"/>
    <w:basedOn w:val="DefaultParagraphFont"/>
    <w:rsid w:val="006C4AAA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semiHidden/>
    <w:unhideWhenUsed/>
    <w:rsid w:val="006C4AAA"/>
  </w:style>
  <w:style w:type="paragraph" w:customStyle="1" w:styleId="pf0">
    <w:name w:val="pf0"/>
    <w:basedOn w:val="Normal"/>
    <w:rsid w:val="006C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21">
    <w:name w:val="cf21"/>
    <w:basedOn w:val="DefaultParagraphFont"/>
    <w:rsid w:val="006C4AAA"/>
    <w:rPr>
      <w:rFonts w:ascii="Segoe UI" w:hAnsi="Segoe UI" w:cs="Segoe UI" w:hint="default"/>
      <w:sz w:val="18"/>
      <w:szCs w:val="18"/>
    </w:rPr>
  </w:style>
  <w:style w:type="paragraph" w:customStyle="1" w:styleId="TFFootnote">
    <w:name w:val="TF Footnote"/>
    <w:basedOn w:val="Normal"/>
    <w:qFormat/>
    <w:rsid w:val="00141100"/>
    <w:pPr>
      <w:spacing w:before="120" w:after="120" w:line="360" w:lineRule="auto"/>
    </w:pPr>
    <w:rPr>
      <w:rFonts w:ascii="Arial" w:eastAsia="Times New Roman" w:hAnsi="Arial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4047e-4355-484a-8650-d1e8562b2a2a" xsi:nil="true"/>
    <lcf76f155ced4ddcb4097134ff3c332f xmlns="2f84697c-8c79-4a9d-9d5f-a35f0e484c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B955BC92BC946B462D1E2002EDF29" ma:contentTypeVersion="15" ma:contentTypeDescription="Create a new document." ma:contentTypeScope="" ma:versionID="3ccf68aceaee0a3a01cdc2f30ecf0fcb">
  <xsd:schema xmlns:xsd="http://www.w3.org/2001/XMLSchema" xmlns:xs="http://www.w3.org/2001/XMLSchema" xmlns:p="http://schemas.microsoft.com/office/2006/metadata/properties" xmlns:ns2="2f84697c-8c79-4a9d-9d5f-a35f0e484c33" xmlns:ns3="8574047e-4355-484a-8650-d1e8562b2a2a" targetNamespace="http://schemas.microsoft.com/office/2006/metadata/properties" ma:root="true" ma:fieldsID="9f145b31fe5ea7191fa29015a10bdd3a" ns2:_="" ns3:_="">
    <xsd:import namespace="2f84697c-8c79-4a9d-9d5f-a35f0e484c33"/>
    <xsd:import namespace="8574047e-4355-484a-8650-d1e8562b2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697c-8c79-4a9d-9d5f-a35f0e484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e8c867-016e-4e7e-ac72-082d690dc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4047e-4355-484a-8650-d1e8562b2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2e2aa2-4a73-44d1-8442-803299cdb16f}" ma:internalName="TaxCatchAll" ma:showField="CatchAllData" ma:web="8574047e-4355-484a-8650-d1e8562b2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748E0-A1FB-4577-80FE-5BC4E6F2EBE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8574047e-4355-484a-8650-d1e8562b2a2a"/>
    <ds:schemaRef ds:uri="http://schemas.microsoft.com/office/infopath/2007/PartnerControls"/>
    <ds:schemaRef ds:uri="2f84697c-8c79-4a9d-9d5f-a35f0e484c3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66B7D2-3B85-4A0F-B769-81F63FBA0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CB6EC-3C93-448B-8BF3-F93EFB3C4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4697c-8c79-4a9d-9d5f-a35f0e484c33"/>
    <ds:schemaRef ds:uri="8574047e-4355-484a-8650-d1e8562b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2830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Bray</dc:creator>
  <cp:keywords/>
  <dc:description/>
  <cp:lastModifiedBy>Eloquent</cp:lastModifiedBy>
  <cp:revision>11</cp:revision>
  <dcterms:created xsi:type="dcterms:W3CDTF">2024-05-23T12:57:00Z</dcterms:created>
  <dcterms:modified xsi:type="dcterms:W3CDTF">2024-10-23T15:09:00Z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0x010100CADB955BC92BC946B462D1E2002EDF29</vt:lpwstr>
  </property>
  <property fmtid="{D5CDD505-2E9C-101B-9397-08002B2CF9AE}" pid="3" name="Order">
    <vt:r8>9593400</vt:r8>
  </property>
  <property fmtid="{D5CDD505-2E9C-101B-9397-08002B2CF9AE}" pid="4" name="GrammarlyDocumentId">
    <vt:lpwstr>7c22bd7bde92dbc127a39e26b5810bff4c365edd0475421207ec6ea3aefbf949</vt:lpwstr>
  </property>
  <property fmtid="{D5CDD505-2E9C-101B-9397-08002B2CF9AE}" pid="5" name="MediaServiceImageTags">
    <vt:lpwstr/>
  </property>
</Properties>
</file>