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EE4" w:rsidRPr="00332EE4" w:rsidRDefault="00332EE4" w:rsidP="00332EE4">
      <w:pPr>
        <w:rPr>
          <w:rFonts w:ascii="Arial" w:hAnsi="Arial" w:cs="Arial"/>
          <w:b/>
          <w:bCs/>
          <w:sz w:val="28"/>
          <w:szCs w:val="28"/>
        </w:rPr>
      </w:pPr>
      <w:r w:rsidRPr="00332EE4">
        <w:rPr>
          <w:rFonts w:ascii="Arial" w:hAnsi="Arial" w:cs="Arial"/>
          <w:b/>
          <w:bCs/>
          <w:sz w:val="28"/>
          <w:szCs w:val="28"/>
        </w:rPr>
        <w:t>Epidemiology and Infection</w:t>
      </w:r>
    </w:p>
    <w:p w:rsidR="00332EE4" w:rsidRDefault="00332EE4" w:rsidP="00332EE4">
      <w:pPr>
        <w:rPr>
          <w:rFonts w:ascii="Arial" w:hAnsi="Arial" w:cs="Arial"/>
          <w:b/>
          <w:bCs/>
          <w:sz w:val="28"/>
          <w:szCs w:val="28"/>
        </w:rPr>
      </w:pPr>
    </w:p>
    <w:p w:rsidR="00332EE4" w:rsidRPr="00332EE4" w:rsidRDefault="00332EE4" w:rsidP="00332EE4">
      <w:pPr>
        <w:rPr>
          <w:rFonts w:ascii="Arial" w:hAnsi="Arial" w:cs="Arial"/>
          <w:b/>
          <w:bCs/>
          <w:sz w:val="28"/>
          <w:szCs w:val="28"/>
        </w:rPr>
      </w:pPr>
    </w:p>
    <w:p w:rsidR="00332EE4" w:rsidRPr="00332EE4" w:rsidRDefault="00332EE4" w:rsidP="00332EE4">
      <w:pPr>
        <w:rPr>
          <w:rFonts w:ascii="Arial" w:hAnsi="Arial" w:cs="Arial"/>
          <w:b/>
          <w:bCs/>
          <w:sz w:val="28"/>
          <w:szCs w:val="28"/>
        </w:rPr>
      </w:pPr>
      <w:r w:rsidRPr="00332EE4">
        <w:rPr>
          <w:rFonts w:ascii="Arial" w:hAnsi="Arial" w:cs="Arial"/>
          <w:b/>
          <w:bCs/>
          <w:sz w:val="28"/>
          <w:szCs w:val="28"/>
        </w:rPr>
        <w:t>Prospective study of peripartum Group B Streptococcus colonization in Japanese mothers and neonates</w:t>
      </w:r>
    </w:p>
    <w:p w:rsidR="00332EE4" w:rsidRPr="00332EE4" w:rsidRDefault="00332EE4" w:rsidP="00332EE4">
      <w:pPr>
        <w:rPr>
          <w:rFonts w:ascii="Arial" w:hAnsi="Arial" w:cs="Arial"/>
        </w:rPr>
      </w:pPr>
    </w:p>
    <w:p w:rsidR="00332EE4" w:rsidRPr="003405B7" w:rsidRDefault="00332EE4" w:rsidP="00332EE4">
      <w:pPr>
        <w:rPr>
          <w:rFonts w:ascii="Arial" w:hAnsi="Arial" w:cs="Arial"/>
          <w:szCs w:val="21"/>
        </w:rPr>
      </w:pPr>
      <w:r w:rsidRPr="003405B7">
        <w:rPr>
          <w:rFonts w:ascii="Arial" w:hAnsi="Arial" w:cs="Arial"/>
          <w:szCs w:val="21"/>
        </w:rPr>
        <w:t>Emiko Yoshida</w:t>
      </w:r>
      <w:r w:rsidRPr="003405B7">
        <w:rPr>
          <w:rFonts w:ascii="Arial" w:hAnsi="Arial" w:cs="Arial"/>
          <w:szCs w:val="21"/>
          <w:vertAlign w:val="superscript"/>
        </w:rPr>
        <w:t>1,2</w:t>
      </w:r>
      <w:r w:rsidRPr="003405B7">
        <w:rPr>
          <w:rFonts w:ascii="Arial" w:hAnsi="Arial" w:cs="Arial"/>
          <w:szCs w:val="21"/>
        </w:rPr>
        <w:t>, Jun Takeda</w:t>
      </w:r>
      <w:r w:rsidRPr="003405B7">
        <w:rPr>
          <w:rFonts w:ascii="Arial" w:hAnsi="Arial" w:cs="Arial"/>
          <w:szCs w:val="21"/>
          <w:vertAlign w:val="superscript"/>
        </w:rPr>
        <w:t>1</w:t>
      </w:r>
      <w:r w:rsidRPr="003405B7">
        <w:rPr>
          <w:rFonts w:ascii="Arial" w:hAnsi="Arial" w:cs="Arial"/>
          <w:szCs w:val="21"/>
        </w:rPr>
        <w:t xml:space="preserve">, </w:t>
      </w:r>
      <w:proofErr w:type="spellStart"/>
      <w:r w:rsidRPr="003405B7">
        <w:rPr>
          <w:rFonts w:ascii="Arial" w:hAnsi="Arial" w:cs="Arial"/>
          <w:szCs w:val="21"/>
        </w:rPr>
        <w:t>Yojiro</w:t>
      </w:r>
      <w:proofErr w:type="spellEnd"/>
      <w:r w:rsidRPr="003405B7">
        <w:rPr>
          <w:rFonts w:ascii="Arial" w:hAnsi="Arial" w:cs="Arial"/>
          <w:szCs w:val="21"/>
        </w:rPr>
        <w:t xml:space="preserve"> Maruyama</w:t>
      </w:r>
      <w:r w:rsidRPr="003405B7">
        <w:rPr>
          <w:rFonts w:ascii="Arial" w:hAnsi="Arial" w:cs="Arial"/>
          <w:szCs w:val="21"/>
          <w:vertAlign w:val="superscript"/>
        </w:rPr>
        <w:t>3</w:t>
      </w:r>
      <w:r w:rsidRPr="003405B7">
        <w:rPr>
          <w:rFonts w:ascii="Arial" w:hAnsi="Arial" w:cs="Arial"/>
          <w:szCs w:val="21"/>
        </w:rPr>
        <w:t>, Naoko Suga</w:t>
      </w:r>
      <w:r w:rsidRPr="003405B7">
        <w:rPr>
          <w:rFonts w:ascii="Arial" w:hAnsi="Arial" w:cs="Arial"/>
          <w:szCs w:val="21"/>
          <w:vertAlign w:val="superscript"/>
        </w:rPr>
        <w:t>4</w:t>
      </w:r>
      <w:r w:rsidRPr="003405B7">
        <w:rPr>
          <w:rFonts w:ascii="Arial" w:hAnsi="Arial" w:cs="Arial"/>
          <w:szCs w:val="21"/>
        </w:rPr>
        <w:t>, Satoru Takeda</w:t>
      </w:r>
      <w:r w:rsidRPr="003405B7">
        <w:rPr>
          <w:rFonts w:ascii="Arial" w:hAnsi="Arial" w:cs="Arial"/>
          <w:szCs w:val="21"/>
          <w:vertAlign w:val="superscript"/>
        </w:rPr>
        <w:t>1,5</w:t>
      </w:r>
      <w:r w:rsidRPr="003405B7">
        <w:rPr>
          <w:rFonts w:ascii="Arial" w:hAnsi="Arial" w:cs="Arial"/>
          <w:szCs w:val="21"/>
        </w:rPr>
        <w:t>, Hajime Arai</w:t>
      </w:r>
      <w:r w:rsidRPr="003405B7">
        <w:rPr>
          <w:rFonts w:ascii="Arial" w:hAnsi="Arial" w:cs="Arial"/>
          <w:szCs w:val="21"/>
          <w:vertAlign w:val="superscript"/>
        </w:rPr>
        <w:t>6</w:t>
      </w:r>
      <w:r w:rsidRPr="003405B7">
        <w:rPr>
          <w:rFonts w:ascii="Arial" w:hAnsi="Arial" w:cs="Arial"/>
          <w:szCs w:val="21"/>
        </w:rPr>
        <w:t xml:space="preserve">, </w:t>
      </w:r>
      <w:proofErr w:type="spellStart"/>
      <w:r w:rsidRPr="003405B7">
        <w:rPr>
          <w:rFonts w:ascii="Arial" w:hAnsi="Arial" w:cs="Arial"/>
          <w:szCs w:val="21"/>
        </w:rPr>
        <w:t>Atsuo</w:t>
      </w:r>
      <w:proofErr w:type="spellEnd"/>
      <w:r w:rsidRPr="003405B7">
        <w:rPr>
          <w:rFonts w:ascii="Arial" w:hAnsi="Arial" w:cs="Arial"/>
          <w:szCs w:val="21"/>
        </w:rPr>
        <w:t xml:space="preserve"> Itakura</w:t>
      </w:r>
      <w:r w:rsidRPr="003405B7">
        <w:rPr>
          <w:rFonts w:ascii="Arial" w:hAnsi="Arial" w:cs="Arial"/>
          <w:szCs w:val="21"/>
          <w:vertAlign w:val="superscript"/>
        </w:rPr>
        <w:t>1</w:t>
      </w:r>
      <w:r w:rsidRPr="003405B7">
        <w:rPr>
          <w:rFonts w:ascii="Arial" w:hAnsi="Arial" w:cs="Arial"/>
          <w:szCs w:val="21"/>
        </w:rPr>
        <w:t xml:space="preserve">, </w:t>
      </w:r>
      <w:proofErr w:type="spellStart"/>
      <w:r w:rsidRPr="003405B7">
        <w:rPr>
          <w:rFonts w:ascii="Arial" w:hAnsi="Arial" w:cs="Arial"/>
          <w:szCs w:val="21"/>
        </w:rPr>
        <w:t>Shintaro</w:t>
      </w:r>
      <w:proofErr w:type="spellEnd"/>
      <w:r w:rsidRPr="003405B7">
        <w:rPr>
          <w:rFonts w:ascii="Arial" w:hAnsi="Arial" w:cs="Arial"/>
          <w:szCs w:val="21"/>
        </w:rPr>
        <w:t xml:space="preserve"> Makino4*</w:t>
      </w:r>
    </w:p>
    <w:p w:rsidR="00332EE4" w:rsidRPr="003405B7" w:rsidRDefault="00332EE4" w:rsidP="00332EE4">
      <w:pPr>
        <w:rPr>
          <w:rFonts w:ascii="Arial" w:hAnsi="Arial" w:cs="Arial"/>
          <w:szCs w:val="21"/>
        </w:rPr>
      </w:pPr>
    </w:p>
    <w:p w:rsidR="00332EE4" w:rsidRPr="003405B7" w:rsidRDefault="00332EE4" w:rsidP="00332EE4">
      <w:pPr>
        <w:widowControl/>
        <w:jc w:val="left"/>
        <w:rPr>
          <w:rFonts w:ascii="Arial" w:eastAsia="MS PGothic" w:hAnsi="Arial" w:cs="Arial"/>
          <w:kern w:val="0"/>
          <w:szCs w:val="21"/>
          <w14:ligatures w14:val="none"/>
        </w:rPr>
      </w:pPr>
      <w:r w:rsidRPr="003405B7">
        <w:rPr>
          <w:rFonts w:ascii="Arial" w:eastAsia="MS PGothic" w:hAnsi="Arial" w:cs="Arial"/>
          <w:kern w:val="0"/>
          <w:szCs w:val="21"/>
          <w:vertAlign w:val="superscript"/>
          <w14:ligatures w14:val="none"/>
        </w:rPr>
        <w:t>1</w:t>
      </w:r>
      <w:r w:rsidRPr="003405B7">
        <w:rPr>
          <w:rFonts w:ascii="Arial" w:eastAsia="MS PGothic" w:hAnsi="Arial" w:cs="Arial"/>
          <w:kern w:val="0"/>
          <w:szCs w:val="21"/>
          <w14:ligatures w14:val="none"/>
        </w:rPr>
        <w:t xml:space="preserve"> Department of Obstetrics and Gynecology, Juntendo University, Tokyo, Japan</w:t>
      </w:r>
    </w:p>
    <w:p w:rsidR="00332EE4" w:rsidRPr="003405B7" w:rsidRDefault="00332EE4" w:rsidP="00332EE4">
      <w:pPr>
        <w:widowControl/>
        <w:jc w:val="left"/>
        <w:rPr>
          <w:rFonts w:ascii="Arial" w:eastAsia="MS PGothic" w:hAnsi="Arial" w:cs="Arial"/>
          <w:kern w:val="0"/>
          <w:szCs w:val="21"/>
          <w14:ligatures w14:val="none"/>
        </w:rPr>
      </w:pPr>
      <w:r w:rsidRPr="003405B7">
        <w:rPr>
          <w:rFonts w:ascii="Arial" w:eastAsia="MS PGothic" w:hAnsi="Arial" w:cs="Arial"/>
          <w:kern w:val="0"/>
          <w:szCs w:val="21"/>
          <w:vertAlign w:val="superscript"/>
          <w14:ligatures w14:val="none"/>
        </w:rPr>
        <w:t>2</w:t>
      </w:r>
      <w:r w:rsidRPr="003405B7">
        <w:rPr>
          <w:rFonts w:ascii="Arial" w:eastAsia="MS PGothic" w:hAnsi="Arial" w:cs="Arial"/>
          <w:kern w:val="0"/>
          <w:szCs w:val="21"/>
          <w14:ligatures w14:val="none"/>
        </w:rPr>
        <w:t xml:space="preserve"> Diagnostics and Therapeutics of Intractable Diseases, Intractable Disease Research Center, Graduate School of Medicine, Juntendo University, Tokyo, Japan</w:t>
      </w:r>
    </w:p>
    <w:p w:rsidR="00332EE4" w:rsidRPr="003405B7" w:rsidRDefault="00332EE4" w:rsidP="00332EE4">
      <w:pPr>
        <w:widowControl/>
        <w:jc w:val="left"/>
        <w:rPr>
          <w:rFonts w:ascii="Arial" w:eastAsia="MS PGothic" w:hAnsi="Arial" w:cs="Arial"/>
          <w:kern w:val="0"/>
          <w:szCs w:val="21"/>
          <w14:ligatures w14:val="none"/>
        </w:rPr>
      </w:pPr>
      <w:r w:rsidRPr="003405B7">
        <w:rPr>
          <w:rFonts w:ascii="Arial" w:eastAsia="MS PGothic" w:hAnsi="Arial" w:cs="Arial"/>
          <w:kern w:val="0"/>
          <w:szCs w:val="21"/>
          <w:vertAlign w:val="superscript"/>
          <w14:ligatures w14:val="none"/>
        </w:rPr>
        <w:t>3</w:t>
      </w:r>
      <w:r w:rsidRPr="003405B7">
        <w:rPr>
          <w:rFonts w:ascii="Arial" w:eastAsia="MS PGothic" w:hAnsi="Arial" w:cs="Arial"/>
          <w:kern w:val="0"/>
          <w:szCs w:val="21"/>
          <w14:ligatures w14:val="none"/>
        </w:rPr>
        <w:t xml:space="preserve"> Department of Obstetrics and Gynecology, Juntendo University Nerima Hospital, Tokyo, Japan</w:t>
      </w:r>
    </w:p>
    <w:p w:rsidR="00332EE4" w:rsidRPr="003405B7" w:rsidRDefault="00332EE4" w:rsidP="00332EE4">
      <w:pPr>
        <w:widowControl/>
        <w:jc w:val="left"/>
        <w:rPr>
          <w:rFonts w:ascii="Arial" w:eastAsia="MS PGothic" w:hAnsi="Arial" w:cs="Arial"/>
          <w:kern w:val="0"/>
          <w:szCs w:val="21"/>
          <w14:ligatures w14:val="none"/>
        </w:rPr>
      </w:pPr>
      <w:r w:rsidRPr="003405B7">
        <w:rPr>
          <w:rFonts w:ascii="Arial" w:eastAsia="MS PGothic" w:hAnsi="Arial" w:cs="Arial"/>
          <w:kern w:val="0"/>
          <w:szCs w:val="21"/>
          <w:vertAlign w:val="superscript"/>
          <w14:ligatures w14:val="none"/>
        </w:rPr>
        <w:t>4</w:t>
      </w:r>
      <w:r w:rsidRPr="003405B7">
        <w:rPr>
          <w:rFonts w:ascii="Arial" w:eastAsia="MS PGothic" w:hAnsi="Arial" w:cs="Arial"/>
          <w:kern w:val="0"/>
          <w:szCs w:val="21"/>
          <w14:ligatures w14:val="none"/>
        </w:rPr>
        <w:t xml:space="preserve"> Department of Obstetrics and Gynecology, Juntendo University </w:t>
      </w:r>
      <w:proofErr w:type="spellStart"/>
      <w:r w:rsidRPr="003405B7">
        <w:rPr>
          <w:rFonts w:ascii="Arial" w:eastAsia="MS PGothic" w:hAnsi="Arial" w:cs="Arial"/>
          <w:kern w:val="0"/>
          <w:szCs w:val="21"/>
          <w14:ligatures w14:val="none"/>
        </w:rPr>
        <w:t>Urayasu</w:t>
      </w:r>
      <w:proofErr w:type="spellEnd"/>
      <w:r w:rsidRPr="003405B7">
        <w:rPr>
          <w:rFonts w:ascii="Arial" w:eastAsia="MS PGothic" w:hAnsi="Arial" w:cs="Arial"/>
          <w:kern w:val="0"/>
          <w:szCs w:val="21"/>
          <w14:ligatures w14:val="none"/>
        </w:rPr>
        <w:t xml:space="preserve"> Hospital, Chiba, Japan</w:t>
      </w:r>
    </w:p>
    <w:p w:rsidR="00332EE4" w:rsidRPr="003405B7" w:rsidRDefault="00332EE4" w:rsidP="00332EE4">
      <w:pPr>
        <w:widowControl/>
        <w:jc w:val="left"/>
        <w:rPr>
          <w:rFonts w:ascii="Arial" w:eastAsia="MS PGothic" w:hAnsi="Arial" w:cs="Arial"/>
          <w:kern w:val="0"/>
          <w:szCs w:val="21"/>
          <w14:ligatures w14:val="none"/>
        </w:rPr>
      </w:pPr>
      <w:r w:rsidRPr="003405B7">
        <w:rPr>
          <w:rFonts w:ascii="Arial" w:eastAsia="MS PGothic" w:hAnsi="Arial" w:cs="Arial"/>
          <w:kern w:val="0"/>
          <w:szCs w:val="21"/>
          <w:vertAlign w:val="superscript"/>
          <w14:ligatures w14:val="none"/>
        </w:rPr>
        <w:t>5</w:t>
      </w:r>
      <w:r w:rsidRPr="003405B7">
        <w:rPr>
          <w:rFonts w:ascii="Arial" w:eastAsia="MS PGothic" w:hAnsi="Arial" w:cs="Arial"/>
          <w:kern w:val="0"/>
          <w:szCs w:val="21"/>
          <w14:ligatures w14:val="none"/>
        </w:rPr>
        <w:t xml:space="preserve"> </w:t>
      </w:r>
      <w:proofErr w:type="spellStart"/>
      <w:r w:rsidRPr="003405B7">
        <w:rPr>
          <w:rFonts w:ascii="Arial" w:eastAsia="MS PGothic" w:hAnsi="Arial" w:cs="Arial"/>
          <w:kern w:val="0"/>
          <w:szCs w:val="21"/>
          <w14:ligatures w14:val="none"/>
        </w:rPr>
        <w:t>Aiiku</w:t>
      </w:r>
      <w:proofErr w:type="spellEnd"/>
      <w:r w:rsidRPr="003405B7">
        <w:rPr>
          <w:rFonts w:ascii="Arial" w:eastAsia="MS PGothic" w:hAnsi="Arial" w:cs="Arial"/>
          <w:kern w:val="0"/>
          <w:szCs w:val="21"/>
          <w14:ligatures w14:val="none"/>
        </w:rPr>
        <w:t xml:space="preserve"> Research Institute for Maternal, Child Health and Welfare, Tokyo, Japan</w:t>
      </w:r>
    </w:p>
    <w:p w:rsidR="00332EE4" w:rsidRPr="003405B7" w:rsidRDefault="00332EE4" w:rsidP="00332EE4">
      <w:pPr>
        <w:widowControl/>
        <w:jc w:val="left"/>
        <w:rPr>
          <w:rFonts w:ascii="Arial" w:eastAsia="MS PGothic" w:hAnsi="Arial" w:cs="Arial"/>
          <w:kern w:val="0"/>
          <w:szCs w:val="21"/>
          <w14:ligatures w14:val="none"/>
        </w:rPr>
      </w:pPr>
      <w:r w:rsidRPr="003405B7">
        <w:rPr>
          <w:rFonts w:ascii="Arial" w:eastAsia="MS PGothic" w:hAnsi="Arial" w:cs="Arial"/>
          <w:kern w:val="0"/>
          <w:szCs w:val="21"/>
          <w:vertAlign w:val="superscript"/>
          <w14:ligatures w14:val="none"/>
        </w:rPr>
        <w:t>6</w:t>
      </w:r>
      <w:r w:rsidRPr="003405B7">
        <w:rPr>
          <w:rFonts w:ascii="Arial" w:eastAsia="MS PGothic" w:hAnsi="Arial" w:cs="Arial"/>
          <w:kern w:val="0"/>
          <w:szCs w:val="21"/>
          <w14:ligatures w14:val="none"/>
        </w:rPr>
        <w:t xml:space="preserve"> Department of Neurosurgery, Juntendo University, Tokyo, Japan</w:t>
      </w:r>
    </w:p>
    <w:p w:rsidR="00332EE4" w:rsidRPr="003405B7" w:rsidRDefault="00332EE4" w:rsidP="00332EE4">
      <w:pPr>
        <w:widowControl/>
        <w:jc w:val="left"/>
        <w:rPr>
          <w:rFonts w:ascii="Arial" w:eastAsia="MS PGothic" w:hAnsi="Arial" w:cs="Arial"/>
          <w:kern w:val="0"/>
          <w:szCs w:val="21"/>
          <w:lang w:val="en-GB"/>
          <w14:ligatures w14:val="none"/>
        </w:rPr>
      </w:pPr>
      <w:r w:rsidRPr="003405B7">
        <w:rPr>
          <w:rFonts w:ascii="Arial" w:eastAsia="MS PGothic" w:hAnsi="Arial" w:cs="Arial" w:hint="eastAsia"/>
          <w:kern w:val="0"/>
          <w:szCs w:val="21"/>
          <w14:ligatures w14:val="none"/>
        </w:rPr>
        <w:t>*</w:t>
      </w:r>
      <w:r w:rsidRPr="003405B7">
        <w:rPr>
          <w:rFonts w:ascii="Arial" w:eastAsia="MS PGothic" w:hAnsi="Arial" w:cs="Arial"/>
          <w:kern w:val="0"/>
          <w:szCs w:val="21"/>
          <w:lang w:val="en-GB"/>
          <w14:ligatures w14:val="none"/>
        </w:rPr>
        <w:t>Corresponding author</w:t>
      </w:r>
    </w:p>
    <w:p w:rsidR="00332EE4" w:rsidRDefault="00332EE4" w:rsidP="00332EE4">
      <w:pPr>
        <w:rPr>
          <w:rFonts w:ascii="Arial" w:hAnsi="Arial" w:cs="Arial"/>
        </w:rPr>
      </w:pPr>
    </w:p>
    <w:p w:rsidR="00332EE4" w:rsidRPr="00332EE4" w:rsidRDefault="00332EE4">
      <w:pPr>
        <w:rPr>
          <w:rFonts w:ascii="Arial" w:hAnsi="Arial" w:cs="Arial"/>
          <w:b/>
          <w:bCs/>
        </w:rPr>
      </w:pPr>
    </w:p>
    <w:p w:rsidR="00332EE4" w:rsidRPr="00332EE4" w:rsidRDefault="00332EE4">
      <w:pPr>
        <w:rPr>
          <w:rFonts w:ascii="Arial" w:hAnsi="Arial" w:cs="Arial"/>
          <w:b/>
          <w:bCs/>
          <w:sz w:val="28"/>
          <w:szCs w:val="36"/>
        </w:rPr>
      </w:pPr>
      <w:r w:rsidRPr="00332EE4">
        <w:rPr>
          <w:rFonts w:ascii="Arial" w:hAnsi="Arial" w:cs="Arial"/>
          <w:b/>
          <w:bCs/>
          <w:sz w:val="28"/>
          <w:szCs w:val="36"/>
        </w:rPr>
        <w:t>Supplementary Material</w:t>
      </w:r>
      <w:r>
        <w:rPr>
          <w:rFonts w:ascii="Arial" w:hAnsi="Arial" w:cs="Arial"/>
          <w:b/>
          <w:bCs/>
          <w:sz w:val="28"/>
          <w:szCs w:val="36"/>
        </w:rPr>
        <w:t>s</w:t>
      </w:r>
    </w:p>
    <w:p w:rsidR="00332EE4" w:rsidRPr="00332EE4" w:rsidRDefault="00332EE4">
      <w:pPr>
        <w:rPr>
          <w:rFonts w:ascii="Arial" w:hAnsi="Arial" w:cs="Arial"/>
          <w:b/>
          <w:bCs/>
        </w:rPr>
      </w:pPr>
    </w:p>
    <w:p w:rsidR="00332EE4" w:rsidRDefault="00332EE4">
      <w:pPr>
        <w:widowControl/>
        <w:jc w:val="left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:rsidR="00AA4912" w:rsidRDefault="00332EE4">
      <w:pPr>
        <w:rPr>
          <w:rFonts w:ascii="Arial" w:hAnsi="Arial" w:cs="Arial"/>
          <w:b/>
          <w:bCs/>
          <w:sz w:val="24"/>
          <w:szCs w:val="32"/>
        </w:rPr>
      </w:pPr>
      <w:r w:rsidRPr="00332EE4">
        <w:rPr>
          <w:rFonts w:ascii="Arial" w:hAnsi="Arial" w:cs="Arial"/>
          <w:b/>
          <w:bCs/>
          <w:sz w:val="24"/>
          <w:szCs w:val="32"/>
        </w:rPr>
        <w:lastRenderedPageBreak/>
        <w:t>Supplementary Table S1</w:t>
      </w:r>
      <w:r>
        <w:rPr>
          <w:rFonts w:ascii="Arial" w:hAnsi="Arial" w:cs="Arial"/>
          <w:b/>
          <w:bCs/>
          <w:sz w:val="24"/>
          <w:szCs w:val="32"/>
        </w:rPr>
        <w:t xml:space="preserve">: </w:t>
      </w:r>
      <w:r w:rsidRPr="00332EE4">
        <w:rPr>
          <w:rFonts w:ascii="Arial" w:hAnsi="Arial" w:cs="Arial"/>
          <w:b/>
          <w:bCs/>
          <w:sz w:val="24"/>
          <w:szCs w:val="32"/>
        </w:rPr>
        <w:t>Result of self-administered medical questionnaire</w:t>
      </w:r>
    </w:p>
    <w:p w:rsidR="00332EE4" w:rsidRDefault="00332EE4">
      <w:pPr>
        <w:rPr>
          <w:rFonts w:ascii="Arial" w:hAnsi="Arial" w:cs="Arial"/>
          <w:b/>
          <w:bCs/>
          <w:sz w:val="24"/>
          <w:szCs w:val="32"/>
        </w:rPr>
      </w:pPr>
    </w:p>
    <w:tbl>
      <w:tblPr>
        <w:tblW w:w="10637" w:type="dxa"/>
        <w:tblInd w:w="-7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13"/>
        <w:gridCol w:w="1519"/>
        <w:gridCol w:w="873"/>
        <w:gridCol w:w="260"/>
        <w:gridCol w:w="1599"/>
        <w:gridCol w:w="873"/>
      </w:tblGrid>
      <w:tr w:rsidR="00332EE4" w:rsidRPr="003405B7" w:rsidTr="00332EE4">
        <w:trPr>
          <w:trHeight w:val="42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Nulliparous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n=332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>Primiparous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n=193</w:t>
            </w:r>
          </w:p>
        </w:tc>
      </w:tr>
      <w:tr w:rsidR="00332EE4" w:rsidRPr="003405B7" w:rsidTr="00332EE4">
        <w:trPr>
          <w:trHeight w:val="420"/>
        </w:trPr>
        <w:tc>
          <w:tcPr>
            <w:tcW w:w="5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Variable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>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>(%)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>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>(%)</w:t>
            </w:r>
          </w:p>
        </w:tc>
      </w:tr>
      <w:tr w:rsidR="00332EE4" w:rsidRPr="003405B7" w:rsidTr="00332EE4">
        <w:trPr>
          <w:trHeight w:val="420"/>
        </w:trPr>
        <w:tc>
          <w:tcPr>
            <w:tcW w:w="5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>Number of valid responses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98.8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98.4</w:t>
            </w:r>
          </w:p>
        </w:tc>
      </w:tr>
      <w:tr w:rsidR="00332EE4" w:rsidRPr="003405B7" w:rsidTr="00332EE4">
        <w:trPr>
          <w:trHeight w:val="400"/>
        </w:trPr>
        <w:tc>
          <w:tcPr>
            <w:tcW w:w="1063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>Experience of GBS *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Never experience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318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95.8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88.1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Diagnosed with GBS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3.0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9.8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    when not pregnant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0.0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    when pregnant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2.7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9.8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Unanswered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0.5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>History of use of menstrual control drugs *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Never experience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165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49.7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117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60.6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Yes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163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49.1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73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37.8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    Low dose Estrogen Progestin (with overlap)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139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41.9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63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32.6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    Progestin (with overlap)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9.9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4.1</w:t>
            </w:r>
          </w:p>
        </w:tc>
      </w:tr>
      <w:tr w:rsidR="00332EE4" w:rsidRPr="003405B7" w:rsidTr="00332EE4">
        <w:trPr>
          <w:trHeight w:val="68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    gonadotropin-releasing hormone (</w:t>
            </w:r>
            <w:proofErr w:type="gramStart"/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GnRH)   </w:t>
            </w:r>
            <w:proofErr w:type="gramEnd"/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</w:t>
            </w: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br/>
              <w:t xml:space="preserve">       antagonists/analogs (with overlap)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3.0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1.0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    intrauterine device (with overlap)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0.0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    others/details unknown (with overlap)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3.0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2.1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Unanswered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0.5</w:t>
            </w:r>
          </w:p>
        </w:tc>
      </w:tr>
      <w:tr w:rsidR="00332EE4" w:rsidRPr="003405B7" w:rsidTr="00332EE4">
        <w:trPr>
          <w:trHeight w:val="400"/>
        </w:trPr>
        <w:tc>
          <w:tcPr>
            <w:tcW w:w="106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>family living together *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Over 18-year-old adults only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326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98.2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3.1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with children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184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95.3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    </w:t>
            </w:r>
            <w:proofErr w:type="gramStart"/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7-18 year-old</w:t>
            </w:r>
            <w:proofErr w:type="gramEnd"/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children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49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25.4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    infants with/without </w:t>
            </w:r>
            <w:proofErr w:type="gramStart"/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7-18 year-old</w:t>
            </w:r>
            <w:proofErr w:type="gramEnd"/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children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135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69.9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Unanswered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0.0</w:t>
            </w:r>
          </w:p>
        </w:tc>
      </w:tr>
      <w:tr w:rsidR="00332EE4" w:rsidRPr="003405B7" w:rsidTr="00332EE4">
        <w:trPr>
          <w:trHeight w:val="400"/>
        </w:trPr>
        <w:tc>
          <w:tcPr>
            <w:tcW w:w="7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>Opportunities for contact with infants within the last year *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Never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75.3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17.6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Yes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78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23.5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156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80.8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    up to one year ago / before pregnancy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3.9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5.7</w:t>
            </w:r>
          </w:p>
        </w:tc>
      </w:tr>
      <w:tr w:rsidR="00332EE4" w:rsidRPr="003405B7" w:rsidTr="00332EE4">
        <w:trPr>
          <w:trHeight w:val="400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</w:t>
            </w:r>
            <w:r w:rsidR="000344C8"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</w:t>
            </w:r>
            <w:proofErr w:type="gramStart"/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also</w:t>
            </w:r>
            <w:proofErr w:type="gramEnd"/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after pregnancy / even now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65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19.6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145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75.1</w:t>
            </w:r>
          </w:p>
        </w:tc>
      </w:tr>
      <w:tr w:rsidR="00332EE4" w:rsidRPr="003405B7" w:rsidTr="00332EE4">
        <w:trPr>
          <w:trHeight w:val="420"/>
        </w:trPr>
        <w:tc>
          <w:tcPr>
            <w:tcW w:w="55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   Unanswered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lef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EE4" w:rsidRPr="003405B7" w:rsidRDefault="00332EE4" w:rsidP="00332EE4">
            <w:pPr>
              <w:widowControl/>
              <w:jc w:val="right"/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</w:pPr>
            <w:r w:rsidRPr="003405B7">
              <w:rPr>
                <w:rFonts w:ascii="Arial" w:eastAsia="Yu Gothic" w:hAnsi="Arial" w:cs="Arial"/>
                <w:color w:val="000000"/>
                <w:kern w:val="0"/>
                <w:szCs w:val="21"/>
                <w14:ligatures w14:val="none"/>
              </w:rPr>
              <w:t>0.0</w:t>
            </w:r>
          </w:p>
        </w:tc>
      </w:tr>
    </w:tbl>
    <w:p w:rsidR="00332EE4" w:rsidRDefault="00332EE4">
      <w:pPr>
        <w:rPr>
          <w:rFonts w:ascii="Arial" w:hAnsi="Arial" w:cs="Arial"/>
          <w:b/>
          <w:bCs/>
          <w:sz w:val="24"/>
          <w:szCs w:val="32"/>
        </w:rPr>
      </w:pPr>
    </w:p>
    <w:p w:rsidR="00332EE4" w:rsidRPr="00332EE4" w:rsidRDefault="00332EE4" w:rsidP="00332EE4">
      <w:pPr>
        <w:rPr>
          <w:rFonts w:ascii="Arial" w:hAnsi="Arial" w:cs="Arial"/>
          <w:sz w:val="24"/>
          <w:szCs w:val="32"/>
        </w:rPr>
      </w:pPr>
      <w:r w:rsidRPr="00332EE4">
        <w:rPr>
          <w:rFonts w:ascii="Arial" w:hAnsi="Arial" w:cs="Arial"/>
          <w:sz w:val="24"/>
          <w:szCs w:val="32"/>
        </w:rPr>
        <w:t>Note</w:t>
      </w:r>
      <w:r w:rsidRPr="00332EE4">
        <w:rPr>
          <w:rFonts w:ascii="Arial" w:hAnsi="Arial" w:cs="Arial"/>
          <w:sz w:val="24"/>
          <w:szCs w:val="32"/>
        </w:rPr>
        <w:tab/>
      </w:r>
    </w:p>
    <w:p w:rsidR="00332EE4" w:rsidRDefault="00332EE4" w:rsidP="003405B7">
      <w:pPr>
        <w:rPr>
          <w:rFonts w:ascii="Arial" w:hAnsi="Arial" w:cs="Arial" w:hint="eastAsia"/>
          <w:sz w:val="24"/>
          <w:szCs w:val="32"/>
        </w:rPr>
      </w:pPr>
      <w:r w:rsidRPr="00332EE4">
        <w:rPr>
          <w:rFonts w:ascii="Arial" w:hAnsi="Arial" w:cs="Arial"/>
          <w:sz w:val="24"/>
          <w:szCs w:val="32"/>
        </w:rPr>
        <w:t>*</w:t>
      </w:r>
      <w:r>
        <w:rPr>
          <w:rFonts w:ascii="Arial" w:hAnsi="Arial" w:cs="Arial"/>
          <w:sz w:val="24"/>
          <w:szCs w:val="32"/>
        </w:rPr>
        <w:t xml:space="preserve">: </w:t>
      </w:r>
      <w:r w:rsidRPr="00332EE4">
        <w:rPr>
          <w:rFonts w:ascii="Arial" w:hAnsi="Arial" w:cs="Arial"/>
          <w:sz w:val="24"/>
          <w:szCs w:val="32"/>
        </w:rPr>
        <w:t>The denominator is the total number of valid responses</w:t>
      </w:r>
      <w:r>
        <w:rPr>
          <w:rFonts w:ascii="Arial" w:hAnsi="Arial" w:cs="Arial"/>
          <w:sz w:val="24"/>
          <w:szCs w:val="32"/>
        </w:rPr>
        <w:t xml:space="preserve"> </w:t>
      </w:r>
      <w:r w:rsidRPr="00332EE4">
        <w:rPr>
          <w:rFonts w:ascii="Arial" w:hAnsi="Arial" w:cs="Arial"/>
          <w:sz w:val="24"/>
          <w:szCs w:val="32"/>
        </w:rPr>
        <w:t>(Nulliparous 328, Primiparous 190).</w:t>
      </w:r>
      <w:r w:rsidRPr="00332EE4">
        <w:rPr>
          <w:rFonts w:ascii="Arial" w:hAnsi="Arial" w:cs="Arial"/>
          <w:sz w:val="24"/>
          <w:szCs w:val="32"/>
        </w:rPr>
        <w:tab/>
      </w:r>
    </w:p>
    <w:p w:rsidR="00332EE4" w:rsidRPr="00332EE4" w:rsidRDefault="00332EE4" w:rsidP="00332EE4">
      <w:pPr>
        <w:rPr>
          <w:rFonts w:ascii="Arial" w:hAnsi="Arial" w:cs="Arial"/>
          <w:b/>
          <w:bCs/>
          <w:sz w:val="24"/>
          <w:szCs w:val="32"/>
        </w:rPr>
      </w:pPr>
      <w:r w:rsidRPr="00332EE4">
        <w:rPr>
          <w:rFonts w:ascii="Arial" w:hAnsi="Arial" w:cs="Arial"/>
          <w:b/>
          <w:bCs/>
          <w:sz w:val="24"/>
        </w:rPr>
        <w:lastRenderedPageBreak/>
        <w:t xml:space="preserve">Staffs of Juntendo University hospital, </w:t>
      </w:r>
      <w:proofErr w:type="spellStart"/>
      <w:r w:rsidRPr="00332EE4">
        <w:rPr>
          <w:rFonts w:ascii="Arial" w:hAnsi="Arial" w:cs="Arial"/>
          <w:b/>
          <w:bCs/>
          <w:sz w:val="24"/>
        </w:rPr>
        <w:t>Urayasu</w:t>
      </w:r>
      <w:proofErr w:type="spellEnd"/>
      <w:r w:rsidRPr="00332EE4">
        <w:rPr>
          <w:rFonts w:ascii="Arial" w:hAnsi="Arial" w:cs="Arial"/>
          <w:b/>
          <w:bCs/>
          <w:sz w:val="24"/>
        </w:rPr>
        <w:t xml:space="preserve"> Hospital and Nerima Hospital</w:t>
      </w:r>
    </w:p>
    <w:p w:rsidR="00332EE4" w:rsidRDefault="00332EE4">
      <w:pPr>
        <w:widowControl/>
        <w:jc w:val="left"/>
        <w:rPr>
          <w:rFonts w:ascii="Arial" w:hAnsi="Arial" w:cs="Arial"/>
          <w:sz w:val="24"/>
          <w:szCs w:val="32"/>
        </w:rPr>
      </w:pPr>
    </w:p>
    <w:p w:rsidR="00332EE4" w:rsidRPr="008F6F7C" w:rsidRDefault="00332EE4" w:rsidP="00332EE4">
      <w:pPr>
        <w:rPr>
          <w:rFonts w:ascii="Arial" w:hAnsi="Arial" w:cs="Arial"/>
          <w:szCs w:val="21"/>
        </w:rPr>
      </w:pPr>
      <w:r w:rsidRPr="008F6F7C">
        <w:rPr>
          <w:rFonts w:ascii="Arial" w:hAnsi="Arial" w:cs="Arial"/>
          <w:szCs w:val="21"/>
        </w:rPr>
        <w:t xml:space="preserve">Doctors, nurses and staffs of Juntendo Hospital: </w:t>
      </w:r>
    </w:p>
    <w:p w:rsidR="00332EE4" w:rsidRPr="008F6F7C" w:rsidRDefault="00332EE4" w:rsidP="00332EE4">
      <w:pPr>
        <w:rPr>
          <w:rFonts w:ascii="Arial" w:hAnsi="Arial" w:cs="Arial"/>
          <w:szCs w:val="21"/>
        </w:rPr>
      </w:pPr>
      <w:r w:rsidRPr="008F6F7C">
        <w:rPr>
          <w:rFonts w:ascii="Arial" w:hAnsi="Arial" w:cs="Arial"/>
          <w:szCs w:val="21"/>
        </w:rPr>
        <w:t xml:space="preserve">Yuka Yamamoto, Anna Sato, Yuri Ishida, Nana Matsuzawa, Eri Kitamura, </w:t>
      </w:r>
      <w:proofErr w:type="spellStart"/>
      <w:r w:rsidRPr="008F6F7C">
        <w:rPr>
          <w:rFonts w:ascii="Arial" w:hAnsi="Arial" w:cs="Arial"/>
          <w:szCs w:val="21"/>
        </w:rPr>
        <w:t>Rie</w:t>
      </w:r>
      <w:proofErr w:type="spellEnd"/>
      <w:r w:rsidRPr="008F6F7C">
        <w:rPr>
          <w:rFonts w:ascii="Arial" w:hAnsi="Arial" w:cs="Arial"/>
          <w:szCs w:val="21"/>
        </w:rPr>
        <w:t xml:space="preserve"> </w:t>
      </w:r>
      <w:proofErr w:type="spellStart"/>
      <w:r w:rsidRPr="008F6F7C">
        <w:rPr>
          <w:rFonts w:ascii="Arial" w:hAnsi="Arial" w:cs="Arial"/>
          <w:szCs w:val="21"/>
        </w:rPr>
        <w:t>Seyama</w:t>
      </w:r>
      <w:proofErr w:type="spellEnd"/>
      <w:r w:rsidRPr="008F6F7C">
        <w:rPr>
          <w:rFonts w:ascii="Arial" w:hAnsi="Arial" w:cs="Arial"/>
          <w:szCs w:val="21"/>
        </w:rPr>
        <w:t xml:space="preserve">, </w:t>
      </w:r>
      <w:proofErr w:type="spellStart"/>
      <w:r w:rsidRPr="008F6F7C">
        <w:rPr>
          <w:rFonts w:ascii="Arial" w:hAnsi="Arial" w:cs="Arial"/>
          <w:szCs w:val="21"/>
        </w:rPr>
        <w:t>Hitomi</w:t>
      </w:r>
      <w:proofErr w:type="spellEnd"/>
      <w:r w:rsidRPr="008F6F7C">
        <w:rPr>
          <w:rFonts w:ascii="Arial" w:hAnsi="Arial" w:cs="Arial"/>
          <w:szCs w:val="21"/>
        </w:rPr>
        <w:t xml:space="preserve"> Ando, Kyoko </w:t>
      </w:r>
      <w:proofErr w:type="spellStart"/>
      <w:r w:rsidRPr="008F6F7C">
        <w:rPr>
          <w:rFonts w:ascii="Arial" w:hAnsi="Arial" w:cs="Arial"/>
          <w:szCs w:val="21"/>
        </w:rPr>
        <w:t>Namimaysu</w:t>
      </w:r>
      <w:proofErr w:type="spellEnd"/>
      <w:r w:rsidRPr="008F6F7C">
        <w:rPr>
          <w:rFonts w:ascii="Arial" w:hAnsi="Arial" w:cs="Arial"/>
          <w:szCs w:val="21"/>
        </w:rPr>
        <w:t xml:space="preserve">, Shun </w:t>
      </w:r>
      <w:proofErr w:type="spellStart"/>
      <w:r w:rsidRPr="008F6F7C">
        <w:rPr>
          <w:rFonts w:ascii="Arial" w:hAnsi="Arial" w:cs="Arial"/>
          <w:szCs w:val="21"/>
        </w:rPr>
        <w:t>Masaoka</w:t>
      </w:r>
      <w:proofErr w:type="spellEnd"/>
      <w:r w:rsidRPr="008F6F7C">
        <w:rPr>
          <w:rFonts w:ascii="Arial" w:hAnsi="Arial" w:cs="Arial"/>
          <w:szCs w:val="21"/>
        </w:rPr>
        <w:t xml:space="preserve">, Nami Tamura, </w:t>
      </w:r>
      <w:proofErr w:type="spellStart"/>
      <w:r w:rsidRPr="008F6F7C">
        <w:rPr>
          <w:rFonts w:ascii="Arial" w:hAnsi="Arial" w:cs="Arial"/>
          <w:szCs w:val="21"/>
        </w:rPr>
        <w:t>Eimi</w:t>
      </w:r>
      <w:proofErr w:type="spellEnd"/>
      <w:r w:rsidRPr="008F6F7C">
        <w:rPr>
          <w:rFonts w:ascii="Arial" w:hAnsi="Arial" w:cs="Arial"/>
          <w:szCs w:val="21"/>
        </w:rPr>
        <w:t xml:space="preserve"> </w:t>
      </w:r>
      <w:proofErr w:type="spellStart"/>
      <w:r w:rsidRPr="008F6F7C">
        <w:rPr>
          <w:rFonts w:ascii="Arial" w:hAnsi="Arial" w:cs="Arial"/>
          <w:szCs w:val="21"/>
        </w:rPr>
        <w:t>Seo</w:t>
      </w:r>
      <w:proofErr w:type="spellEnd"/>
      <w:r w:rsidRPr="008F6F7C">
        <w:rPr>
          <w:rFonts w:ascii="Arial" w:hAnsi="Arial" w:cs="Arial"/>
          <w:szCs w:val="21"/>
        </w:rPr>
        <w:t xml:space="preserve">, Yusen Sugimura, </w:t>
      </w:r>
      <w:proofErr w:type="spellStart"/>
      <w:r w:rsidRPr="008F6F7C">
        <w:rPr>
          <w:rFonts w:ascii="Arial" w:hAnsi="Arial" w:cs="Arial"/>
          <w:szCs w:val="21"/>
        </w:rPr>
        <w:t>Haruka</w:t>
      </w:r>
      <w:proofErr w:type="spellEnd"/>
      <w:r w:rsidRPr="008F6F7C">
        <w:rPr>
          <w:rFonts w:ascii="Arial" w:hAnsi="Arial" w:cs="Arial"/>
          <w:szCs w:val="21"/>
        </w:rPr>
        <w:t xml:space="preserve"> </w:t>
      </w:r>
      <w:proofErr w:type="spellStart"/>
      <w:r w:rsidRPr="008F6F7C">
        <w:rPr>
          <w:rFonts w:ascii="Arial" w:hAnsi="Arial" w:cs="Arial"/>
          <w:szCs w:val="21"/>
        </w:rPr>
        <w:t>Mieda</w:t>
      </w:r>
      <w:proofErr w:type="spellEnd"/>
      <w:r w:rsidRPr="008F6F7C">
        <w:rPr>
          <w:rFonts w:ascii="Arial" w:hAnsi="Arial" w:cs="Arial"/>
          <w:szCs w:val="21"/>
        </w:rPr>
        <w:t xml:space="preserve">, Tsukasa Yoshida, Taihei Yamada, Yukiko Okada, Kazunari </w:t>
      </w:r>
      <w:proofErr w:type="spellStart"/>
      <w:r w:rsidRPr="008F6F7C">
        <w:rPr>
          <w:rFonts w:ascii="Arial" w:hAnsi="Arial" w:cs="Arial"/>
          <w:szCs w:val="21"/>
        </w:rPr>
        <w:t>Fujino</w:t>
      </w:r>
      <w:proofErr w:type="spellEnd"/>
      <w:r w:rsidRPr="008F6F7C">
        <w:rPr>
          <w:rFonts w:ascii="Arial" w:hAnsi="Arial" w:cs="Arial"/>
          <w:szCs w:val="21"/>
        </w:rPr>
        <w:t xml:space="preserve">, Takashi Hirayama, Keisuke Murakami, Atsuko Yamada, Yu Kawasaki, Mutsumi Kobayashi, Shiori Takeuchi, </w:t>
      </w:r>
      <w:proofErr w:type="spellStart"/>
      <w:r w:rsidRPr="008F6F7C">
        <w:rPr>
          <w:rFonts w:ascii="Arial" w:hAnsi="Arial" w:cs="Arial"/>
          <w:szCs w:val="21"/>
        </w:rPr>
        <w:t>Kengo</w:t>
      </w:r>
      <w:proofErr w:type="spellEnd"/>
      <w:r w:rsidRPr="008F6F7C">
        <w:rPr>
          <w:rFonts w:ascii="Arial" w:hAnsi="Arial" w:cs="Arial"/>
          <w:szCs w:val="21"/>
        </w:rPr>
        <w:t xml:space="preserve"> </w:t>
      </w:r>
      <w:proofErr w:type="spellStart"/>
      <w:r w:rsidRPr="008F6F7C">
        <w:rPr>
          <w:rFonts w:ascii="Arial" w:hAnsi="Arial" w:cs="Arial"/>
          <w:szCs w:val="21"/>
        </w:rPr>
        <w:t>Hiranuma</w:t>
      </w:r>
      <w:proofErr w:type="spellEnd"/>
      <w:r w:rsidRPr="008F6F7C">
        <w:rPr>
          <w:rFonts w:ascii="Arial" w:hAnsi="Arial" w:cs="Arial"/>
          <w:szCs w:val="21"/>
        </w:rPr>
        <w:t xml:space="preserve">, </w:t>
      </w:r>
      <w:proofErr w:type="spellStart"/>
      <w:r w:rsidRPr="008F6F7C">
        <w:rPr>
          <w:rFonts w:ascii="Arial" w:hAnsi="Arial" w:cs="Arial"/>
          <w:szCs w:val="21"/>
        </w:rPr>
        <w:t>Sumire</w:t>
      </w:r>
      <w:proofErr w:type="spellEnd"/>
      <w:r w:rsidRPr="008F6F7C">
        <w:rPr>
          <w:rFonts w:ascii="Arial" w:hAnsi="Arial" w:cs="Arial"/>
          <w:szCs w:val="21"/>
        </w:rPr>
        <w:t xml:space="preserve"> Ishii, </w:t>
      </w:r>
      <w:proofErr w:type="spellStart"/>
      <w:r w:rsidRPr="008F6F7C">
        <w:rPr>
          <w:rFonts w:ascii="Arial" w:hAnsi="Arial" w:cs="Arial"/>
          <w:szCs w:val="21"/>
        </w:rPr>
        <w:t>Yasuho</w:t>
      </w:r>
      <w:proofErr w:type="spellEnd"/>
      <w:r w:rsidRPr="008F6F7C">
        <w:rPr>
          <w:rFonts w:ascii="Arial" w:hAnsi="Arial" w:cs="Arial"/>
          <w:szCs w:val="21"/>
        </w:rPr>
        <w:t xml:space="preserve"> Yanagihara, Natsuko </w:t>
      </w:r>
      <w:proofErr w:type="spellStart"/>
      <w:r w:rsidRPr="008F6F7C">
        <w:rPr>
          <w:rFonts w:ascii="Arial" w:hAnsi="Arial" w:cs="Arial"/>
          <w:szCs w:val="21"/>
        </w:rPr>
        <w:t>Yamji</w:t>
      </w:r>
      <w:proofErr w:type="spellEnd"/>
      <w:r w:rsidRPr="008F6F7C">
        <w:rPr>
          <w:rFonts w:ascii="Arial" w:hAnsi="Arial" w:cs="Arial"/>
          <w:szCs w:val="21"/>
        </w:rPr>
        <w:t xml:space="preserve">, Misato </w:t>
      </w:r>
      <w:proofErr w:type="spellStart"/>
      <w:r w:rsidRPr="008F6F7C">
        <w:rPr>
          <w:rFonts w:ascii="Arial" w:hAnsi="Arial" w:cs="Arial"/>
          <w:szCs w:val="21"/>
        </w:rPr>
        <w:t>Kawata</w:t>
      </w:r>
      <w:proofErr w:type="spellEnd"/>
      <w:r w:rsidRPr="008F6F7C">
        <w:rPr>
          <w:rFonts w:ascii="Arial" w:hAnsi="Arial" w:cs="Arial"/>
          <w:szCs w:val="21"/>
        </w:rPr>
        <w:t xml:space="preserve">, Koji </w:t>
      </w:r>
      <w:proofErr w:type="spellStart"/>
      <w:r w:rsidRPr="008F6F7C">
        <w:rPr>
          <w:rFonts w:ascii="Arial" w:hAnsi="Arial" w:cs="Arial"/>
          <w:szCs w:val="21"/>
        </w:rPr>
        <w:t>Ijichi</w:t>
      </w:r>
      <w:proofErr w:type="spellEnd"/>
      <w:r w:rsidRPr="008F6F7C">
        <w:rPr>
          <w:rFonts w:ascii="Arial" w:hAnsi="Arial" w:cs="Arial"/>
          <w:szCs w:val="21"/>
        </w:rPr>
        <w:t xml:space="preserve">, </w:t>
      </w:r>
      <w:proofErr w:type="spellStart"/>
      <w:r w:rsidRPr="008F6F7C">
        <w:rPr>
          <w:rFonts w:ascii="Arial" w:hAnsi="Arial" w:cs="Arial"/>
          <w:szCs w:val="21"/>
        </w:rPr>
        <w:t>Mayu</w:t>
      </w:r>
      <w:proofErr w:type="spellEnd"/>
      <w:r w:rsidRPr="008F6F7C">
        <w:rPr>
          <w:rFonts w:ascii="Arial" w:hAnsi="Arial" w:cs="Arial"/>
          <w:szCs w:val="21"/>
        </w:rPr>
        <w:t xml:space="preserve"> Sugawara, Saori Otsuka, Yuko </w:t>
      </w:r>
      <w:proofErr w:type="spellStart"/>
      <w:r w:rsidRPr="008F6F7C">
        <w:rPr>
          <w:rFonts w:ascii="Arial" w:hAnsi="Arial" w:cs="Arial"/>
          <w:szCs w:val="21"/>
        </w:rPr>
        <w:t>Isozaki</w:t>
      </w:r>
      <w:proofErr w:type="spellEnd"/>
      <w:r w:rsidRPr="008F6F7C">
        <w:rPr>
          <w:rFonts w:ascii="Arial" w:hAnsi="Arial" w:cs="Arial"/>
          <w:szCs w:val="21"/>
        </w:rPr>
        <w:t xml:space="preserve">, Kyoko Sakurai, Lisa Nishimura, Kanako Iwai, </w:t>
      </w:r>
      <w:proofErr w:type="spellStart"/>
      <w:r w:rsidRPr="008F6F7C">
        <w:rPr>
          <w:rFonts w:ascii="Arial" w:hAnsi="Arial" w:cs="Arial"/>
          <w:szCs w:val="21"/>
        </w:rPr>
        <w:t>Kamata</w:t>
      </w:r>
      <w:proofErr w:type="spellEnd"/>
      <w:r w:rsidRPr="008F6F7C">
        <w:rPr>
          <w:rFonts w:ascii="Arial" w:hAnsi="Arial" w:cs="Arial"/>
          <w:szCs w:val="21"/>
        </w:rPr>
        <w:t xml:space="preserve"> Mitsuko, Mineko Furukawa, Makiko Sagawa, Midori </w:t>
      </w:r>
      <w:proofErr w:type="spellStart"/>
      <w:r w:rsidRPr="008F6F7C">
        <w:rPr>
          <w:rFonts w:ascii="Arial" w:hAnsi="Arial" w:cs="Arial"/>
          <w:szCs w:val="21"/>
        </w:rPr>
        <w:t>Iwamitsu</w:t>
      </w:r>
      <w:proofErr w:type="spellEnd"/>
      <w:r w:rsidRPr="008F6F7C">
        <w:rPr>
          <w:rFonts w:ascii="Arial" w:hAnsi="Arial" w:cs="Arial"/>
          <w:szCs w:val="21"/>
        </w:rPr>
        <w:t xml:space="preserve">, </w:t>
      </w:r>
      <w:proofErr w:type="spellStart"/>
      <w:r w:rsidRPr="008F6F7C">
        <w:rPr>
          <w:rFonts w:ascii="Arial" w:hAnsi="Arial" w:cs="Arial"/>
          <w:szCs w:val="21"/>
        </w:rPr>
        <w:t>Manami</w:t>
      </w:r>
      <w:proofErr w:type="spellEnd"/>
      <w:r w:rsidRPr="008F6F7C">
        <w:rPr>
          <w:rFonts w:ascii="Arial" w:hAnsi="Arial" w:cs="Arial"/>
          <w:szCs w:val="21"/>
        </w:rPr>
        <w:t xml:space="preserve"> </w:t>
      </w:r>
      <w:proofErr w:type="spellStart"/>
      <w:r w:rsidRPr="008F6F7C">
        <w:rPr>
          <w:rFonts w:ascii="Arial" w:hAnsi="Arial" w:cs="Arial"/>
          <w:szCs w:val="21"/>
        </w:rPr>
        <w:t>Ajioka</w:t>
      </w:r>
      <w:proofErr w:type="spellEnd"/>
      <w:r w:rsidRPr="008F6F7C">
        <w:rPr>
          <w:rFonts w:ascii="Arial" w:hAnsi="Arial" w:cs="Arial"/>
          <w:szCs w:val="21"/>
        </w:rPr>
        <w:t xml:space="preserve">, Maya Suzuki, Azusa Miyahara, </w:t>
      </w:r>
      <w:proofErr w:type="spellStart"/>
      <w:r w:rsidRPr="008F6F7C">
        <w:rPr>
          <w:rFonts w:ascii="Arial" w:hAnsi="Arial" w:cs="Arial"/>
          <w:szCs w:val="21"/>
        </w:rPr>
        <w:t>Sae</w:t>
      </w:r>
      <w:proofErr w:type="spellEnd"/>
      <w:r w:rsidRPr="008F6F7C">
        <w:rPr>
          <w:rFonts w:ascii="Arial" w:hAnsi="Arial" w:cs="Arial"/>
          <w:szCs w:val="21"/>
        </w:rPr>
        <w:t xml:space="preserve"> Kasai, </w:t>
      </w:r>
      <w:proofErr w:type="spellStart"/>
      <w:r w:rsidRPr="008F6F7C">
        <w:rPr>
          <w:rFonts w:ascii="Arial" w:hAnsi="Arial" w:cs="Arial"/>
          <w:szCs w:val="21"/>
        </w:rPr>
        <w:t>Mayu</w:t>
      </w:r>
      <w:proofErr w:type="spellEnd"/>
      <w:r w:rsidRPr="008F6F7C">
        <w:rPr>
          <w:rFonts w:ascii="Arial" w:hAnsi="Arial" w:cs="Arial"/>
          <w:szCs w:val="21"/>
        </w:rPr>
        <w:t xml:space="preserve"> </w:t>
      </w:r>
      <w:proofErr w:type="spellStart"/>
      <w:r w:rsidRPr="008F6F7C">
        <w:rPr>
          <w:rFonts w:ascii="Arial" w:hAnsi="Arial" w:cs="Arial"/>
          <w:szCs w:val="21"/>
        </w:rPr>
        <w:t>Takigawa</w:t>
      </w:r>
      <w:proofErr w:type="spellEnd"/>
      <w:r w:rsidRPr="008F6F7C">
        <w:rPr>
          <w:rFonts w:ascii="Arial" w:hAnsi="Arial" w:cs="Arial"/>
          <w:szCs w:val="21"/>
        </w:rPr>
        <w:t xml:space="preserve">, Nao </w:t>
      </w:r>
      <w:proofErr w:type="spellStart"/>
      <w:r w:rsidRPr="008F6F7C">
        <w:rPr>
          <w:rFonts w:ascii="Arial" w:hAnsi="Arial" w:cs="Arial"/>
          <w:szCs w:val="21"/>
        </w:rPr>
        <w:t>Yoshiki</w:t>
      </w:r>
      <w:proofErr w:type="spellEnd"/>
      <w:r w:rsidRPr="008F6F7C">
        <w:rPr>
          <w:rFonts w:ascii="Arial" w:hAnsi="Arial" w:cs="Arial"/>
          <w:szCs w:val="21"/>
        </w:rPr>
        <w:t xml:space="preserve">, Mako Morinaga, Marina </w:t>
      </w:r>
      <w:proofErr w:type="spellStart"/>
      <w:r w:rsidRPr="008F6F7C">
        <w:rPr>
          <w:rFonts w:ascii="Arial" w:hAnsi="Arial" w:cs="Arial"/>
          <w:szCs w:val="21"/>
        </w:rPr>
        <w:t>Oshima</w:t>
      </w:r>
      <w:proofErr w:type="spellEnd"/>
      <w:r w:rsidRPr="008F6F7C">
        <w:rPr>
          <w:rFonts w:ascii="Arial" w:hAnsi="Arial" w:cs="Arial"/>
          <w:szCs w:val="21"/>
        </w:rPr>
        <w:t xml:space="preserve">, Chihiro Uchiyama, Chikako Sakai, </w:t>
      </w:r>
      <w:proofErr w:type="spellStart"/>
      <w:r w:rsidRPr="008F6F7C">
        <w:rPr>
          <w:rFonts w:ascii="Arial" w:hAnsi="Arial" w:cs="Arial"/>
          <w:szCs w:val="21"/>
        </w:rPr>
        <w:t>Momoka</w:t>
      </w:r>
      <w:proofErr w:type="spellEnd"/>
      <w:r w:rsidRPr="008F6F7C">
        <w:rPr>
          <w:rFonts w:ascii="Arial" w:hAnsi="Arial" w:cs="Arial"/>
          <w:szCs w:val="21"/>
        </w:rPr>
        <w:t xml:space="preserve"> Iwai, </w:t>
      </w:r>
      <w:proofErr w:type="spellStart"/>
      <w:r w:rsidRPr="008F6F7C">
        <w:rPr>
          <w:rFonts w:ascii="Arial" w:hAnsi="Arial" w:cs="Arial"/>
          <w:szCs w:val="21"/>
        </w:rPr>
        <w:t>Ayumi</w:t>
      </w:r>
      <w:proofErr w:type="spellEnd"/>
      <w:r w:rsidRPr="008F6F7C">
        <w:rPr>
          <w:rFonts w:ascii="Arial" w:hAnsi="Arial" w:cs="Arial"/>
          <w:szCs w:val="21"/>
        </w:rPr>
        <w:t xml:space="preserve"> </w:t>
      </w:r>
      <w:proofErr w:type="spellStart"/>
      <w:r w:rsidRPr="008F6F7C">
        <w:rPr>
          <w:rFonts w:ascii="Arial" w:hAnsi="Arial" w:cs="Arial"/>
          <w:szCs w:val="21"/>
        </w:rPr>
        <w:t>Tobita</w:t>
      </w:r>
      <w:proofErr w:type="spellEnd"/>
      <w:r w:rsidRPr="008F6F7C">
        <w:rPr>
          <w:rFonts w:ascii="Arial" w:hAnsi="Arial" w:cs="Arial"/>
          <w:szCs w:val="21"/>
        </w:rPr>
        <w:t xml:space="preserve">, Sari </w:t>
      </w:r>
      <w:proofErr w:type="spellStart"/>
      <w:r w:rsidRPr="008F6F7C">
        <w:rPr>
          <w:rFonts w:ascii="Arial" w:hAnsi="Arial" w:cs="Arial"/>
          <w:szCs w:val="21"/>
        </w:rPr>
        <w:t>Hashiba</w:t>
      </w:r>
      <w:proofErr w:type="spellEnd"/>
      <w:r w:rsidRPr="008F6F7C">
        <w:rPr>
          <w:rFonts w:ascii="Arial" w:hAnsi="Arial" w:cs="Arial"/>
          <w:szCs w:val="21"/>
        </w:rPr>
        <w:t xml:space="preserve">, Yuki </w:t>
      </w:r>
      <w:proofErr w:type="spellStart"/>
      <w:r w:rsidRPr="008F6F7C">
        <w:rPr>
          <w:rFonts w:ascii="Arial" w:hAnsi="Arial" w:cs="Arial"/>
          <w:szCs w:val="21"/>
        </w:rPr>
        <w:t>Haginiwa</w:t>
      </w:r>
      <w:proofErr w:type="spellEnd"/>
      <w:r w:rsidRPr="008F6F7C">
        <w:rPr>
          <w:rFonts w:ascii="Arial" w:hAnsi="Arial" w:cs="Arial"/>
          <w:szCs w:val="21"/>
        </w:rPr>
        <w:t xml:space="preserve">, </w:t>
      </w:r>
      <w:proofErr w:type="spellStart"/>
      <w:r w:rsidRPr="008F6F7C">
        <w:rPr>
          <w:rFonts w:ascii="Arial" w:hAnsi="Arial" w:cs="Arial"/>
          <w:szCs w:val="21"/>
        </w:rPr>
        <w:t>Rino</w:t>
      </w:r>
      <w:proofErr w:type="spellEnd"/>
      <w:r w:rsidRPr="008F6F7C">
        <w:rPr>
          <w:rFonts w:ascii="Arial" w:hAnsi="Arial" w:cs="Arial"/>
          <w:szCs w:val="21"/>
        </w:rPr>
        <w:t xml:space="preserve"> Fujita, </w:t>
      </w:r>
      <w:proofErr w:type="spellStart"/>
      <w:r w:rsidRPr="008F6F7C">
        <w:rPr>
          <w:rFonts w:ascii="Arial" w:hAnsi="Arial" w:cs="Arial"/>
          <w:szCs w:val="21"/>
        </w:rPr>
        <w:t>Ayano</w:t>
      </w:r>
      <w:proofErr w:type="spellEnd"/>
      <w:r w:rsidRPr="008F6F7C">
        <w:rPr>
          <w:rFonts w:ascii="Arial" w:hAnsi="Arial" w:cs="Arial"/>
          <w:szCs w:val="21"/>
        </w:rPr>
        <w:t xml:space="preserve"> Yamagishi, Lise Toyama, Yoko </w:t>
      </w:r>
      <w:proofErr w:type="spellStart"/>
      <w:r w:rsidRPr="008F6F7C">
        <w:rPr>
          <w:rFonts w:ascii="Arial" w:hAnsi="Arial" w:cs="Arial"/>
          <w:szCs w:val="21"/>
        </w:rPr>
        <w:t>Ariake</w:t>
      </w:r>
      <w:proofErr w:type="spellEnd"/>
      <w:r w:rsidRPr="008F6F7C">
        <w:rPr>
          <w:rFonts w:ascii="Arial" w:hAnsi="Arial" w:cs="Arial"/>
          <w:szCs w:val="21"/>
        </w:rPr>
        <w:t xml:space="preserve">, </w:t>
      </w:r>
      <w:proofErr w:type="spellStart"/>
      <w:r w:rsidRPr="008F6F7C">
        <w:rPr>
          <w:rFonts w:ascii="Arial" w:hAnsi="Arial" w:cs="Arial"/>
          <w:szCs w:val="21"/>
        </w:rPr>
        <w:t>Sanae</w:t>
      </w:r>
      <w:proofErr w:type="spellEnd"/>
      <w:r w:rsidRPr="008F6F7C">
        <w:rPr>
          <w:rFonts w:ascii="Arial" w:hAnsi="Arial" w:cs="Arial"/>
          <w:szCs w:val="21"/>
        </w:rPr>
        <w:t xml:space="preserve"> </w:t>
      </w:r>
      <w:proofErr w:type="spellStart"/>
      <w:r w:rsidRPr="008F6F7C">
        <w:rPr>
          <w:rFonts w:ascii="Arial" w:hAnsi="Arial" w:cs="Arial"/>
          <w:szCs w:val="21"/>
        </w:rPr>
        <w:t>Kurihara</w:t>
      </w:r>
      <w:proofErr w:type="spellEnd"/>
      <w:r w:rsidRPr="008F6F7C">
        <w:rPr>
          <w:rFonts w:ascii="Arial" w:hAnsi="Arial" w:cs="Arial"/>
          <w:szCs w:val="21"/>
        </w:rPr>
        <w:t xml:space="preserve">, Chihiro </w:t>
      </w:r>
      <w:proofErr w:type="spellStart"/>
      <w:r w:rsidRPr="008F6F7C">
        <w:rPr>
          <w:rFonts w:ascii="Arial" w:hAnsi="Arial" w:cs="Arial"/>
          <w:szCs w:val="21"/>
        </w:rPr>
        <w:t>Shirato</w:t>
      </w:r>
      <w:proofErr w:type="spellEnd"/>
      <w:r w:rsidRPr="008F6F7C">
        <w:rPr>
          <w:rFonts w:ascii="Arial" w:hAnsi="Arial" w:cs="Arial"/>
          <w:szCs w:val="21"/>
        </w:rPr>
        <w:t xml:space="preserve">, Chiharu Nishikawa, </w:t>
      </w:r>
      <w:proofErr w:type="spellStart"/>
      <w:r w:rsidRPr="008F6F7C">
        <w:rPr>
          <w:rFonts w:ascii="Arial" w:hAnsi="Arial" w:cs="Arial"/>
          <w:szCs w:val="21"/>
        </w:rPr>
        <w:t>Momoe</w:t>
      </w:r>
      <w:proofErr w:type="spellEnd"/>
      <w:r w:rsidRPr="008F6F7C">
        <w:rPr>
          <w:rFonts w:ascii="Arial" w:hAnsi="Arial" w:cs="Arial"/>
          <w:szCs w:val="21"/>
        </w:rPr>
        <w:t xml:space="preserve"> </w:t>
      </w:r>
      <w:proofErr w:type="spellStart"/>
      <w:r w:rsidRPr="008F6F7C">
        <w:rPr>
          <w:rFonts w:ascii="Arial" w:hAnsi="Arial" w:cs="Arial"/>
          <w:szCs w:val="21"/>
        </w:rPr>
        <w:t>Nakagami</w:t>
      </w:r>
      <w:proofErr w:type="spellEnd"/>
      <w:r w:rsidRPr="008F6F7C">
        <w:rPr>
          <w:rFonts w:ascii="Arial" w:hAnsi="Arial" w:cs="Arial"/>
          <w:szCs w:val="21"/>
        </w:rPr>
        <w:t xml:space="preserve">, </w:t>
      </w:r>
      <w:proofErr w:type="spellStart"/>
      <w:r w:rsidRPr="008F6F7C">
        <w:rPr>
          <w:rFonts w:ascii="Arial" w:hAnsi="Arial" w:cs="Arial"/>
          <w:szCs w:val="21"/>
        </w:rPr>
        <w:t>Nahoko</w:t>
      </w:r>
      <w:proofErr w:type="spellEnd"/>
      <w:r w:rsidRPr="008F6F7C">
        <w:rPr>
          <w:rFonts w:ascii="Arial" w:hAnsi="Arial" w:cs="Arial"/>
          <w:szCs w:val="21"/>
        </w:rPr>
        <w:t xml:space="preserve"> Ito, Mina </w:t>
      </w:r>
      <w:proofErr w:type="spellStart"/>
      <w:r w:rsidRPr="008F6F7C">
        <w:rPr>
          <w:rFonts w:ascii="Arial" w:hAnsi="Arial" w:cs="Arial"/>
          <w:szCs w:val="21"/>
        </w:rPr>
        <w:t>Horikiri</w:t>
      </w:r>
      <w:proofErr w:type="spellEnd"/>
      <w:r w:rsidRPr="008F6F7C">
        <w:rPr>
          <w:rFonts w:ascii="Arial" w:hAnsi="Arial" w:cs="Arial"/>
          <w:szCs w:val="21"/>
        </w:rPr>
        <w:t xml:space="preserve">, Yumi Kobayashi, Sayaka Ikeda, </w:t>
      </w:r>
      <w:proofErr w:type="spellStart"/>
      <w:r w:rsidRPr="008F6F7C">
        <w:rPr>
          <w:rFonts w:ascii="Arial" w:hAnsi="Arial" w:cs="Arial"/>
          <w:szCs w:val="21"/>
        </w:rPr>
        <w:t>Asami</w:t>
      </w:r>
      <w:proofErr w:type="spellEnd"/>
      <w:r w:rsidRPr="008F6F7C">
        <w:rPr>
          <w:rFonts w:ascii="Arial" w:hAnsi="Arial" w:cs="Arial"/>
          <w:szCs w:val="21"/>
        </w:rPr>
        <w:t xml:space="preserve"> Matsuo, </w:t>
      </w:r>
      <w:proofErr w:type="spellStart"/>
      <w:r w:rsidRPr="008F6F7C">
        <w:rPr>
          <w:rFonts w:ascii="Arial" w:hAnsi="Arial" w:cs="Arial"/>
          <w:szCs w:val="21"/>
        </w:rPr>
        <w:t>Haruka</w:t>
      </w:r>
      <w:proofErr w:type="spellEnd"/>
      <w:r w:rsidRPr="008F6F7C">
        <w:rPr>
          <w:rFonts w:ascii="Arial" w:hAnsi="Arial" w:cs="Arial"/>
          <w:szCs w:val="21"/>
        </w:rPr>
        <w:t xml:space="preserve"> Sato, Arisa </w:t>
      </w:r>
      <w:proofErr w:type="spellStart"/>
      <w:r w:rsidRPr="008F6F7C">
        <w:rPr>
          <w:rFonts w:ascii="Arial" w:hAnsi="Arial" w:cs="Arial"/>
          <w:szCs w:val="21"/>
        </w:rPr>
        <w:t>Terashima</w:t>
      </w:r>
      <w:proofErr w:type="spellEnd"/>
      <w:r w:rsidRPr="008F6F7C">
        <w:rPr>
          <w:rFonts w:ascii="Arial" w:hAnsi="Arial" w:cs="Arial"/>
          <w:szCs w:val="21"/>
        </w:rPr>
        <w:t xml:space="preserve">, Ayu </w:t>
      </w:r>
      <w:proofErr w:type="spellStart"/>
      <w:r w:rsidRPr="008F6F7C">
        <w:rPr>
          <w:rFonts w:ascii="Arial" w:hAnsi="Arial" w:cs="Arial"/>
          <w:szCs w:val="21"/>
        </w:rPr>
        <w:t>Goto</w:t>
      </w:r>
      <w:proofErr w:type="spellEnd"/>
      <w:r w:rsidRPr="008F6F7C">
        <w:rPr>
          <w:rFonts w:ascii="Arial" w:hAnsi="Arial" w:cs="Arial"/>
          <w:szCs w:val="21"/>
        </w:rPr>
        <w:t xml:space="preserve">, Ayaka </w:t>
      </w:r>
      <w:proofErr w:type="spellStart"/>
      <w:r w:rsidRPr="008F6F7C">
        <w:rPr>
          <w:rFonts w:ascii="Arial" w:hAnsi="Arial" w:cs="Arial"/>
          <w:szCs w:val="21"/>
        </w:rPr>
        <w:t>Kurata</w:t>
      </w:r>
      <w:proofErr w:type="spellEnd"/>
      <w:r w:rsidRPr="008F6F7C">
        <w:rPr>
          <w:rFonts w:ascii="Arial" w:hAnsi="Arial" w:cs="Arial"/>
          <w:szCs w:val="21"/>
        </w:rPr>
        <w:t xml:space="preserve">, Misato </w:t>
      </w:r>
      <w:proofErr w:type="spellStart"/>
      <w:r w:rsidRPr="008F6F7C">
        <w:rPr>
          <w:rFonts w:ascii="Arial" w:hAnsi="Arial" w:cs="Arial"/>
          <w:szCs w:val="21"/>
        </w:rPr>
        <w:t>Masuko</w:t>
      </w:r>
      <w:proofErr w:type="spellEnd"/>
      <w:r w:rsidRPr="008F6F7C">
        <w:rPr>
          <w:rFonts w:ascii="Arial" w:hAnsi="Arial" w:cs="Arial"/>
          <w:szCs w:val="21"/>
        </w:rPr>
        <w:t xml:space="preserve">, Mayumi Iwata, Emiko </w:t>
      </w:r>
      <w:proofErr w:type="spellStart"/>
      <w:r w:rsidRPr="008F6F7C">
        <w:rPr>
          <w:rFonts w:ascii="Arial" w:hAnsi="Arial" w:cs="Arial"/>
          <w:szCs w:val="21"/>
        </w:rPr>
        <w:t>Idehara</w:t>
      </w:r>
      <w:proofErr w:type="spellEnd"/>
      <w:r w:rsidRPr="008F6F7C">
        <w:rPr>
          <w:rFonts w:ascii="Arial" w:hAnsi="Arial" w:cs="Arial"/>
          <w:szCs w:val="21"/>
        </w:rPr>
        <w:t xml:space="preserve">, Akiko Sekiguchi, Yumiko Abe, Rei Ishida, Nagisa Yoshimura, Mami </w:t>
      </w:r>
      <w:proofErr w:type="spellStart"/>
      <w:r w:rsidRPr="008F6F7C">
        <w:rPr>
          <w:rFonts w:ascii="Arial" w:hAnsi="Arial" w:cs="Arial"/>
          <w:szCs w:val="21"/>
        </w:rPr>
        <w:t>Kishima</w:t>
      </w:r>
      <w:proofErr w:type="spellEnd"/>
      <w:r w:rsidRPr="008F6F7C">
        <w:rPr>
          <w:rFonts w:ascii="Arial" w:hAnsi="Arial" w:cs="Arial"/>
          <w:szCs w:val="21"/>
        </w:rPr>
        <w:t xml:space="preserve">, Yu </w:t>
      </w:r>
      <w:proofErr w:type="spellStart"/>
      <w:r w:rsidRPr="008F6F7C">
        <w:rPr>
          <w:rFonts w:ascii="Arial" w:hAnsi="Arial" w:cs="Arial"/>
          <w:szCs w:val="21"/>
        </w:rPr>
        <w:t>Hokazono</w:t>
      </w:r>
      <w:proofErr w:type="spellEnd"/>
      <w:r w:rsidRPr="008F6F7C">
        <w:rPr>
          <w:rFonts w:ascii="Arial" w:hAnsi="Arial" w:cs="Arial"/>
          <w:szCs w:val="21"/>
        </w:rPr>
        <w:t xml:space="preserve">, Aya </w:t>
      </w:r>
      <w:proofErr w:type="spellStart"/>
      <w:r w:rsidRPr="008F6F7C">
        <w:rPr>
          <w:rFonts w:ascii="Arial" w:hAnsi="Arial" w:cs="Arial"/>
          <w:szCs w:val="21"/>
        </w:rPr>
        <w:t>Egashira</w:t>
      </w:r>
      <w:proofErr w:type="spellEnd"/>
      <w:r w:rsidRPr="008F6F7C">
        <w:rPr>
          <w:rFonts w:ascii="Arial" w:hAnsi="Arial" w:cs="Arial"/>
          <w:szCs w:val="21"/>
        </w:rPr>
        <w:t xml:space="preserve">, Mitsuyo </w:t>
      </w:r>
      <w:proofErr w:type="spellStart"/>
      <w:r w:rsidRPr="008F6F7C">
        <w:rPr>
          <w:rFonts w:ascii="Arial" w:hAnsi="Arial" w:cs="Arial"/>
          <w:szCs w:val="21"/>
        </w:rPr>
        <w:t>Kosuge</w:t>
      </w:r>
      <w:proofErr w:type="spellEnd"/>
      <w:r w:rsidRPr="008F6F7C">
        <w:rPr>
          <w:rFonts w:ascii="Arial" w:hAnsi="Arial" w:cs="Arial"/>
          <w:szCs w:val="21"/>
        </w:rPr>
        <w:t>, and Naoko Yumoto</w:t>
      </w:r>
    </w:p>
    <w:p w:rsidR="00332EE4" w:rsidRPr="008F6F7C" w:rsidRDefault="00332EE4" w:rsidP="00332EE4">
      <w:pPr>
        <w:rPr>
          <w:rFonts w:ascii="Arial" w:hAnsi="Arial" w:cs="Arial"/>
          <w:szCs w:val="21"/>
        </w:rPr>
      </w:pPr>
    </w:p>
    <w:p w:rsidR="00332EE4" w:rsidRPr="008F6F7C" w:rsidRDefault="00332EE4" w:rsidP="00332EE4">
      <w:pPr>
        <w:rPr>
          <w:rFonts w:ascii="Arial" w:hAnsi="Arial" w:cs="Arial"/>
          <w:szCs w:val="21"/>
        </w:rPr>
      </w:pPr>
      <w:r w:rsidRPr="008F6F7C">
        <w:rPr>
          <w:rFonts w:ascii="Arial" w:hAnsi="Arial" w:cs="Arial"/>
          <w:szCs w:val="21"/>
        </w:rPr>
        <w:t xml:space="preserve">Doctors and nurses of Juntendo </w:t>
      </w:r>
      <w:proofErr w:type="spellStart"/>
      <w:r w:rsidRPr="008F6F7C">
        <w:rPr>
          <w:rFonts w:ascii="Arial" w:hAnsi="Arial" w:cs="Arial"/>
          <w:szCs w:val="21"/>
        </w:rPr>
        <w:t>Urayasu</w:t>
      </w:r>
      <w:proofErr w:type="spellEnd"/>
      <w:r w:rsidRPr="008F6F7C">
        <w:rPr>
          <w:rFonts w:ascii="Arial" w:hAnsi="Arial" w:cs="Arial"/>
          <w:szCs w:val="21"/>
        </w:rPr>
        <w:t xml:space="preserve"> Hospital: </w:t>
      </w:r>
      <w:proofErr w:type="spellStart"/>
      <w:r w:rsidRPr="008F6F7C">
        <w:rPr>
          <w:rFonts w:ascii="Arial" w:hAnsi="Arial" w:cs="Arial"/>
          <w:szCs w:val="21"/>
        </w:rPr>
        <w:t>Akari</w:t>
      </w:r>
      <w:proofErr w:type="spellEnd"/>
      <w:r w:rsidRPr="008F6F7C">
        <w:rPr>
          <w:rFonts w:ascii="Arial" w:hAnsi="Arial" w:cs="Arial"/>
          <w:szCs w:val="21"/>
        </w:rPr>
        <w:t xml:space="preserve"> Koizumi, Ai </w:t>
      </w:r>
      <w:proofErr w:type="spellStart"/>
      <w:r w:rsidRPr="008F6F7C">
        <w:rPr>
          <w:rFonts w:ascii="Arial" w:hAnsi="Arial" w:cs="Arial"/>
          <w:szCs w:val="21"/>
        </w:rPr>
        <w:t>Takamizu</w:t>
      </w:r>
      <w:proofErr w:type="spellEnd"/>
      <w:r w:rsidRPr="008F6F7C">
        <w:rPr>
          <w:rFonts w:ascii="Arial" w:hAnsi="Arial" w:cs="Arial"/>
          <w:szCs w:val="21"/>
        </w:rPr>
        <w:t xml:space="preserve">, Saki Ito, </w:t>
      </w:r>
      <w:proofErr w:type="spellStart"/>
      <w:r w:rsidRPr="008F6F7C">
        <w:rPr>
          <w:rFonts w:ascii="Arial" w:hAnsi="Arial" w:cs="Arial"/>
          <w:szCs w:val="21"/>
        </w:rPr>
        <w:t>Junya</w:t>
      </w:r>
      <w:proofErr w:type="spellEnd"/>
      <w:r w:rsidRPr="008F6F7C">
        <w:rPr>
          <w:rFonts w:ascii="Arial" w:hAnsi="Arial" w:cs="Arial"/>
          <w:szCs w:val="21"/>
        </w:rPr>
        <w:t xml:space="preserve"> Akiba, </w:t>
      </w:r>
      <w:proofErr w:type="spellStart"/>
      <w:r w:rsidRPr="008F6F7C">
        <w:rPr>
          <w:rFonts w:ascii="Arial" w:hAnsi="Arial" w:cs="Arial"/>
          <w:szCs w:val="21"/>
        </w:rPr>
        <w:t>Masafumi</w:t>
      </w:r>
      <w:proofErr w:type="spellEnd"/>
      <w:r w:rsidRPr="008F6F7C">
        <w:rPr>
          <w:rFonts w:ascii="Arial" w:hAnsi="Arial" w:cs="Arial"/>
          <w:szCs w:val="21"/>
        </w:rPr>
        <w:t xml:space="preserve"> </w:t>
      </w:r>
      <w:proofErr w:type="spellStart"/>
      <w:r w:rsidRPr="008F6F7C">
        <w:rPr>
          <w:rFonts w:ascii="Arial" w:hAnsi="Arial" w:cs="Arial"/>
          <w:szCs w:val="21"/>
        </w:rPr>
        <w:t>Segawa</w:t>
      </w:r>
      <w:proofErr w:type="spellEnd"/>
      <w:r w:rsidRPr="008F6F7C">
        <w:rPr>
          <w:rFonts w:ascii="Arial" w:hAnsi="Arial" w:cs="Arial"/>
          <w:szCs w:val="21"/>
        </w:rPr>
        <w:t>, Norikazu Ueki, Yuki Kitajima and Mariko Aoki</w:t>
      </w:r>
    </w:p>
    <w:p w:rsidR="00332EE4" w:rsidRPr="008F6F7C" w:rsidRDefault="00332EE4" w:rsidP="00332EE4">
      <w:pPr>
        <w:rPr>
          <w:rFonts w:ascii="Arial" w:hAnsi="Arial" w:cs="Arial"/>
          <w:szCs w:val="21"/>
        </w:rPr>
      </w:pPr>
    </w:p>
    <w:p w:rsidR="00332EE4" w:rsidRPr="008F6F7C" w:rsidRDefault="00332EE4" w:rsidP="00332EE4">
      <w:pPr>
        <w:rPr>
          <w:rFonts w:ascii="Arial" w:hAnsi="Arial" w:cs="Arial"/>
          <w:szCs w:val="21"/>
        </w:rPr>
      </w:pPr>
      <w:r w:rsidRPr="008F6F7C">
        <w:rPr>
          <w:rFonts w:ascii="Arial" w:hAnsi="Arial" w:cs="Arial"/>
          <w:szCs w:val="21"/>
        </w:rPr>
        <w:t xml:space="preserve">Doctors and nurses of Juntendo Nerima Hospital: Yuka Kido, </w:t>
      </w:r>
      <w:proofErr w:type="spellStart"/>
      <w:r w:rsidRPr="008F6F7C">
        <w:rPr>
          <w:rFonts w:ascii="Arial" w:hAnsi="Arial" w:cs="Arial"/>
          <w:szCs w:val="21"/>
        </w:rPr>
        <w:t>Riho</w:t>
      </w:r>
      <w:proofErr w:type="spellEnd"/>
      <w:r w:rsidRPr="008F6F7C">
        <w:rPr>
          <w:rFonts w:ascii="Arial" w:hAnsi="Arial" w:cs="Arial"/>
          <w:szCs w:val="21"/>
        </w:rPr>
        <w:t xml:space="preserve"> </w:t>
      </w:r>
      <w:proofErr w:type="spellStart"/>
      <w:r w:rsidRPr="008F6F7C">
        <w:rPr>
          <w:rFonts w:ascii="Arial" w:hAnsi="Arial" w:cs="Arial"/>
          <w:szCs w:val="21"/>
        </w:rPr>
        <w:t>Mera</w:t>
      </w:r>
      <w:proofErr w:type="spellEnd"/>
      <w:r w:rsidRPr="008F6F7C">
        <w:rPr>
          <w:rFonts w:ascii="Arial" w:hAnsi="Arial" w:cs="Arial"/>
          <w:szCs w:val="21"/>
        </w:rPr>
        <w:t xml:space="preserve">, Sakae </w:t>
      </w:r>
      <w:proofErr w:type="spellStart"/>
      <w:r w:rsidRPr="008F6F7C">
        <w:rPr>
          <w:rFonts w:ascii="Arial" w:hAnsi="Arial" w:cs="Arial"/>
          <w:szCs w:val="21"/>
        </w:rPr>
        <w:t>Terao</w:t>
      </w:r>
      <w:proofErr w:type="spellEnd"/>
      <w:r w:rsidRPr="008F6F7C">
        <w:rPr>
          <w:rFonts w:ascii="Arial" w:hAnsi="Arial" w:cs="Arial"/>
          <w:szCs w:val="21"/>
        </w:rPr>
        <w:t xml:space="preserve">, Hiroko Kawai, Utako </w:t>
      </w:r>
      <w:proofErr w:type="spellStart"/>
      <w:r w:rsidRPr="008F6F7C">
        <w:rPr>
          <w:rFonts w:ascii="Arial" w:hAnsi="Arial" w:cs="Arial"/>
          <w:szCs w:val="21"/>
        </w:rPr>
        <w:t>Negoro</w:t>
      </w:r>
      <w:proofErr w:type="spellEnd"/>
      <w:r w:rsidRPr="008F6F7C">
        <w:rPr>
          <w:rFonts w:ascii="Arial" w:hAnsi="Arial" w:cs="Arial"/>
          <w:szCs w:val="21"/>
        </w:rPr>
        <w:t>, Miki Sasaki, and Ena Sekiguchi</w:t>
      </w:r>
    </w:p>
    <w:p w:rsidR="00332EE4" w:rsidRPr="00332EE4" w:rsidRDefault="00332EE4" w:rsidP="00332EE4">
      <w:pPr>
        <w:rPr>
          <w:rFonts w:ascii="Arial" w:hAnsi="Arial" w:cs="Arial"/>
          <w:sz w:val="24"/>
          <w:szCs w:val="32"/>
        </w:rPr>
      </w:pPr>
    </w:p>
    <w:sectPr w:rsidR="00332EE4" w:rsidRPr="00332EE4" w:rsidSect="003405B7">
      <w:pgSz w:w="11906" w:h="16838"/>
      <w:pgMar w:top="998" w:right="1418" w:bottom="10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E4"/>
    <w:rsid w:val="00006087"/>
    <w:rsid w:val="00027975"/>
    <w:rsid w:val="000344C8"/>
    <w:rsid w:val="00112214"/>
    <w:rsid w:val="00301A2F"/>
    <w:rsid w:val="00332EE4"/>
    <w:rsid w:val="003405B7"/>
    <w:rsid w:val="0036306E"/>
    <w:rsid w:val="0046462A"/>
    <w:rsid w:val="00765FC9"/>
    <w:rsid w:val="0087504E"/>
    <w:rsid w:val="00A35E0C"/>
    <w:rsid w:val="00AA4912"/>
    <w:rsid w:val="00C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CE0F0"/>
  <w15:chartTrackingRefBased/>
  <w15:docId w15:val="{AA02DBEF-EF6B-634B-9316-E4A67244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2E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E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E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E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E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E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E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2E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2E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2E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2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2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2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2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2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2E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2E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E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2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E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2E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2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2E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2E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3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7CE2FF-621E-E24E-90C4-1987FA5C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3427</Characters>
  <Application>Microsoft Office Word</Application>
  <DocSecurity>0</DocSecurity>
  <Lines>103</Lines>
  <Paragraphs>63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惠美子 吉田</dc:creator>
  <cp:keywords/>
  <dc:description/>
  <cp:lastModifiedBy>惠美子 吉田</cp:lastModifiedBy>
  <cp:revision>2</cp:revision>
  <cp:lastPrinted>2024-10-20T13:17:00Z</cp:lastPrinted>
  <dcterms:created xsi:type="dcterms:W3CDTF">2024-10-20T13:18:00Z</dcterms:created>
  <dcterms:modified xsi:type="dcterms:W3CDTF">2024-10-20T13:18:00Z</dcterms:modified>
</cp:coreProperties>
</file>