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4AD4" w14:textId="1B41EB97" w:rsidR="00AD2A98" w:rsidRDefault="00E24E5C">
      <w:r>
        <w:t>Appendix 1- Case Definitions and Incubation Periods</w:t>
      </w:r>
    </w:p>
    <w:p w14:paraId="47E06954" w14:textId="12972E8C" w:rsidR="00AB1014" w:rsidRDefault="00E24E5C">
      <w:r>
        <w:t xml:space="preserve">Table 1: </w:t>
      </w:r>
      <w:r w:rsidR="00AB1014">
        <w:t xml:space="preserve">Case definitions by </w:t>
      </w:r>
      <w:r w:rsidR="00AA6E46">
        <w:t>disease</w:t>
      </w:r>
      <w:r>
        <w:t xml:space="preserve"> and province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7"/>
      </w:tblGrid>
      <w:tr w:rsidR="00AA6E46" w14:paraId="120D74A1" w14:textId="77777777" w:rsidTr="00AA6E46">
        <w:tc>
          <w:tcPr>
            <w:tcW w:w="1980" w:type="dxa"/>
          </w:tcPr>
          <w:p w14:paraId="07358BD8" w14:textId="77777777" w:rsidR="00AA6E46" w:rsidRDefault="00AA6E46">
            <w:r>
              <w:t>Disease</w:t>
            </w:r>
          </w:p>
        </w:tc>
        <w:tc>
          <w:tcPr>
            <w:tcW w:w="1843" w:type="dxa"/>
          </w:tcPr>
          <w:p w14:paraId="2C428628" w14:textId="77777777" w:rsidR="00AA6E46" w:rsidRDefault="00AA6E46">
            <w:r>
              <w:t>Province</w:t>
            </w:r>
          </w:p>
        </w:tc>
        <w:tc>
          <w:tcPr>
            <w:tcW w:w="5527" w:type="dxa"/>
          </w:tcPr>
          <w:p w14:paraId="0F217836" w14:textId="77777777" w:rsidR="00AA6E46" w:rsidRDefault="00AA6E46">
            <w:r>
              <w:t>Case Definition</w:t>
            </w:r>
          </w:p>
        </w:tc>
      </w:tr>
      <w:tr w:rsidR="00F34EF5" w14:paraId="084F7A69" w14:textId="77777777" w:rsidTr="00AA6E46">
        <w:tc>
          <w:tcPr>
            <w:tcW w:w="1980" w:type="dxa"/>
            <w:vMerge w:val="restart"/>
          </w:tcPr>
          <w:p w14:paraId="29400321" w14:textId="77777777" w:rsidR="00F34EF5" w:rsidRDefault="00F34EF5">
            <w:r>
              <w:t>C</w:t>
            </w:r>
            <w:r w:rsidRPr="00AA6E46">
              <w:t>ampylobacteriosis</w:t>
            </w:r>
          </w:p>
        </w:tc>
        <w:tc>
          <w:tcPr>
            <w:tcW w:w="1843" w:type="dxa"/>
          </w:tcPr>
          <w:p w14:paraId="17C4DD23" w14:textId="77777777" w:rsidR="00F34EF5" w:rsidRDefault="00F34EF5">
            <w:r>
              <w:t>British Columbia</w:t>
            </w:r>
          </w:p>
        </w:tc>
        <w:tc>
          <w:tcPr>
            <w:tcW w:w="5527" w:type="dxa"/>
          </w:tcPr>
          <w:p w14:paraId="76643A83" w14:textId="77777777" w:rsidR="00F34EF5" w:rsidRDefault="00F34EF5" w:rsidP="00AA6E46">
            <w:r>
              <w:t>Laboratory confirmation of i</w:t>
            </w:r>
            <w:r w:rsidR="00571E9F">
              <w:t>nfection with/without symptoms:</w:t>
            </w:r>
          </w:p>
          <w:p w14:paraId="7E25B9A2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Campylobacter</w:t>
            </w:r>
            <w:r>
              <w:t xml:space="preserve"> from an appropriate clinical specimen.​</w:t>
            </w:r>
          </w:p>
        </w:tc>
      </w:tr>
      <w:tr w:rsidR="00F34EF5" w14:paraId="1B672D65" w14:textId="77777777" w:rsidTr="00AA6E46">
        <w:tc>
          <w:tcPr>
            <w:tcW w:w="1980" w:type="dxa"/>
            <w:vMerge/>
          </w:tcPr>
          <w:p w14:paraId="6C17B9AD" w14:textId="77777777" w:rsidR="00F34EF5" w:rsidRDefault="00F34EF5"/>
        </w:tc>
        <w:tc>
          <w:tcPr>
            <w:tcW w:w="1843" w:type="dxa"/>
          </w:tcPr>
          <w:p w14:paraId="653B1024" w14:textId="77777777" w:rsidR="00F34EF5" w:rsidRDefault="00F34EF5">
            <w:r>
              <w:t>Alberta</w:t>
            </w:r>
          </w:p>
        </w:tc>
        <w:tc>
          <w:tcPr>
            <w:tcW w:w="5527" w:type="dxa"/>
          </w:tcPr>
          <w:p w14:paraId="25E71D4E" w14:textId="77777777" w:rsidR="00F34EF5" w:rsidRDefault="00F34EF5" w:rsidP="00AA6E46">
            <w:r>
              <w:t>Laboratory confirmation of infection wit</w:t>
            </w:r>
            <w:r w:rsidR="00571E9F">
              <w:t>h or without clinical illness:</w:t>
            </w:r>
          </w:p>
          <w:p w14:paraId="2E5C0637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Campylobacter</w:t>
            </w:r>
            <w:r>
              <w:t xml:space="preserve"> species from an appropriate clinical specimen (e.g., stool and blood).</w:t>
            </w:r>
          </w:p>
        </w:tc>
      </w:tr>
      <w:tr w:rsidR="00F34EF5" w14:paraId="27C09CEC" w14:textId="77777777" w:rsidTr="00AA6E46">
        <w:tc>
          <w:tcPr>
            <w:tcW w:w="1980" w:type="dxa"/>
            <w:vMerge/>
          </w:tcPr>
          <w:p w14:paraId="6045451F" w14:textId="77777777" w:rsidR="00F34EF5" w:rsidRDefault="00F34EF5"/>
        </w:tc>
        <w:tc>
          <w:tcPr>
            <w:tcW w:w="1843" w:type="dxa"/>
          </w:tcPr>
          <w:p w14:paraId="5C799066" w14:textId="77777777" w:rsidR="00F34EF5" w:rsidRDefault="00F34EF5">
            <w:r>
              <w:t>Ontario</w:t>
            </w:r>
          </w:p>
        </w:tc>
        <w:tc>
          <w:tcPr>
            <w:tcW w:w="5527" w:type="dxa"/>
          </w:tcPr>
          <w:p w14:paraId="3EA5869A" w14:textId="77777777" w:rsidR="00F34EF5" w:rsidRDefault="00F34EF5" w:rsidP="00F34EF5">
            <w:r>
              <w:t xml:space="preserve">Laboratory confirmation of </w:t>
            </w:r>
            <w:r w:rsidRPr="00481EE3">
              <w:rPr>
                <w:i/>
                <w:iCs/>
              </w:rPr>
              <w:t>Campylobacter</w:t>
            </w:r>
            <w:r>
              <w:t xml:space="preserve"> spp. with or without clinically compatible </w:t>
            </w:r>
            <w:r w:rsidR="00571E9F">
              <w:t>signs and symptoms:</w:t>
            </w:r>
          </w:p>
          <w:p w14:paraId="6F298AD9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Campylobacter</w:t>
            </w:r>
            <w:r>
              <w:t xml:space="preserve"> spp. by culture from an appropriate clinical specimen (e.g. stool, urine, body fluids).</w:t>
            </w:r>
          </w:p>
        </w:tc>
      </w:tr>
      <w:tr w:rsidR="00F34EF5" w14:paraId="6218319E" w14:textId="77777777" w:rsidTr="00AA6E46">
        <w:tc>
          <w:tcPr>
            <w:tcW w:w="1980" w:type="dxa"/>
            <w:vMerge w:val="restart"/>
          </w:tcPr>
          <w:p w14:paraId="2350C767" w14:textId="77777777" w:rsidR="00F34EF5" w:rsidRDefault="00F34EF5" w:rsidP="00F34EF5">
            <w:r>
              <w:t>C</w:t>
            </w:r>
            <w:r w:rsidRPr="00F34EF5">
              <w:t>ryptosporidiosis</w:t>
            </w:r>
          </w:p>
        </w:tc>
        <w:tc>
          <w:tcPr>
            <w:tcW w:w="1843" w:type="dxa"/>
          </w:tcPr>
          <w:p w14:paraId="6CFE80B3" w14:textId="77777777" w:rsidR="00F34EF5" w:rsidRDefault="00F34EF5" w:rsidP="00F34EF5">
            <w:r>
              <w:t>British Columbia</w:t>
            </w:r>
          </w:p>
        </w:tc>
        <w:tc>
          <w:tcPr>
            <w:tcW w:w="5527" w:type="dxa"/>
          </w:tcPr>
          <w:p w14:paraId="7A9C3B66" w14:textId="77777777" w:rsidR="00F34EF5" w:rsidRDefault="00F34EF5" w:rsidP="00F34EF5">
            <w:r>
              <w:t>Laboratory confirmation of infection with/without symptoms from an appropriate clinical specimen (stool, intestinal fluid, or small bowel biopsy):</w:t>
            </w:r>
          </w:p>
          <w:p w14:paraId="569FB94E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oocysts OR</w:t>
            </w:r>
          </w:p>
          <w:p w14:paraId="4894CBEA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by PCR OR</w:t>
            </w:r>
          </w:p>
          <w:p w14:paraId="0F5F9D0A" w14:textId="77777777" w:rsidR="00F34EF5" w:rsidRDefault="00F34EF5" w:rsidP="00F34EF5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antigen by an approved method (e.g. EIA, </w:t>
            </w:r>
            <w:proofErr w:type="spellStart"/>
            <w:r>
              <w:t>immunochromatic</w:t>
            </w:r>
            <w:proofErr w:type="spellEnd"/>
            <w:r>
              <w:t xml:space="preserve"> – ICT)</w:t>
            </w:r>
          </w:p>
        </w:tc>
      </w:tr>
      <w:tr w:rsidR="00F34EF5" w14:paraId="08EE8657" w14:textId="77777777" w:rsidTr="00AA6E46">
        <w:tc>
          <w:tcPr>
            <w:tcW w:w="1980" w:type="dxa"/>
            <w:vMerge/>
          </w:tcPr>
          <w:p w14:paraId="553461F3" w14:textId="77777777" w:rsidR="00F34EF5" w:rsidRDefault="00F34EF5" w:rsidP="00F34EF5"/>
        </w:tc>
        <w:tc>
          <w:tcPr>
            <w:tcW w:w="1843" w:type="dxa"/>
          </w:tcPr>
          <w:p w14:paraId="559E822A" w14:textId="77777777" w:rsidR="00F34EF5" w:rsidRDefault="00F34EF5" w:rsidP="00F34EF5">
            <w:r>
              <w:t>Alberta</w:t>
            </w:r>
          </w:p>
        </w:tc>
        <w:tc>
          <w:tcPr>
            <w:tcW w:w="5527" w:type="dxa"/>
          </w:tcPr>
          <w:p w14:paraId="3CF46BC3" w14:textId="77777777" w:rsidR="00F34EF5" w:rsidRDefault="00F34EF5" w:rsidP="00F34EF5">
            <w:r>
              <w:t>Laboratory confirmation of infection with or without clinical illness from an appropriate clinical</w:t>
            </w:r>
          </w:p>
          <w:p w14:paraId="07D6DDE7" w14:textId="77777777" w:rsidR="00F34EF5" w:rsidRDefault="00F34EF5" w:rsidP="00F34EF5">
            <w:r>
              <w:t>specimen (e.g., stool, intestinal fluid or small bowel biopsy):</w:t>
            </w:r>
          </w:p>
          <w:p w14:paraId="590B9406" w14:textId="77777777" w:rsidR="00F34EF5" w:rsidRDefault="00F34EF5" w:rsidP="00F34EF5">
            <w:pPr>
              <w:pStyle w:val="ListParagraph"/>
              <w:numPr>
                <w:ilvl w:val="0"/>
                <w:numId w:val="3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oocysts</w:t>
            </w:r>
            <w:r w:rsidR="00217A43">
              <w:t xml:space="preserve"> </w:t>
            </w:r>
            <w:r>
              <w:t>OR</w:t>
            </w:r>
          </w:p>
          <w:p w14:paraId="2C3A915C" w14:textId="77777777" w:rsidR="00F34EF5" w:rsidRDefault="00F34EF5" w:rsidP="00F34EF5">
            <w:pPr>
              <w:pStyle w:val="ListParagraph"/>
              <w:numPr>
                <w:ilvl w:val="0"/>
                <w:numId w:val="3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nucleic acid (e.g., PCR) in an appropriate clinical specimen</w:t>
            </w:r>
            <w:r w:rsidR="00217A43">
              <w:t xml:space="preserve"> </w:t>
            </w:r>
            <w:r>
              <w:t>OR</w:t>
            </w:r>
          </w:p>
          <w:p w14:paraId="5DE72E77" w14:textId="77777777" w:rsidR="00F34EF5" w:rsidRDefault="00F34EF5" w:rsidP="00217A43">
            <w:pPr>
              <w:pStyle w:val="ListParagraph"/>
              <w:numPr>
                <w:ilvl w:val="0"/>
                <w:numId w:val="3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antigen by an approved method (e.g., EIA).</w:t>
            </w:r>
          </w:p>
        </w:tc>
      </w:tr>
      <w:tr w:rsidR="00F34EF5" w14:paraId="40DEEFBE" w14:textId="77777777" w:rsidTr="00AA6E46">
        <w:tc>
          <w:tcPr>
            <w:tcW w:w="1980" w:type="dxa"/>
            <w:vMerge/>
          </w:tcPr>
          <w:p w14:paraId="41A47BCA" w14:textId="77777777" w:rsidR="00F34EF5" w:rsidRDefault="00F34EF5" w:rsidP="00F34EF5"/>
        </w:tc>
        <w:tc>
          <w:tcPr>
            <w:tcW w:w="1843" w:type="dxa"/>
          </w:tcPr>
          <w:p w14:paraId="5E2DD976" w14:textId="77777777" w:rsidR="00F34EF5" w:rsidRDefault="00F34EF5" w:rsidP="00F34EF5">
            <w:r>
              <w:t>Ontario</w:t>
            </w:r>
          </w:p>
        </w:tc>
        <w:tc>
          <w:tcPr>
            <w:tcW w:w="5527" w:type="dxa"/>
          </w:tcPr>
          <w:p w14:paraId="1FFC5EFB" w14:textId="77777777" w:rsidR="00217A43" w:rsidRDefault="00217A43" w:rsidP="00217A43">
            <w:r>
              <w:t>Laboratory confirmation of infection, with or without clinically compatible signs and symptoms, from an appropriate clinical specimen (e.g., stool, intestinal fluid, small bowel biopsy):</w:t>
            </w:r>
          </w:p>
          <w:p w14:paraId="2FD4983B" w14:textId="77777777" w:rsidR="00217A43" w:rsidRDefault="00217A43" w:rsidP="00703882">
            <w:pPr>
              <w:pStyle w:val="ListParagraph"/>
              <w:numPr>
                <w:ilvl w:val="0"/>
                <w:numId w:val="7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oocysts; OR</w:t>
            </w:r>
          </w:p>
          <w:p w14:paraId="09E0C922" w14:textId="77777777" w:rsidR="00217A43" w:rsidRDefault="00217A43" w:rsidP="00703882">
            <w:pPr>
              <w:pStyle w:val="ListParagraph"/>
              <w:numPr>
                <w:ilvl w:val="0"/>
                <w:numId w:val="7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deoxyribonucleic acid (DNA); OR</w:t>
            </w:r>
          </w:p>
          <w:p w14:paraId="0F90CB96" w14:textId="77777777" w:rsidR="00F34EF5" w:rsidRDefault="00217A43" w:rsidP="00703882">
            <w:pPr>
              <w:pStyle w:val="ListParagraph"/>
              <w:numPr>
                <w:ilvl w:val="0"/>
                <w:numId w:val="6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Cryptosporidium</w:t>
            </w:r>
            <w:r>
              <w:t xml:space="preserve"> antigen by an approved method (e.g., enzyme immunoassay [EIA], immunochromatographic test [ICT]).</w:t>
            </w:r>
          </w:p>
        </w:tc>
      </w:tr>
      <w:tr w:rsidR="00E44086" w14:paraId="173FDC13" w14:textId="77777777" w:rsidTr="00AA6E46">
        <w:tc>
          <w:tcPr>
            <w:tcW w:w="1980" w:type="dxa"/>
            <w:vMerge w:val="restart"/>
          </w:tcPr>
          <w:p w14:paraId="43A012FB" w14:textId="77777777" w:rsidR="00E44086" w:rsidRDefault="00E44086" w:rsidP="00703882">
            <w:r>
              <w:t>C</w:t>
            </w:r>
            <w:r w:rsidRPr="00703882">
              <w:t>yclosporiasis</w:t>
            </w:r>
          </w:p>
        </w:tc>
        <w:tc>
          <w:tcPr>
            <w:tcW w:w="1843" w:type="dxa"/>
          </w:tcPr>
          <w:p w14:paraId="6F05018B" w14:textId="77777777" w:rsidR="00E44086" w:rsidRDefault="00E44086" w:rsidP="00703882">
            <w:r>
              <w:t>British Columbia</w:t>
            </w:r>
          </w:p>
        </w:tc>
        <w:tc>
          <w:tcPr>
            <w:tcW w:w="5527" w:type="dxa"/>
          </w:tcPr>
          <w:p w14:paraId="2E1933F3" w14:textId="77777777" w:rsidR="00E44086" w:rsidRDefault="00E44086" w:rsidP="00703882">
            <w:r>
              <w:t>Laboratory confirmation of infection with/without symptoms from stool, duodenal/jejunal aspirate, or small bowel biopsy:</w:t>
            </w:r>
          </w:p>
          <w:p w14:paraId="17EAADE6" w14:textId="77777777" w:rsidR="00E44086" w:rsidRDefault="00E44086" w:rsidP="00703882">
            <w:pPr>
              <w:pStyle w:val="ListParagraph"/>
              <w:numPr>
                <w:ilvl w:val="0"/>
                <w:numId w:val="4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Cyclospora</w:t>
            </w:r>
            <w:r>
              <w:t xml:space="preserve"> sp. oocysts OR</w:t>
            </w:r>
          </w:p>
          <w:p w14:paraId="211E0202" w14:textId="77777777" w:rsidR="00E44086" w:rsidRDefault="00E44086" w:rsidP="00703882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Detection of </w:t>
            </w:r>
            <w:r w:rsidRPr="00481EE3">
              <w:rPr>
                <w:i/>
                <w:iCs/>
              </w:rPr>
              <w:t>Cyclospora</w:t>
            </w:r>
            <w:r>
              <w:t xml:space="preserve"> sp. by PCR</w:t>
            </w:r>
          </w:p>
        </w:tc>
      </w:tr>
      <w:tr w:rsidR="00E44086" w14:paraId="47FFA8DB" w14:textId="77777777" w:rsidTr="00AA6E46">
        <w:tc>
          <w:tcPr>
            <w:tcW w:w="1980" w:type="dxa"/>
            <w:vMerge/>
          </w:tcPr>
          <w:p w14:paraId="07EA741C" w14:textId="77777777" w:rsidR="00E44086" w:rsidRDefault="00E44086" w:rsidP="00703882"/>
        </w:tc>
        <w:tc>
          <w:tcPr>
            <w:tcW w:w="1843" w:type="dxa"/>
          </w:tcPr>
          <w:p w14:paraId="48751A48" w14:textId="77777777" w:rsidR="00E44086" w:rsidRDefault="00E44086" w:rsidP="00703882">
            <w:r>
              <w:t>Alberta</w:t>
            </w:r>
          </w:p>
        </w:tc>
        <w:tc>
          <w:tcPr>
            <w:tcW w:w="5527" w:type="dxa"/>
          </w:tcPr>
          <w:p w14:paraId="4F7E1A44" w14:textId="77777777" w:rsidR="00E44086" w:rsidRDefault="00E44086" w:rsidP="00703882">
            <w:r>
              <w:t>Laboratory confirmation of infection with or without clinical illness:</w:t>
            </w:r>
          </w:p>
          <w:p w14:paraId="33C281F0" w14:textId="77777777" w:rsidR="00E44086" w:rsidRDefault="00E44086" w:rsidP="00703882">
            <w:pPr>
              <w:pStyle w:val="ListParagraph"/>
              <w:numPr>
                <w:ilvl w:val="0"/>
                <w:numId w:val="5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Cyclospora</w:t>
            </w:r>
            <w:r>
              <w:t xml:space="preserve"> </w:t>
            </w:r>
            <w:proofErr w:type="spellStart"/>
            <w:r>
              <w:t>cayetanensis</w:t>
            </w:r>
            <w:proofErr w:type="spellEnd"/>
            <w:r>
              <w:t xml:space="preserve"> oocytes in stool, duodenal/jejunal aspirate or small bowel biopsy</w:t>
            </w:r>
          </w:p>
        </w:tc>
      </w:tr>
      <w:tr w:rsidR="00E44086" w14:paraId="550F2CF1" w14:textId="77777777" w:rsidTr="00AA6E46">
        <w:tc>
          <w:tcPr>
            <w:tcW w:w="1980" w:type="dxa"/>
            <w:vMerge/>
          </w:tcPr>
          <w:p w14:paraId="35FDBD24" w14:textId="77777777" w:rsidR="00E44086" w:rsidRDefault="00E44086" w:rsidP="00703882"/>
        </w:tc>
        <w:tc>
          <w:tcPr>
            <w:tcW w:w="1843" w:type="dxa"/>
          </w:tcPr>
          <w:p w14:paraId="624DD0EA" w14:textId="77777777" w:rsidR="00E44086" w:rsidRDefault="00E44086" w:rsidP="00703882">
            <w:r>
              <w:t>Ontario</w:t>
            </w:r>
          </w:p>
        </w:tc>
        <w:tc>
          <w:tcPr>
            <w:tcW w:w="5527" w:type="dxa"/>
          </w:tcPr>
          <w:p w14:paraId="5E547BBF" w14:textId="77777777" w:rsidR="00E44086" w:rsidRDefault="00E44086" w:rsidP="00703882">
            <w:r>
              <w:t>Laboratory confirmation of infection, with or without clinically compatible signs and symptoms, from an appropriate clinical specimen (e.g., stool, duodenal/jejunal aspirate, small bowel biopsy):</w:t>
            </w:r>
          </w:p>
          <w:p w14:paraId="6A1C26F3" w14:textId="77777777" w:rsidR="00E44086" w:rsidRDefault="00E44086" w:rsidP="00703882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Cyclospora</w:t>
            </w:r>
            <w:r>
              <w:t xml:space="preserve"> </w:t>
            </w:r>
            <w:proofErr w:type="spellStart"/>
            <w:r>
              <w:t>cayetanensis</w:t>
            </w:r>
            <w:proofErr w:type="spellEnd"/>
            <w:r>
              <w:t xml:space="preserve"> (C. </w:t>
            </w:r>
            <w:proofErr w:type="spellStart"/>
            <w:r>
              <w:t>cayetanensis</w:t>
            </w:r>
            <w:proofErr w:type="spellEnd"/>
            <w:r>
              <w:t xml:space="preserve">) oocysts (by morphologic criteria) or </w:t>
            </w:r>
            <w:r w:rsidRPr="00481EE3">
              <w:rPr>
                <w:i/>
                <w:iCs/>
              </w:rPr>
              <w:t>Cyclospora</w:t>
            </w:r>
            <w:r>
              <w:t xml:space="preserve"> deoxyribonucleic acid (DNA), by polymerase chain reaction (PCR)</w:t>
            </w:r>
          </w:p>
        </w:tc>
      </w:tr>
      <w:tr w:rsidR="00E44086" w14:paraId="4FAFBE56" w14:textId="77777777" w:rsidTr="00AA6E46">
        <w:tc>
          <w:tcPr>
            <w:tcW w:w="1980" w:type="dxa"/>
            <w:vMerge w:val="restart"/>
          </w:tcPr>
          <w:p w14:paraId="423BEC46" w14:textId="77777777" w:rsidR="00E44086" w:rsidRDefault="00E44086" w:rsidP="00E44086">
            <w:r>
              <w:t>G</w:t>
            </w:r>
            <w:r w:rsidRPr="00E44086">
              <w:t>iardiasis</w:t>
            </w:r>
          </w:p>
        </w:tc>
        <w:tc>
          <w:tcPr>
            <w:tcW w:w="1843" w:type="dxa"/>
          </w:tcPr>
          <w:p w14:paraId="0FE4014A" w14:textId="77777777" w:rsidR="00E44086" w:rsidRDefault="00E44086" w:rsidP="00E44086">
            <w:r>
              <w:t>British Columbia</w:t>
            </w:r>
          </w:p>
        </w:tc>
        <w:tc>
          <w:tcPr>
            <w:tcW w:w="5527" w:type="dxa"/>
          </w:tcPr>
          <w:p w14:paraId="39122EC7" w14:textId="77777777" w:rsidR="00E44086" w:rsidRDefault="00E44086" w:rsidP="00E44086">
            <w:r>
              <w:t xml:space="preserve">Laboratory confirmation of infection with/without symptoms from stool, duodenal fluid, or small bowel biopsy specimen: </w:t>
            </w:r>
          </w:p>
          <w:p w14:paraId="0999594B" w14:textId="77777777" w:rsidR="00E44086" w:rsidRDefault="00E44086" w:rsidP="00E44086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Giardia</w:t>
            </w:r>
            <w:r>
              <w:t xml:space="preserve"> lamblia OR</w:t>
            </w:r>
          </w:p>
          <w:p w14:paraId="5B035348" w14:textId="77777777" w:rsidR="00E44086" w:rsidRDefault="00E44086" w:rsidP="00E44086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Giardia</w:t>
            </w:r>
            <w:r>
              <w:t xml:space="preserve"> lamblia antigen OR</w:t>
            </w:r>
          </w:p>
          <w:p w14:paraId="299EE479" w14:textId="77777777" w:rsidR="00E44086" w:rsidRDefault="00E44086" w:rsidP="00E44086">
            <w:pPr>
              <w:pStyle w:val="ListParagraph"/>
              <w:numPr>
                <w:ilvl w:val="0"/>
                <w:numId w:val="5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Giardia</w:t>
            </w:r>
            <w:r>
              <w:t xml:space="preserve"> lamblia by PCR</w:t>
            </w:r>
          </w:p>
        </w:tc>
      </w:tr>
      <w:tr w:rsidR="00E44086" w14:paraId="6537CA0E" w14:textId="77777777" w:rsidTr="00AA6E46">
        <w:tc>
          <w:tcPr>
            <w:tcW w:w="1980" w:type="dxa"/>
            <w:vMerge/>
          </w:tcPr>
          <w:p w14:paraId="2425D4EB" w14:textId="77777777" w:rsidR="00E44086" w:rsidRDefault="00E44086" w:rsidP="00E44086"/>
        </w:tc>
        <w:tc>
          <w:tcPr>
            <w:tcW w:w="1843" w:type="dxa"/>
          </w:tcPr>
          <w:p w14:paraId="5A65EF85" w14:textId="77777777" w:rsidR="00E44086" w:rsidRDefault="00E44086" w:rsidP="00E44086">
            <w:r>
              <w:t>Alberta</w:t>
            </w:r>
          </w:p>
        </w:tc>
        <w:tc>
          <w:tcPr>
            <w:tcW w:w="5527" w:type="dxa"/>
          </w:tcPr>
          <w:p w14:paraId="13A2AB58" w14:textId="77777777" w:rsidR="00E44086" w:rsidRDefault="00E44086" w:rsidP="00E44086">
            <w:r>
              <w:t>Laboratory confirmation of infection with or without clinical illness:</w:t>
            </w:r>
          </w:p>
          <w:p w14:paraId="62940344" w14:textId="77777777" w:rsidR="00E44086" w:rsidRDefault="00E44086" w:rsidP="00E44086">
            <w:pPr>
              <w:pStyle w:val="ListParagraph"/>
              <w:numPr>
                <w:ilvl w:val="0"/>
                <w:numId w:val="8"/>
              </w:numPr>
            </w:pPr>
            <w:r>
              <w:t xml:space="preserve">Microscopic detection of </w:t>
            </w:r>
            <w:r w:rsidRPr="00481EE3">
              <w:rPr>
                <w:i/>
                <w:iCs/>
              </w:rPr>
              <w:t>Giardia</w:t>
            </w:r>
            <w:r>
              <w:t xml:space="preserve"> trophozoites and/or cysts in stool, duodenal fluid or duodenal/small bowel biopsy specimens, OR</w:t>
            </w:r>
          </w:p>
          <w:p w14:paraId="634E3FA9" w14:textId="77777777" w:rsidR="00E44086" w:rsidRDefault="00E44086" w:rsidP="00E44086">
            <w:pPr>
              <w:pStyle w:val="ListParagraph"/>
              <w:numPr>
                <w:ilvl w:val="0"/>
                <w:numId w:val="8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Giardia</w:t>
            </w:r>
            <w:r>
              <w:t xml:space="preserve"> antigen in stool by a </w:t>
            </w:r>
            <w:r w:rsidRPr="00481EE3">
              <w:rPr>
                <w:i/>
                <w:iCs/>
              </w:rPr>
              <w:t>Giardia</w:t>
            </w:r>
            <w:r>
              <w:t>-specific immunodiagnostic test (e.g., EIA), OR</w:t>
            </w:r>
          </w:p>
          <w:p w14:paraId="4BED2F2E" w14:textId="77777777" w:rsidR="00E44086" w:rsidRDefault="00E44086" w:rsidP="00E44086">
            <w:pPr>
              <w:pStyle w:val="ListParagraph"/>
              <w:numPr>
                <w:ilvl w:val="0"/>
                <w:numId w:val="8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Giardia</w:t>
            </w:r>
            <w:r>
              <w:t xml:space="preserve"> nucleic acid (e.g., PCR) in an appropriate clinical specimen (e.g., stool, fluid or tissue).</w:t>
            </w:r>
          </w:p>
        </w:tc>
      </w:tr>
      <w:tr w:rsidR="00E44086" w14:paraId="58D5BE8E" w14:textId="77777777" w:rsidTr="00AA6E46">
        <w:tc>
          <w:tcPr>
            <w:tcW w:w="1980" w:type="dxa"/>
            <w:vMerge/>
          </w:tcPr>
          <w:p w14:paraId="284F6CD4" w14:textId="77777777" w:rsidR="00E44086" w:rsidRDefault="00E44086" w:rsidP="00E44086"/>
        </w:tc>
        <w:tc>
          <w:tcPr>
            <w:tcW w:w="1843" w:type="dxa"/>
          </w:tcPr>
          <w:p w14:paraId="0A0ED085" w14:textId="77777777" w:rsidR="00E44086" w:rsidRDefault="00E44086" w:rsidP="00E44086">
            <w:r>
              <w:t>Ontario</w:t>
            </w:r>
          </w:p>
        </w:tc>
        <w:tc>
          <w:tcPr>
            <w:tcW w:w="5527" w:type="dxa"/>
          </w:tcPr>
          <w:p w14:paraId="75622713" w14:textId="77777777" w:rsidR="00E44086" w:rsidRDefault="00E44086" w:rsidP="00E44086">
            <w:r>
              <w:t>Laboratory confirmation of infection, with clinically compatible signs and symptoms, from an appropriate clinical specimen (e.g., stool, duodenal fluid, small bowel biopsy):</w:t>
            </w:r>
          </w:p>
          <w:p w14:paraId="5181FCE9" w14:textId="77777777" w:rsidR="00E44086" w:rsidRDefault="00E44086" w:rsidP="00E44086">
            <w:pPr>
              <w:pStyle w:val="ListParagraph"/>
              <w:numPr>
                <w:ilvl w:val="0"/>
                <w:numId w:val="9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Giardia</w:t>
            </w:r>
            <w:r>
              <w:t xml:space="preserve"> lamblia (</w:t>
            </w:r>
            <w:r w:rsidRPr="00481EE3">
              <w:rPr>
                <w:i/>
                <w:iCs/>
              </w:rPr>
              <w:t>G</w:t>
            </w:r>
            <w:r>
              <w:t>. lamblia) cysts or trophozoites OR</w:t>
            </w:r>
          </w:p>
          <w:p w14:paraId="02D05DFA" w14:textId="77777777" w:rsidR="00E44086" w:rsidRDefault="00E44086" w:rsidP="00E44086">
            <w:pPr>
              <w:pStyle w:val="ListParagraph"/>
              <w:numPr>
                <w:ilvl w:val="0"/>
                <w:numId w:val="9"/>
              </w:numPr>
            </w:pPr>
            <w:r>
              <w:t xml:space="preserve">Demonstration of </w:t>
            </w:r>
            <w:r w:rsidRPr="00481EE3">
              <w:rPr>
                <w:i/>
                <w:iCs/>
              </w:rPr>
              <w:t>G</w:t>
            </w:r>
            <w:r>
              <w:t xml:space="preserve">. lamblia antigen by an approved method (e.g., </w:t>
            </w:r>
            <w:proofErr w:type="spellStart"/>
            <w:r>
              <w:t>enzymeimmunoassay</w:t>
            </w:r>
            <w:proofErr w:type="spellEnd"/>
            <w:r>
              <w:t xml:space="preserve"> [EIA], immunochromatographic test [ICT]) OR</w:t>
            </w:r>
          </w:p>
          <w:p w14:paraId="0EB1DF72" w14:textId="77777777" w:rsidR="00E44086" w:rsidRDefault="00E44086" w:rsidP="00E44086">
            <w:pPr>
              <w:pStyle w:val="ListParagraph"/>
              <w:numPr>
                <w:ilvl w:val="0"/>
                <w:numId w:val="9"/>
              </w:numPr>
            </w:pPr>
            <w:r>
              <w:t xml:space="preserve">Detection of </w:t>
            </w:r>
            <w:r w:rsidRPr="00481EE3">
              <w:rPr>
                <w:i/>
                <w:iCs/>
              </w:rPr>
              <w:t>Giardia</w:t>
            </w:r>
            <w:r>
              <w:t xml:space="preserve"> deoxyribonucleic acid (DNA)</w:t>
            </w:r>
          </w:p>
        </w:tc>
      </w:tr>
      <w:tr w:rsidR="00571E9F" w14:paraId="31C4E805" w14:textId="77777777" w:rsidTr="00AA6E46">
        <w:tc>
          <w:tcPr>
            <w:tcW w:w="1980" w:type="dxa"/>
            <w:vMerge w:val="restart"/>
          </w:tcPr>
          <w:p w14:paraId="1AFC2987" w14:textId="77777777" w:rsidR="00571E9F" w:rsidRDefault="00571E9F" w:rsidP="007A488A">
            <w:r>
              <w:t>S</w:t>
            </w:r>
            <w:r w:rsidRPr="00E44086">
              <w:t>almonellosis</w:t>
            </w:r>
          </w:p>
        </w:tc>
        <w:tc>
          <w:tcPr>
            <w:tcW w:w="1843" w:type="dxa"/>
          </w:tcPr>
          <w:p w14:paraId="56D1CEA6" w14:textId="77777777" w:rsidR="00571E9F" w:rsidRDefault="00571E9F" w:rsidP="007A488A">
            <w:r>
              <w:t>British Columbia</w:t>
            </w:r>
          </w:p>
        </w:tc>
        <w:tc>
          <w:tcPr>
            <w:tcW w:w="5527" w:type="dxa"/>
          </w:tcPr>
          <w:p w14:paraId="49F18F65" w14:textId="77777777" w:rsidR="00571E9F" w:rsidRDefault="00571E9F" w:rsidP="007A488A">
            <w:r>
              <w:t>Laboratory confirmation of infection with/without symptoms:</w:t>
            </w:r>
          </w:p>
          <w:p w14:paraId="5316EE68" w14:textId="77777777" w:rsidR="00571E9F" w:rsidRDefault="00571E9F" w:rsidP="007A488A">
            <w:pPr>
              <w:pStyle w:val="ListParagraph"/>
              <w:numPr>
                <w:ilvl w:val="0"/>
                <w:numId w:val="10"/>
              </w:numPr>
            </w:pPr>
            <w:r>
              <w:t xml:space="preserve">Isolation of a </w:t>
            </w:r>
            <w:r w:rsidRPr="00481EE3">
              <w:rPr>
                <w:i/>
                <w:iCs/>
              </w:rPr>
              <w:t>Salmonella</w:t>
            </w:r>
            <w:r>
              <w:t xml:space="preserve"> sp. from an appropriate clinical specimen</w:t>
            </w:r>
          </w:p>
        </w:tc>
      </w:tr>
      <w:tr w:rsidR="00571E9F" w14:paraId="071FAA37" w14:textId="77777777" w:rsidTr="00AA6E46">
        <w:tc>
          <w:tcPr>
            <w:tcW w:w="1980" w:type="dxa"/>
            <w:vMerge/>
          </w:tcPr>
          <w:p w14:paraId="6A05D24B" w14:textId="77777777" w:rsidR="00571E9F" w:rsidRDefault="00571E9F" w:rsidP="007A488A"/>
        </w:tc>
        <w:tc>
          <w:tcPr>
            <w:tcW w:w="1843" w:type="dxa"/>
          </w:tcPr>
          <w:p w14:paraId="7C617636" w14:textId="77777777" w:rsidR="00571E9F" w:rsidRDefault="00571E9F" w:rsidP="007A488A">
            <w:r>
              <w:t>Alberta</w:t>
            </w:r>
          </w:p>
        </w:tc>
        <w:tc>
          <w:tcPr>
            <w:tcW w:w="5527" w:type="dxa"/>
          </w:tcPr>
          <w:p w14:paraId="4200F632" w14:textId="77777777" w:rsidR="00571E9F" w:rsidRDefault="00571E9F" w:rsidP="00571E9F">
            <w:r>
              <w:t>Laboratory confirmation of infection with or without clinical illness:</w:t>
            </w:r>
          </w:p>
          <w:p w14:paraId="39F1AA51" w14:textId="77777777" w:rsidR="00571E9F" w:rsidRDefault="00571E9F" w:rsidP="00571E9F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Isolation of a </w:t>
            </w:r>
            <w:r w:rsidRPr="00481EE3">
              <w:rPr>
                <w:i/>
                <w:iCs/>
              </w:rPr>
              <w:t>Salmonella</w:t>
            </w:r>
            <w:r>
              <w:t xml:space="preserve"> sp. (excluding </w:t>
            </w:r>
            <w:r w:rsidRPr="00481EE3">
              <w:rPr>
                <w:i/>
                <w:iCs/>
              </w:rPr>
              <w:t>S</w:t>
            </w:r>
            <w:r>
              <w:t>. Typhi / Paratyphi) from an appropriate clinical specimen (e.g., stool, urine, blood, sterile site, deep tissue wound).</w:t>
            </w:r>
          </w:p>
        </w:tc>
      </w:tr>
      <w:tr w:rsidR="00571E9F" w14:paraId="122E8667" w14:textId="77777777" w:rsidTr="00AA6E46">
        <w:tc>
          <w:tcPr>
            <w:tcW w:w="1980" w:type="dxa"/>
            <w:vMerge/>
          </w:tcPr>
          <w:p w14:paraId="64D1A9B7" w14:textId="77777777" w:rsidR="00571E9F" w:rsidRDefault="00571E9F" w:rsidP="007A488A"/>
        </w:tc>
        <w:tc>
          <w:tcPr>
            <w:tcW w:w="1843" w:type="dxa"/>
          </w:tcPr>
          <w:p w14:paraId="5A68B1FD" w14:textId="77777777" w:rsidR="00571E9F" w:rsidRDefault="00571E9F" w:rsidP="007A488A">
            <w:r>
              <w:t>Ontario</w:t>
            </w:r>
          </w:p>
        </w:tc>
        <w:tc>
          <w:tcPr>
            <w:tcW w:w="5527" w:type="dxa"/>
          </w:tcPr>
          <w:p w14:paraId="7D810EF3" w14:textId="77777777" w:rsidR="00571E9F" w:rsidRDefault="00571E9F" w:rsidP="00571E9F">
            <w:r>
              <w:t>Laboratory confirmation of infection with or without clinically compatible signs and symptoms:</w:t>
            </w:r>
          </w:p>
          <w:p w14:paraId="5B276A86" w14:textId="77777777" w:rsidR="00571E9F" w:rsidRDefault="00571E9F" w:rsidP="00571E9F">
            <w:pPr>
              <w:pStyle w:val="ListParagraph"/>
              <w:numPr>
                <w:ilvl w:val="0"/>
                <w:numId w:val="10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Salmonella</w:t>
            </w:r>
            <w:r>
              <w:t xml:space="preserve"> spp. by culture (excluding </w:t>
            </w:r>
            <w:r w:rsidRPr="00481EE3">
              <w:rPr>
                <w:i/>
                <w:iCs/>
              </w:rPr>
              <w:t>Salmonella</w:t>
            </w:r>
            <w:r>
              <w:t xml:space="preserve"> Typhi or Paratyphi) from an appropriate clinical specimen (e.g., sterile site, blood, stool, urine)</w:t>
            </w:r>
          </w:p>
        </w:tc>
      </w:tr>
      <w:tr w:rsidR="00571E9F" w14:paraId="21061CD1" w14:textId="77777777" w:rsidTr="00AA6E46">
        <w:tc>
          <w:tcPr>
            <w:tcW w:w="1980" w:type="dxa"/>
            <w:vMerge w:val="restart"/>
          </w:tcPr>
          <w:p w14:paraId="1DE6CA3A" w14:textId="77777777" w:rsidR="00571E9F" w:rsidRDefault="00571E9F" w:rsidP="007A488A">
            <w:r>
              <w:t>S</w:t>
            </w:r>
            <w:r w:rsidRPr="00571E9F">
              <w:t>higellosis</w:t>
            </w:r>
          </w:p>
        </w:tc>
        <w:tc>
          <w:tcPr>
            <w:tcW w:w="1843" w:type="dxa"/>
          </w:tcPr>
          <w:p w14:paraId="39E8DE60" w14:textId="77777777" w:rsidR="00571E9F" w:rsidRDefault="00571E9F" w:rsidP="007A488A">
            <w:r>
              <w:t>British Columbia</w:t>
            </w:r>
          </w:p>
        </w:tc>
        <w:tc>
          <w:tcPr>
            <w:tcW w:w="5527" w:type="dxa"/>
          </w:tcPr>
          <w:p w14:paraId="35A7D168" w14:textId="77777777" w:rsidR="00571E9F" w:rsidRDefault="00571E9F" w:rsidP="007A488A">
            <w:r w:rsidRPr="00571E9F">
              <w:t>Laboratory confirmation of i</w:t>
            </w:r>
            <w:r>
              <w:t>nfection with/without symptoms:</w:t>
            </w:r>
          </w:p>
          <w:p w14:paraId="02195608" w14:textId="77777777" w:rsidR="00571E9F" w:rsidRDefault="00571E9F" w:rsidP="00571E9F">
            <w:pPr>
              <w:pStyle w:val="ListParagraph"/>
              <w:numPr>
                <w:ilvl w:val="0"/>
                <w:numId w:val="10"/>
              </w:numPr>
            </w:pPr>
            <w:r>
              <w:t>I</w:t>
            </w:r>
            <w:r w:rsidRPr="00571E9F">
              <w:t xml:space="preserve">solation of </w:t>
            </w:r>
            <w:r w:rsidRPr="00481EE3">
              <w:rPr>
                <w:i/>
                <w:iCs/>
              </w:rPr>
              <w:t>Shigella</w:t>
            </w:r>
            <w:r w:rsidRPr="00571E9F">
              <w:t xml:space="preserve"> sp. from an appropriate clinical specimen</w:t>
            </w:r>
          </w:p>
        </w:tc>
      </w:tr>
      <w:tr w:rsidR="00571E9F" w14:paraId="76FDDCB9" w14:textId="77777777" w:rsidTr="00AA6E46">
        <w:tc>
          <w:tcPr>
            <w:tcW w:w="1980" w:type="dxa"/>
            <w:vMerge/>
          </w:tcPr>
          <w:p w14:paraId="028C4257" w14:textId="77777777" w:rsidR="00571E9F" w:rsidRDefault="00571E9F" w:rsidP="007A488A"/>
        </w:tc>
        <w:tc>
          <w:tcPr>
            <w:tcW w:w="1843" w:type="dxa"/>
          </w:tcPr>
          <w:p w14:paraId="59D9C7DD" w14:textId="77777777" w:rsidR="00571E9F" w:rsidRDefault="00571E9F" w:rsidP="007A488A">
            <w:r>
              <w:t>Alberta</w:t>
            </w:r>
          </w:p>
        </w:tc>
        <w:tc>
          <w:tcPr>
            <w:tcW w:w="5527" w:type="dxa"/>
          </w:tcPr>
          <w:p w14:paraId="12D55556" w14:textId="77777777" w:rsidR="00571E9F" w:rsidRDefault="00571E9F" w:rsidP="00571E9F">
            <w:r>
              <w:t>Laboratory confirmation of infection with or without clinical illness:</w:t>
            </w:r>
          </w:p>
          <w:p w14:paraId="1D378BE0" w14:textId="77777777" w:rsidR="00571E9F" w:rsidRDefault="00571E9F" w:rsidP="00571E9F">
            <w:pPr>
              <w:pStyle w:val="ListParagraph"/>
              <w:numPr>
                <w:ilvl w:val="0"/>
                <w:numId w:val="10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Shigella</w:t>
            </w:r>
            <w:r>
              <w:t xml:space="preserve"> species from an appropriate clinical specimen (e.g., sterile site, deep tissue wounds, stool, vomit or urine).</w:t>
            </w:r>
          </w:p>
        </w:tc>
      </w:tr>
      <w:tr w:rsidR="00571E9F" w14:paraId="4581CEA2" w14:textId="77777777" w:rsidTr="00AA6E46">
        <w:tc>
          <w:tcPr>
            <w:tcW w:w="1980" w:type="dxa"/>
            <w:vMerge/>
          </w:tcPr>
          <w:p w14:paraId="0409A8EF" w14:textId="77777777" w:rsidR="00571E9F" w:rsidRDefault="00571E9F" w:rsidP="007A488A"/>
        </w:tc>
        <w:tc>
          <w:tcPr>
            <w:tcW w:w="1843" w:type="dxa"/>
          </w:tcPr>
          <w:p w14:paraId="01A298E4" w14:textId="77777777" w:rsidR="00571E9F" w:rsidRDefault="00571E9F" w:rsidP="007A488A">
            <w:r>
              <w:t>Ontario</w:t>
            </w:r>
          </w:p>
        </w:tc>
        <w:tc>
          <w:tcPr>
            <w:tcW w:w="5527" w:type="dxa"/>
          </w:tcPr>
          <w:p w14:paraId="55D021EB" w14:textId="77777777" w:rsidR="00571E9F" w:rsidRDefault="00571E9F" w:rsidP="00571E9F">
            <w:r>
              <w:t>Laboratory confirmation of infection with or without clinically compatible signs and symptoms:</w:t>
            </w:r>
          </w:p>
          <w:p w14:paraId="2CB20BF7" w14:textId="77777777" w:rsidR="00571E9F" w:rsidRDefault="00571E9F" w:rsidP="00571E9F">
            <w:pPr>
              <w:pStyle w:val="ListParagraph"/>
              <w:numPr>
                <w:ilvl w:val="0"/>
                <w:numId w:val="10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Shigella</w:t>
            </w:r>
            <w:r>
              <w:t xml:space="preserve"> spp. by culture from an appropriate clinical specimen (e.g., stool, rectal swab)</w:t>
            </w:r>
          </w:p>
        </w:tc>
      </w:tr>
      <w:tr w:rsidR="00CC5D6B" w14:paraId="601795CB" w14:textId="77777777" w:rsidTr="00AA6E46">
        <w:tc>
          <w:tcPr>
            <w:tcW w:w="1980" w:type="dxa"/>
            <w:vMerge w:val="restart"/>
          </w:tcPr>
          <w:p w14:paraId="1FE0F6C5" w14:textId="77777777" w:rsidR="00CC5D6B" w:rsidRDefault="00CC5D6B" w:rsidP="007A488A">
            <w:r w:rsidRPr="00CC5D6B">
              <w:t>STEC infection</w:t>
            </w:r>
          </w:p>
        </w:tc>
        <w:tc>
          <w:tcPr>
            <w:tcW w:w="1843" w:type="dxa"/>
          </w:tcPr>
          <w:p w14:paraId="146795D9" w14:textId="77777777" w:rsidR="00CC5D6B" w:rsidRDefault="00CC5D6B" w:rsidP="007A488A">
            <w:r>
              <w:t>British Columbia</w:t>
            </w:r>
          </w:p>
        </w:tc>
        <w:tc>
          <w:tcPr>
            <w:tcW w:w="5527" w:type="dxa"/>
          </w:tcPr>
          <w:p w14:paraId="64EC54BC" w14:textId="77777777" w:rsidR="00CC5D6B" w:rsidRDefault="00CC5D6B" w:rsidP="00CC5D6B">
            <w:r>
              <w:t xml:space="preserve">Laboratory confirmation of infection in a patient with or without clinical illness: </w:t>
            </w:r>
          </w:p>
          <w:p w14:paraId="597BA542" w14:textId="77777777" w:rsidR="00CC5D6B" w:rsidRDefault="00CC5D6B" w:rsidP="00CC5D6B">
            <w:pPr>
              <w:pStyle w:val="ListParagraph"/>
              <w:numPr>
                <w:ilvl w:val="0"/>
                <w:numId w:val="10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E. coli</w:t>
            </w:r>
            <w:r>
              <w:t xml:space="preserve"> O157* from a clinical specimen OR </w:t>
            </w:r>
          </w:p>
          <w:p w14:paraId="777FC391" w14:textId="77777777" w:rsidR="00CC5D6B" w:rsidRDefault="00CC5D6B" w:rsidP="00CC5D6B">
            <w:pPr>
              <w:pStyle w:val="ListParagraph"/>
              <w:numPr>
                <w:ilvl w:val="0"/>
                <w:numId w:val="10"/>
              </w:numPr>
            </w:pPr>
            <w:r>
              <w:t xml:space="preserve">Detection of </w:t>
            </w:r>
            <w:proofErr w:type="spellStart"/>
            <w:r>
              <w:t>shiga</w:t>
            </w:r>
            <w:proofErr w:type="spellEnd"/>
            <w:r>
              <w:t xml:space="preserve"> toxin gene by PCR** from a clinical specimen  </w:t>
            </w:r>
          </w:p>
          <w:p w14:paraId="7B7E95C5" w14:textId="77777777" w:rsidR="00CC5D6B" w:rsidRPr="00CC5D6B" w:rsidRDefault="00CC5D6B" w:rsidP="00CC5D6B">
            <w:pPr>
              <w:rPr>
                <w:sz w:val="18"/>
                <w:szCs w:val="18"/>
              </w:rPr>
            </w:pPr>
            <w:r w:rsidRPr="00CC5D6B">
              <w:rPr>
                <w:sz w:val="18"/>
                <w:szCs w:val="18"/>
              </w:rPr>
              <w:t xml:space="preserve">*All </w:t>
            </w:r>
            <w:r w:rsidRPr="00481EE3">
              <w:rPr>
                <w:i/>
                <w:iCs/>
                <w:sz w:val="18"/>
                <w:szCs w:val="18"/>
              </w:rPr>
              <w:t>E. coli</w:t>
            </w:r>
            <w:r w:rsidRPr="00CC5D6B">
              <w:rPr>
                <w:sz w:val="18"/>
                <w:szCs w:val="18"/>
              </w:rPr>
              <w:t xml:space="preserve"> O157, including </w:t>
            </w:r>
            <w:proofErr w:type="spellStart"/>
            <w:r w:rsidRPr="00CC5D6B">
              <w:rPr>
                <w:sz w:val="18"/>
                <w:szCs w:val="18"/>
              </w:rPr>
              <w:t>shiga</w:t>
            </w:r>
            <w:proofErr w:type="spellEnd"/>
            <w:r w:rsidRPr="00CC5D6B">
              <w:rPr>
                <w:sz w:val="18"/>
                <w:szCs w:val="18"/>
              </w:rPr>
              <w:t xml:space="preserve"> toxin gene positive and negative are included</w:t>
            </w:r>
          </w:p>
          <w:p w14:paraId="4244AFC3" w14:textId="77777777" w:rsidR="00CC5D6B" w:rsidRDefault="00CC5D6B" w:rsidP="00CC5D6B">
            <w:r w:rsidRPr="00CC5D6B">
              <w:rPr>
                <w:sz w:val="18"/>
                <w:szCs w:val="18"/>
              </w:rPr>
              <w:t xml:space="preserve">**Includes cases infected with Shiga toxin producing </w:t>
            </w:r>
            <w:r w:rsidRPr="00481EE3">
              <w:rPr>
                <w:i/>
                <w:iCs/>
                <w:sz w:val="18"/>
                <w:szCs w:val="18"/>
              </w:rPr>
              <w:t>E. coli</w:t>
            </w:r>
            <w:r w:rsidRPr="00CC5D6B">
              <w:rPr>
                <w:sz w:val="18"/>
                <w:szCs w:val="18"/>
              </w:rPr>
              <w:t xml:space="preserve"> non-O157</w:t>
            </w:r>
          </w:p>
        </w:tc>
      </w:tr>
      <w:tr w:rsidR="00CC5D6B" w14:paraId="12F675A5" w14:textId="77777777" w:rsidTr="00AA6E46">
        <w:tc>
          <w:tcPr>
            <w:tcW w:w="1980" w:type="dxa"/>
            <w:vMerge/>
          </w:tcPr>
          <w:p w14:paraId="03DA714E" w14:textId="77777777" w:rsidR="00CC5D6B" w:rsidRDefault="00CC5D6B" w:rsidP="007A488A"/>
        </w:tc>
        <w:tc>
          <w:tcPr>
            <w:tcW w:w="1843" w:type="dxa"/>
          </w:tcPr>
          <w:p w14:paraId="6E3967AB" w14:textId="77777777" w:rsidR="00CC5D6B" w:rsidRDefault="00CC5D6B" w:rsidP="007A488A">
            <w:r>
              <w:t>Alberta</w:t>
            </w:r>
          </w:p>
        </w:tc>
        <w:tc>
          <w:tcPr>
            <w:tcW w:w="5527" w:type="dxa"/>
          </w:tcPr>
          <w:p w14:paraId="2B4AFD04" w14:textId="77777777" w:rsidR="00CC5D6B" w:rsidRPr="00F2611D" w:rsidRDefault="00CC5D6B" w:rsidP="00CC5D6B">
            <w:r w:rsidRPr="00F2611D">
              <w:t>Laboratory confirmation of infection with or without clinical illness:</w:t>
            </w:r>
          </w:p>
          <w:p w14:paraId="76D93986" w14:textId="6E439D51" w:rsidR="00CC5D6B" w:rsidRPr="00F2611D" w:rsidRDefault="00CC5D6B" w:rsidP="00CC5D6B">
            <w:pPr>
              <w:pStyle w:val="ListParagraph"/>
              <w:numPr>
                <w:ilvl w:val="0"/>
                <w:numId w:val="11"/>
              </w:numPr>
            </w:pPr>
            <w:r w:rsidRPr="00F2611D">
              <w:t xml:space="preserve">Isolation of </w:t>
            </w:r>
            <w:r w:rsidR="006F4FD9" w:rsidRPr="00F2611D">
              <w:t xml:space="preserve">Shiga-toxin </w:t>
            </w:r>
            <w:r w:rsidRPr="00F2611D">
              <w:t xml:space="preserve">-producing </w:t>
            </w:r>
            <w:r w:rsidRPr="00F2611D">
              <w:rPr>
                <w:i/>
                <w:iCs/>
              </w:rPr>
              <w:t>Escherichia coli</w:t>
            </w:r>
            <w:r w:rsidRPr="00F2611D">
              <w:t xml:space="preserve"> (includes but not limited to O157:H7) from an appropriate clinical specimen (e.g., feces, urine, blood) OR</w:t>
            </w:r>
          </w:p>
          <w:p w14:paraId="0680B6EE" w14:textId="3B8FF461" w:rsidR="00CC5D6B" w:rsidRPr="00F2611D" w:rsidRDefault="00CC5D6B" w:rsidP="00CC5D6B">
            <w:pPr>
              <w:pStyle w:val="ListParagraph"/>
              <w:numPr>
                <w:ilvl w:val="0"/>
                <w:numId w:val="11"/>
              </w:numPr>
            </w:pPr>
            <w:r w:rsidRPr="00F2611D">
              <w:t xml:space="preserve">Detection of </w:t>
            </w:r>
            <w:r w:rsidR="006F4FD9" w:rsidRPr="00F2611D">
              <w:t xml:space="preserve">Shiga-toxin </w:t>
            </w:r>
            <w:r w:rsidRPr="00F2611D">
              <w:t>antigen or nucleic acid in an appropriate clinical specimen.</w:t>
            </w:r>
          </w:p>
        </w:tc>
      </w:tr>
      <w:tr w:rsidR="00CC5D6B" w14:paraId="5A22FE0D" w14:textId="77777777" w:rsidTr="00AA6E46">
        <w:tc>
          <w:tcPr>
            <w:tcW w:w="1980" w:type="dxa"/>
            <w:vMerge/>
          </w:tcPr>
          <w:p w14:paraId="140C02BA" w14:textId="77777777" w:rsidR="00CC5D6B" w:rsidRDefault="00CC5D6B" w:rsidP="007A488A"/>
        </w:tc>
        <w:tc>
          <w:tcPr>
            <w:tcW w:w="1843" w:type="dxa"/>
          </w:tcPr>
          <w:p w14:paraId="2BD14D7F" w14:textId="77777777" w:rsidR="00CC5D6B" w:rsidRDefault="00CC5D6B" w:rsidP="007A488A">
            <w:r>
              <w:t>Ontario</w:t>
            </w:r>
          </w:p>
        </w:tc>
        <w:tc>
          <w:tcPr>
            <w:tcW w:w="5527" w:type="dxa"/>
          </w:tcPr>
          <w:p w14:paraId="1796D642" w14:textId="77777777" w:rsidR="00CC5D6B" w:rsidRPr="00F2611D" w:rsidRDefault="00CC5D6B" w:rsidP="00CC5D6B">
            <w:r w:rsidRPr="00F2611D">
              <w:t>Laboratory confirmation of infection with or without clinically compatible signs and symptoms:</w:t>
            </w:r>
          </w:p>
          <w:p w14:paraId="10A662A5" w14:textId="79083F59" w:rsidR="00CC5D6B" w:rsidRPr="00F2611D" w:rsidRDefault="00CC5D6B" w:rsidP="00CC5D6B">
            <w:pPr>
              <w:pStyle w:val="ListParagraph"/>
              <w:numPr>
                <w:ilvl w:val="0"/>
                <w:numId w:val="12"/>
              </w:numPr>
            </w:pPr>
            <w:r w:rsidRPr="00F2611D">
              <w:t xml:space="preserve">Isolation </w:t>
            </w:r>
            <w:r w:rsidR="006F4FD9" w:rsidRPr="00F2611D">
              <w:t xml:space="preserve">Shiga-toxin producing Escherichia coli (STEC) </w:t>
            </w:r>
            <w:r w:rsidRPr="00F2611D">
              <w:t>by culture from an appropriate clinical specimen (e.g., stool, urine, blood)</w:t>
            </w:r>
          </w:p>
        </w:tc>
      </w:tr>
      <w:tr w:rsidR="00E4322D" w14:paraId="6507BBE8" w14:textId="77777777" w:rsidTr="00AA6E46">
        <w:tc>
          <w:tcPr>
            <w:tcW w:w="1980" w:type="dxa"/>
            <w:vMerge w:val="restart"/>
          </w:tcPr>
          <w:p w14:paraId="0B7915B6" w14:textId="77777777" w:rsidR="00E4322D" w:rsidRDefault="00E4322D" w:rsidP="007A488A">
            <w:r>
              <w:t>Y</w:t>
            </w:r>
            <w:r w:rsidRPr="00E4322D">
              <w:t>ersiniosis</w:t>
            </w:r>
          </w:p>
        </w:tc>
        <w:tc>
          <w:tcPr>
            <w:tcW w:w="1843" w:type="dxa"/>
          </w:tcPr>
          <w:p w14:paraId="3F42AA8E" w14:textId="77777777" w:rsidR="00E4322D" w:rsidRDefault="00E4322D" w:rsidP="007A488A">
            <w:r>
              <w:t>British Columbia</w:t>
            </w:r>
          </w:p>
        </w:tc>
        <w:tc>
          <w:tcPr>
            <w:tcW w:w="5527" w:type="dxa"/>
          </w:tcPr>
          <w:p w14:paraId="7B95CF57" w14:textId="77777777" w:rsidR="00E4322D" w:rsidRDefault="00E4322D" w:rsidP="007A488A">
            <w:r w:rsidRPr="00A84F42">
              <w:t>Laboratory confirmation of in</w:t>
            </w:r>
            <w:r>
              <w:t>fection with/without symptoms:</w:t>
            </w:r>
          </w:p>
          <w:p w14:paraId="3D4040EE" w14:textId="77777777" w:rsidR="00E4322D" w:rsidRDefault="00E4322D" w:rsidP="00E4322D">
            <w:pPr>
              <w:pStyle w:val="ListParagraph"/>
              <w:numPr>
                <w:ilvl w:val="0"/>
                <w:numId w:val="12"/>
              </w:numPr>
            </w:pPr>
            <w:r>
              <w:t>I</w:t>
            </w:r>
            <w:r w:rsidRPr="00A84F42">
              <w:t xml:space="preserve">solation of </w:t>
            </w:r>
            <w:r w:rsidRPr="00481EE3">
              <w:rPr>
                <w:i/>
                <w:iCs/>
              </w:rPr>
              <w:t>Yersinia</w:t>
            </w:r>
            <w:r w:rsidRPr="00A84F42">
              <w:t xml:space="preserve"> sp. from an appropriate clinical specimen</w:t>
            </w:r>
          </w:p>
        </w:tc>
      </w:tr>
      <w:tr w:rsidR="00E4322D" w14:paraId="549460A8" w14:textId="77777777" w:rsidTr="00AA6E46">
        <w:tc>
          <w:tcPr>
            <w:tcW w:w="1980" w:type="dxa"/>
            <w:vMerge/>
          </w:tcPr>
          <w:p w14:paraId="74C09E20" w14:textId="77777777" w:rsidR="00E4322D" w:rsidRDefault="00E4322D" w:rsidP="007A488A"/>
        </w:tc>
        <w:tc>
          <w:tcPr>
            <w:tcW w:w="1843" w:type="dxa"/>
          </w:tcPr>
          <w:p w14:paraId="1C7F3294" w14:textId="77777777" w:rsidR="00E4322D" w:rsidRDefault="00E4322D" w:rsidP="007A488A">
            <w:r>
              <w:t>Alberta</w:t>
            </w:r>
          </w:p>
        </w:tc>
        <w:tc>
          <w:tcPr>
            <w:tcW w:w="5527" w:type="dxa"/>
          </w:tcPr>
          <w:p w14:paraId="56C42278" w14:textId="77777777" w:rsidR="00E4322D" w:rsidRDefault="00E4322D" w:rsidP="00E4322D">
            <w:r>
              <w:t>Laboratory confirmation of infection with or without clinical illness:</w:t>
            </w:r>
          </w:p>
          <w:p w14:paraId="3D6B331B" w14:textId="77777777" w:rsidR="00E4322D" w:rsidRDefault="00E4322D" w:rsidP="00E4322D">
            <w:pPr>
              <w:pStyle w:val="ListParagraph"/>
              <w:numPr>
                <w:ilvl w:val="0"/>
                <w:numId w:val="12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Yersinia</w:t>
            </w:r>
            <w:r>
              <w:t xml:space="preserve"> spp. (except pestis) from an appropriate clinical specimen (e.g., stool) or food;</w:t>
            </w:r>
          </w:p>
        </w:tc>
      </w:tr>
      <w:tr w:rsidR="00E4322D" w14:paraId="6978A1A7" w14:textId="77777777" w:rsidTr="00AA6E46">
        <w:tc>
          <w:tcPr>
            <w:tcW w:w="1980" w:type="dxa"/>
            <w:vMerge/>
          </w:tcPr>
          <w:p w14:paraId="5B4D02AB" w14:textId="77777777" w:rsidR="00E4322D" w:rsidRDefault="00E4322D" w:rsidP="007A488A"/>
        </w:tc>
        <w:tc>
          <w:tcPr>
            <w:tcW w:w="1843" w:type="dxa"/>
          </w:tcPr>
          <w:p w14:paraId="346C3AB4" w14:textId="77777777" w:rsidR="00E4322D" w:rsidRDefault="00E4322D" w:rsidP="007A488A">
            <w:r>
              <w:t>Ontario</w:t>
            </w:r>
          </w:p>
        </w:tc>
        <w:tc>
          <w:tcPr>
            <w:tcW w:w="5527" w:type="dxa"/>
          </w:tcPr>
          <w:p w14:paraId="3714EA67" w14:textId="77777777" w:rsidR="00E4322D" w:rsidRDefault="00E4322D" w:rsidP="00E4322D">
            <w:r>
              <w:t>Laboratory confirmation of infection with or without clinically compatible signs and symptoms:</w:t>
            </w:r>
          </w:p>
          <w:p w14:paraId="3871312F" w14:textId="77777777" w:rsidR="00E4322D" w:rsidRDefault="00E4322D" w:rsidP="00E4322D">
            <w:pPr>
              <w:pStyle w:val="ListParagraph"/>
              <w:numPr>
                <w:ilvl w:val="0"/>
                <w:numId w:val="12"/>
              </w:numPr>
            </w:pPr>
            <w:r>
              <w:t xml:space="preserve">Isolation of </w:t>
            </w:r>
            <w:r w:rsidRPr="00481EE3">
              <w:rPr>
                <w:i/>
                <w:iCs/>
              </w:rPr>
              <w:t>Yersinia</w:t>
            </w:r>
            <w:r>
              <w:t xml:space="preserve"> spp. by culture (except pestis and biotype 1A) from an appropriate clinical specimen (e.g. stool, blood, urine)</w:t>
            </w:r>
          </w:p>
        </w:tc>
      </w:tr>
    </w:tbl>
    <w:p w14:paraId="53DE6BBE" w14:textId="77777777" w:rsidR="00AB1014" w:rsidRDefault="00AB1014"/>
    <w:p w14:paraId="16D83D54" w14:textId="77777777" w:rsidR="00E24F4C" w:rsidRDefault="00E24F4C" w:rsidP="00E24F4C">
      <w:r>
        <w:t>Extracted from these sources on October 15, 2021</w:t>
      </w:r>
      <w:r w:rsidR="00CB1130">
        <w:t>:</w:t>
      </w:r>
    </w:p>
    <w:p w14:paraId="00B5892D" w14:textId="77777777" w:rsidR="00E24F4C" w:rsidRDefault="00E24F4C" w:rsidP="00E24F4C">
      <w:pPr>
        <w:pStyle w:val="NoSpacing"/>
      </w:pPr>
      <w:r>
        <w:t>BC: http://www.bccdc.ca/health-professionals/clinical-resources/case-definitions</w:t>
      </w:r>
    </w:p>
    <w:p w14:paraId="4F5C25AA" w14:textId="77777777" w:rsidR="00E24F4C" w:rsidRDefault="00E24F4C" w:rsidP="0025102C">
      <w:pPr>
        <w:pStyle w:val="NoSpacing"/>
      </w:pPr>
      <w:r>
        <w:t>AB: https://www.alberta.ca/notifiable-disease-guidelines.aspx</w:t>
      </w:r>
    </w:p>
    <w:p w14:paraId="4AF7CAB5" w14:textId="1D110132" w:rsidR="00E24E5C" w:rsidRDefault="00E24F4C" w:rsidP="00E24E5C">
      <w:pPr>
        <w:pStyle w:val="NoSpacing"/>
        <w:ind w:left="360"/>
      </w:pPr>
      <w:r>
        <w:t xml:space="preserve">ON: </w:t>
      </w:r>
      <w:r w:rsidR="0025102C" w:rsidRPr="0025102C">
        <w:t>https://www.health.gov.on.ca/en/pro/programs/publichealth/oph_standards/infdispro.aspx</w:t>
      </w:r>
      <w:r w:rsidR="0025102C">
        <w:br/>
      </w:r>
      <w:r w:rsidR="0025102C">
        <w:br/>
      </w:r>
    </w:p>
    <w:p w14:paraId="300CF39A" w14:textId="77777777" w:rsidR="00E24E5C" w:rsidRDefault="00E24E5C" w:rsidP="00E24E5C">
      <w:pPr>
        <w:pStyle w:val="NoSpacing"/>
        <w:sectPr w:rsidR="00E24E5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18AFA99" w14:textId="71F4CE92" w:rsidR="005A3B29" w:rsidRDefault="005A3B29" w:rsidP="00E24E5C">
      <w:pPr>
        <w:pStyle w:val="NoSpacing"/>
      </w:pPr>
      <w:r>
        <w:lastRenderedPageBreak/>
        <w:t>Table 2: Incubation Period</w:t>
      </w:r>
      <w:r w:rsidR="005761AC">
        <w:t xml:space="preserve"> Range</w:t>
      </w:r>
      <w:r w:rsidR="008157FD">
        <w:t>s</w:t>
      </w:r>
      <w:r>
        <w:t xml:space="preserve"> by Disease </w:t>
      </w:r>
      <w:r w:rsidR="005761AC">
        <w:t>for</w:t>
      </w:r>
      <w:r w:rsidR="008157FD">
        <w:t xml:space="preserve"> FNC</w:t>
      </w:r>
      <w:r w:rsidR="005761AC">
        <w:t xml:space="preserve"> Sentinel </w:t>
      </w:r>
      <w:r w:rsidR="008157FD">
        <w:t xml:space="preserve">Sites, </w:t>
      </w:r>
      <w:r w:rsidR="005761AC">
        <w:t>2015-2019.</w:t>
      </w: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783"/>
        <w:gridCol w:w="1942"/>
        <w:gridCol w:w="1985"/>
        <w:gridCol w:w="1417"/>
        <w:gridCol w:w="1134"/>
        <w:gridCol w:w="1560"/>
        <w:gridCol w:w="1079"/>
        <w:gridCol w:w="1189"/>
        <w:gridCol w:w="1189"/>
      </w:tblGrid>
      <w:tr w:rsidR="00C004FA" w:rsidRPr="00C004FA" w14:paraId="193F5EEB" w14:textId="77777777" w:rsidTr="00C004FA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9CC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Year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33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Site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AC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Campylobacteriosis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DF5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Cryptosporidiosis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32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Cyclosporiasis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7D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Giardiasis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FE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Salmonellosis (non-typhoidal)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44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Shigellosis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582" w14:textId="04B7DFC0" w:rsidR="00C004FA" w:rsidRPr="00C004FA" w:rsidRDefault="006F4FD9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F26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="00C004FA" w:rsidRPr="00F26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TEC</w:t>
            </w:r>
            <w:r w:rsidR="00C004FA"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Infection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02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Yersiniosis</w:t>
            </w:r>
          </w:p>
        </w:tc>
      </w:tr>
      <w:tr w:rsidR="00C004FA" w:rsidRPr="00C004FA" w14:paraId="0BC723B0" w14:textId="77777777" w:rsidTr="00C004FA">
        <w:trPr>
          <w:trHeight w:val="9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2F0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9262" w14:textId="0A1AEC45" w:rsidR="00C004FA" w:rsidRPr="00C004FA" w:rsidRDefault="001F74DC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ON</w:t>
            </w:r>
            <w:r w:rsidR="00C004FA"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CA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E31" w14:textId="49BACD2E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"</w:t>
            </w:r>
            <w:proofErr w:type="gramStart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in</w:t>
            </w:r>
            <w:proofErr w:type="gramEnd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the 10 days prior to onset of illness"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598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88F" w14:textId="7581D770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93D32" w14:textId="01011526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7BC3" w14:textId="211F8A56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"</w:t>
            </w:r>
            <w:proofErr w:type="gramStart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in</w:t>
            </w:r>
            <w:proofErr w:type="gramEnd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the 3 days prior to the onset of your illness"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9E1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F50" w14:textId="5B253D62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"</w:t>
            </w:r>
            <w:proofErr w:type="gramStart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in</w:t>
            </w:r>
            <w:proofErr w:type="gramEnd"/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the 10 days prior to the onset of your illness"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9A6D" w14:textId="34D702F3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3-10</w:t>
            </w:r>
          </w:p>
        </w:tc>
      </w:tr>
      <w:tr w:rsidR="00C004FA" w:rsidRPr="00C004FA" w14:paraId="62DAE5DA" w14:textId="77777777" w:rsidTr="00C004FA">
        <w:trPr>
          <w:trHeight w:val="36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37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E68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C8F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C81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6AC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2105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96A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0.25-3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7CB4" w14:textId="51DBFB5E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DEC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6CE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Up to 10</w:t>
            </w:r>
          </w:p>
        </w:tc>
      </w:tr>
      <w:tr w:rsidR="00C004FA" w:rsidRPr="00C004FA" w14:paraId="2B3063B6" w14:textId="77777777" w:rsidTr="00C004FA">
        <w:trPr>
          <w:trHeight w:val="36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CE8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3EA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613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5B1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1D0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8A2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BFE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0B4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9C6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EDB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  <w:tr w:rsidR="00C004FA" w:rsidRPr="00C004FA" w14:paraId="0C74D2E9" w14:textId="77777777" w:rsidTr="00C004FA">
        <w:trPr>
          <w:trHeight w:val="36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10BC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F168" w14:textId="2DDA2762" w:rsidR="00C004FA" w:rsidRPr="00C004FA" w:rsidRDefault="001F74DC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ON</w:t>
            </w:r>
            <w:r w:rsidR="00C004FA"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CA"/>
              </w:rPr>
              <w:t>3, 4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1F6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F58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15D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2AA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30F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940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D83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42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  <w:tr w:rsidR="00C004FA" w:rsidRPr="00C004FA" w14:paraId="76E0C252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B9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B48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9C8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8A3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344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488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60D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0.25-3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3DB3" w14:textId="08F9F740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BFD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5D5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Up to 10</w:t>
            </w:r>
          </w:p>
        </w:tc>
      </w:tr>
      <w:tr w:rsidR="00C004FA" w:rsidRPr="00C004FA" w14:paraId="1B29727C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BD5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E49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E4C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714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43B5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3B2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8DE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BF7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F49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A74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  <w:tr w:rsidR="00C004FA" w:rsidRPr="00C004FA" w14:paraId="5EF5F6B0" w14:textId="77777777" w:rsidTr="00C004FA">
        <w:trPr>
          <w:trHeight w:val="36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BAE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81DF" w14:textId="6F8AAB55" w:rsidR="00C004FA" w:rsidRPr="00C004FA" w:rsidRDefault="001F74DC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F9D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7EE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316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E89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68A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D3DB" w14:textId="1C2A308C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83E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EF3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3-10</w:t>
            </w:r>
          </w:p>
        </w:tc>
      </w:tr>
      <w:tr w:rsidR="00C004FA" w:rsidRPr="00C004FA" w14:paraId="29F1FC2A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DA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B4E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E69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1A6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C7E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48B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D0D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0.25-3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E14E" w14:textId="1FF4C3EC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3F1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E8F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Up to 10</w:t>
            </w:r>
          </w:p>
        </w:tc>
      </w:tr>
      <w:tr w:rsidR="00C004FA" w:rsidRPr="00C004FA" w14:paraId="1D13B41C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15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7D5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4C2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29B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793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0DD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E42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723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EE8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0B4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  <w:tr w:rsidR="00C004FA" w:rsidRPr="00C004FA" w14:paraId="12DF518B" w14:textId="77777777" w:rsidTr="00C004FA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6AE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7D8F" w14:textId="62C9281D" w:rsidR="00C004FA" w:rsidRPr="00C004FA" w:rsidRDefault="001F74DC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95A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75E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C10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162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5E0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5BE1" w14:textId="4EA65DCF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C1E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D5E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3-11</w:t>
            </w:r>
          </w:p>
        </w:tc>
      </w:tr>
      <w:tr w:rsidR="00C004FA" w:rsidRPr="00C004FA" w14:paraId="22EE5033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BA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BEF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0E3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79E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65C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CC2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B37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0.25-3/1-7</w:t>
            </w: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CA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A868" w14:textId="75E15C76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53A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1-10/2-10</w:t>
            </w: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CA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1E8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</w:tr>
      <w:tr w:rsidR="00C004FA" w:rsidRPr="00C004FA" w14:paraId="011743B0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86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1F6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41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9CA2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D35C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487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C11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654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41C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875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  <w:tr w:rsidR="00C004FA" w:rsidRPr="00C004FA" w14:paraId="166932A4" w14:textId="77777777" w:rsidTr="00C004FA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C63D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4190" w14:textId="551470C8" w:rsidR="00C004FA" w:rsidRPr="00C004FA" w:rsidRDefault="001F74DC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0144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39E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7FE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909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0DD5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0.25-3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6C76" w14:textId="163D3104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BAAB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F6C1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3-11</w:t>
            </w:r>
          </w:p>
        </w:tc>
      </w:tr>
      <w:tr w:rsidR="00C004FA" w:rsidRPr="00C004FA" w14:paraId="1C066015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C87FF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FE0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F71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B93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A790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005A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49A6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2DB0" w14:textId="6FAC0FA0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0.5-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7E3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1167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</w:tr>
      <w:tr w:rsidR="00C004FA" w:rsidRPr="00C004FA" w14:paraId="4C246238" w14:textId="77777777" w:rsidTr="00C004FA">
        <w:trPr>
          <w:trHeight w:val="36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A0B9EE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B10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5ED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635D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8BCC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06F8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4DA9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FFA5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4013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1-10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D85F" w14:textId="77777777" w:rsidR="00C004FA" w:rsidRPr="00C004FA" w:rsidRDefault="00C004FA" w:rsidP="00C0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00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3-7</w:t>
            </w:r>
          </w:p>
        </w:tc>
      </w:tr>
    </w:tbl>
    <w:p w14:paraId="2E964362" w14:textId="77777777" w:rsidR="001F74DC" w:rsidRPr="001F74DC" w:rsidRDefault="001F74DC" w:rsidP="00E24E5C">
      <w:pPr>
        <w:pStyle w:val="NoSpacing"/>
        <w:rPr>
          <w:sz w:val="16"/>
          <w:szCs w:val="16"/>
        </w:rPr>
      </w:pPr>
    </w:p>
    <w:p w14:paraId="19E4DDD0" w14:textId="32AEE55B" w:rsidR="00CA1AFE" w:rsidRPr="001F74DC" w:rsidRDefault="001F74DC" w:rsidP="00E24E5C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1</w:t>
      </w:r>
      <w:r w:rsidRPr="001F74DC">
        <w:rPr>
          <w:sz w:val="16"/>
          <w:szCs w:val="16"/>
        </w:rPr>
        <w:t xml:space="preserve">It appears that initially there was a single enteric follow-up form. There was a chart embedded into the questionnaire that referenced incubation periods. All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s for 2014 </w:t>
      </w:r>
      <w:proofErr w:type="gramStart"/>
      <w:r w:rsidRPr="001F74DC">
        <w:rPr>
          <w:sz w:val="16"/>
          <w:szCs w:val="16"/>
        </w:rPr>
        <w:t>are</w:t>
      </w:r>
      <w:proofErr w:type="gramEnd"/>
      <w:r w:rsidRPr="001F74DC">
        <w:rPr>
          <w:sz w:val="16"/>
          <w:szCs w:val="16"/>
        </w:rPr>
        <w:t xml:space="preserve"> from this chart.</w:t>
      </w:r>
    </w:p>
    <w:p w14:paraId="74C8CF81" w14:textId="159DD89E" w:rsidR="001F74DC" w:rsidRPr="001F74DC" w:rsidRDefault="001F74DC" w:rsidP="00E24E5C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2</w:t>
      </w:r>
      <w:r w:rsidRPr="001F74DC">
        <w:rPr>
          <w:sz w:val="16"/>
          <w:szCs w:val="16"/>
        </w:rPr>
        <w:t xml:space="preserve">Questionnaires state "in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" for most questions. Where there was a question with a time frame more clearly expressed, it was provided. </w:t>
      </w:r>
      <w:r>
        <w:rPr>
          <w:sz w:val="16"/>
          <w:szCs w:val="16"/>
        </w:rPr>
        <w:t>The Ontario site</w:t>
      </w:r>
      <w:r w:rsidRPr="001F74DC">
        <w:rPr>
          <w:sz w:val="16"/>
          <w:szCs w:val="16"/>
        </w:rPr>
        <w:t xml:space="preserve"> had copies of some Ontario Standardized questionnaires from 2015. If the wording from the Standardized questionnaire was used, it was noted.  </w:t>
      </w:r>
    </w:p>
    <w:p w14:paraId="3198AB45" w14:textId="53C0C278" w:rsidR="001F74DC" w:rsidRPr="001F74DC" w:rsidRDefault="001F74DC" w:rsidP="00E24E5C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3</w:t>
      </w:r>
      <w:r w:rsidRPr="001F74DC">
        <w:rPr>
          <w:sz w:val="16"/>
          <w:szCs w:val="16"/>
        </w:rPr>
        <w:t xml:space="preserve">If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specifically noted on questionnaire, then this was used, even if question wording different (e.g.,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noted as 1-10 days, but question wording is 'in the 10 days before illness').</w:t>
      </w:r>
    </w:p>
    <w:p w14:paraId="06A63968" w14:textId="574E93DB" w:rsidR="001F74DC" w:rsidRPr="001F74DC" w:rsidRDefault="001F74DC" w:rsidP="00E24E5C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4</w:t>
      </w:r>
      <w:r w:rsidRPr="001F74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Incubation </w:t>
      </w:r>
      <w:proofErr w:type="gramStart"/>
      <w:r>
        <w:rPr>
          <w:sz w:val="16"/>
          <w:szCs w:val="16"/>
        </w:rPr>
        <w:t>period’</w:t>
      </w:r>
      <w:r w:rsidRPr="001F74DC">
        <w:rPr>
          <w:sz w:val="16"/>
          <w:szCs w:val="16"/>
        </w:rPr>
        <w:t>s</w:t>
      </w:r>
      <w:proofErr w:type="gramEnd"/>
      <w:r w:rsidRPr="001F74DC">
        <w:rPr>
          <w:sz w:val="16"/>
          <w:szCs w:val="16"/>
        </w:rPr>
        <w:t xml:space="preserve"> obtained from draft questionnaires.</w:t>
      </w:r>
    </w:p>
    <w:p w14:paraId="17EFD751" w14:textId="70FA3809" w:rsidR="0060383E" w:rsidRPr="001F74DC" w:rsidRDefault="001F74DC" w:rsidP="00E24E5C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5</w:t>
      </w:r>
      <w:r w:rsidRPr="001F74DC">
        <w:rPr>
          <w:sz w:val="16"/>
          <w:szCs w:val="16"/>
        </w:rPr>
        <w:t xml:space="preserve">August 1, 2018-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changed from 0.25-3 days to 1-7 days</w:t>
      </w:r>
    </w:p>
    <w:p w14:paraId="4CE17651" w14:textId="317E86CD" w:rsidR="00E24E5C" w:rsidRPr="001F74DC" w:rsidRDefault="001F74DC" w:rsidP="00734009">
      <w:pPr>
        <w:pStyle w:val="NoSpacing"/>
        <w:rPr>
          <w:sz w:val="16"/>
          <w:szCs w:val="16"/>
        </w:rPr>
      </w:pPr>
      <w:r w:rsidRPr="001F74DC">
        <w:rPr>
          <w:sz w:val="16"/>
          <w:szCs w:val="16"/>
          <w:vertAlign w:val="superscript"/>
        </w:rPr>
        <w:t>6</w:t>
      </w:r>
      <w:r w:rsidRPr="001F74DC">
        <w:rPr>
          <w:sz w:val="16"/>
          <w:szCs w:val="16"/>
        </w:rPr>
        <w:t xml:space="preserve">August 1, 2018- </w:t>
      </w:r>
      <w:r>
        <w:rPr>
          <w:sz w:val="16"/>
          <w:szCs w:val="16"/>
        </w:rPr>
        <w:t>incubation period</w:t>
      </w:r>
      <w:r w:rsidRPr="001F74DC">
        <w:rPr>
          <w:sz w:val="16"/>
          <w:szCs w:val="16"/>
        </w:rPr>
        <w:t xml:space="preserve"> changed from 1-10 days to 2-10 days</w:t>
      </w:r>
    </w:p>
    <w:sectPr w:rsidR="00E24E5C" w:rsidRPr="001F74DC" w:rsidSect="00E24E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6D9"/>
    <w:multiLevelType w:val="hybridMultilevel"/>
    <w:tmpl w:val="97BEC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38AE4E">
      <w:numFmt w:val="bullet"/>
      <w:lvlText w:val="·"/>
      <w:lvlJc w:val="left"/>
      <w:pPr>
        <w:ind w:left="1230" w:hanging="51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E6A59"/>
    <w:multiLevelType w:val="hybridMultilevel"/>
    <w:tmpl w:val="72F47C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A4B70"/>
    <w:multiLevelType w:val="hybridMultilevel"/>
    <w:tmpl w:val="96280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38AE4E">
      <w:numFmt w:val="bullet"/>
      <w:lvlText w:val="·"/>
      <w:lvlJc w:val="left"/>
      <w:pPr>
        <w:ind w:left="1230" w:hanging="51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C1AA0"/>
    <w:multiLevelType w:val="hybridMultilevel"/>
    <w:tmpl w:val="5A3AD9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94E08"/>
    <w:multiLevelType w:val="hybridMultilevel"/>
    <w:tmpl w:val="90DA8A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84CCB"/>
    <w:multiLevelType w:val="hybridMultilevel"/>
    <w:tmpl w:val="E21605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83154"/>
    <w:multiLevelType w:val="hybridMultilevel"/>
    <w:tmpl w:val="8DC2F8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6206C"/>
    <w:multiLevelType w:val="hybridMultilevel"/>
    <w:tmpl w:val="36249570"/>
    <w:lvl w:ilvl="0" w:tplc="DFBCA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61EB"/>
    <w:multiLevelType w:val="hybridMultilevel"/>
    <w:tmpl w:val="97066A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96FF4"/>
    <w:multiLevelType w:val="hybridMultilevel"/>
    <w:tmpl w:val="718C8F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A3525"/>
    <w:multiLevelType w:val="hybridMultilevel"/>
    <w:tmpl w:val="349A8A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D05AF"/>
    <w:multiLevelType w:val="hybridMultilevel"/>
    <w:tmpl w:val="AE1A9C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3F44E8"/>
    <w:multiLevelType w:val="hybridMultilevel"/>
    <w:tmpl w:val="165C2342"/>
    <w:lvl w:ilvl="0" w:tplc="DFBCA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122E7"/>
    <w:multiLevelType w:val="hybridMultilevel"/>
    <w:tmpl w:val="70BC5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003026">
    <w:abstractNumId w:val="7"/>
  </w:num>
  <w:num w:numId="2" w16cid:durableId="802894581">
    <w:abstractNumId w:val="5"/>
  </w:num>
  <w:num w:numId="3" w16cid:durableId="207230204">
    <w:abstractNumId w:val="6"/>
  </w:num>
  <w:num w:numId="4" w16cid:durableId="1520578420">
    <w:abstractNumId w:val="11"/>
  </w:num>
  <w:num w:numId="5" w16cid:durableId="245574758">
    <w:abstractNumId w:val="4"/>
  </w:num>
  <w:num w:numId="6" w16cid:durableId="1117258746">
    <w:abstractNumId w:val="3"/>
  </w:num>
  <w:num w:numId="7" w16cid:durableId="1424228679">
    <w:abstractNumId w:val="1"/>
  </w:num>
  <w:num w:numId="8" w16cid:durableId="1760566207">
    <w:abstractNumId w:val="13"/>
  </w:num>
  <w:num w:numId="9" w16cid:durableId="2036148323">
    <w:abstractNumId w:val="9"/>
  </w:num>
  <w:num w:numId="10" w16cid:durableId="1420758471">
    <w:abstractNumId w:val="8"/>
  </w:num>
  <w:num w:numId="11" w16cid:durableId="19203948">
    <w:abstractNumId w:val="10"/>
  </w:num>
  <w:num w:numId="12" w16cid:durableId="896087808">
    <w:abstractNumId w:val="0"/>
  </w:num>
  <w:num w:numId="13" w16cid:durableId="1376081925">
    <w:abstractNumId w:val="12"/>
  </w:num>
  <w:num w:numId="14" w16cid:durableId="29229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14"/>
    <w:rsid w:val="0003072E"/>
    <w:rsid w:val="00182453"/>
    <w:rsid w:val="001A34B5"/>
    <w:rsid w:val="001C28A3"/>
    <w:rsid w:val="001F74DC"/>
    <w:rsid w:val="00217A43"/>
    <w:rsid w:val="0025102C"/>
    <w:rsid w:val="003D1CEF"/>
    <w:rsid w:val="00452B39"/>
    <w:rsid w:val="00481EE3"/>
    <w:rsid w:val="00571E9F"/>
    <w:rsid w:val="005761AC"/>
    <w:rsid w:val="005A3B29"/>
    <w:rsid w:val="0060383E"/>
    <w:rsid w:val="006F4FD9"/>
    <w:rsid w:val="00703882"/>
    <w:rsid w:val="0072004D"/>
    <w:rsid w:val="00734009"/>
    <w:rsid w:val="007A488A"/>
    <w:rsid w:val="008157FD"/>
    <w:rsid w:val="009376B4"/>
    <w:rsid w:val="00A2186D"/>
    <w:rsid w:val="00A84F42"/>
    <w:rsid w:val="00AA6E46"/>
    <w:rsid w:val="00AB1014"/>
    <w:rsid w:val="00AD2A98"/>
    <w:rsid w:val="00AF6FC6"/>
    <w:rsid w:val="00B06A92"/>
    <w:rsid w:val="00B33BCF"/>
    <w:rsid w:val="00BB10FB"/>
    <w:rsid w:val="00BB6A38"/>
    <w:rsid w:val="00C004FA"/>
    <w:rsid w:val="00C81081"/>
    <w:rsid w:val="00CA1AFE"/>
    <w:rsid w:val="00CB1130"/>
    <w:rsid w:val="00CC5D6B"/>
    <w:rsid w:val="00D72724"/>
    <w:rsid w:val="00E24E5C"/>
    <w:rsid w:val="00E24F4C"/>
    <w:rsid w:val="00E4322D"/>
    <w:rsid w:val="00E44086"/>
    <w:rsid w:val="00F2611D"/>
    <w:rsid w:val="00F34EF5"/>
    <w:rsid w:val="00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6421"/>
  <w15:chartTrackingRefBased/>
  <w15:docId w15:val="{70C9E889-50C1-4E89-8B58-0E799AD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4F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102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D1C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2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Brendan (PHAC/ASPC)</dc:creator>
  <cp:keywords/>
  <dc:description/>
  <cp:lastModifiedBy>Anouska Colledge</cp:lastModifiedBy>
  <cp:revision>2</cp:revision>
  <dcterms:created xsi:type="dcterms:W3CDTF">2024-09-19T17:47:00Z</dcterms:created>
  <dcterms:modified xsi:type="dcterms:W3CDTF">2024-09-19T17:47:00Z</dcterms:modified>
</cp:coreProperties>
</file>