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1D46D1D" w14:textId="088B48B4" w:rsidR="00CB79EA" w:rsidRDefault="00CB79EA" w:rsidP="00CB79EA">
      <w:pPr>
        <w:pStyle w:val="Heading1"/>
        <w:jc w:val="center"/>
      </w:pPr>
      <w:r>
        <w:t>Spatio-temporal distributions of COVID-19 vaccine doses uptake in the Netherlands: A Bayesian ecological modelling analysis</w:t>
      </w:r>
    </w:p>
    <w:p w14:paraId="6270DEC1" w14:textId="1F1E8940" w:rsidR="00CB79EA" w:rsidRDefault="00CB79EA" w:rsidP="00CB79EA"/>
    <w:p w14:paraId="71842EBE" w14:textId="6BD8262F" w:rsidR="00CB79EA" w:rsidRDefault="00CB79EA" w:rsidP="00CB79EA">
      <w:pPr>
        <w:pStyle w:val="Heading1"/>
        <w:jc w:val="center"/>
      </w:pPr>
      <w:r>
        <w:t>Supplementary materials</w:t>
      </w:r>
    </w:p>
    <w:p w14:paraId="29C676A6" w14:textId="77777777" w:rsidR="00CB79EA" w:rsidRPr="00CB79EA" w:rsidRDefault="00CB79EA" w:rsidP="00CB79EA"/>
    <w:p w14:paraId="4622310E" w14:textId="77777777" w:rsidR="008B30F7" w:rsidRPr="00EF267C" w:rsidRDefault="008B30F7" w:rsidP="008B30F7">
      <w:pPr>
        <w:rPr>
          <w:vertAlign w:val="superscript"/>
          <w:lang w:val="en-US"/>
        </w:rPr>
      </w:pPr>
      <w:proofErr w:type="spellStart"/>
      <w:r w:rsidRPr="00EF267C">
        <w:rPr>
          <w:lang w:val="en-US"/>
        </w:rPr>
        <w:t>Haoyi</w:t>
      </w:r>
      <w:proofErr w:type="spellEnd"/>
      <w:r w:rsidRPr="00EF267C">
        <w:rPr>
          <w:lang w:val="en-US"/>
        </w:rPr>
        <w:t xml:space="preserve"> Wang</w:t>
      </w:r>
      <w:r w:rsidRPr="00EF267C">
        <w:rPr>
          <w:vertAlign w:val="superscript"/>
          <w:lang w:val="en-US"/>
        </w:rPr>
        <w:t>1,2§</w:t>
      </w:r>
      <w:r w:rsidRPr="00EF267C">
        <w:rPr>
          <w:lang w:val="en-US"/>
        </w:rPr>
        <w:t xml:space="preserve">, </w:t>
      </w:r>
      <w:proofErr w:type="spellStart"/>
      <w:r w:rsidRPr="00EF267C">
        <w:rPr>
          <w:lang w:val="en-US"/>
        </w:rPr>
        <w:t>Tugce</w:t>
      </w:r>
      <w:proofErr w:type="spellEnd"/>
      <w:r w:rsidRPr="00EF267C">
        <w:rPr>
          <w:lang w:val="en-US"/>
        </w:rPr>
        <w:t xml:space="preserve"> Varol</w:t>
      </w:r>
      <w:r w:rsidRPr="00EF267C">
        <w:rPr>
          <w:vertAlign w:val="superscript"/>
          <w:lang w:val="en-US"/>
        </w:rPr>
        <w:t>1</w:t>
      </w:r>
      <w:r>
        <w:rPr>
          <w:vertAlign w:val="superscript"/>
          <w:lang w:val="en-US"/>
        </w:rPr>
        <w:t>,3</w:t>
      </w:r>
      <w:r w:rsidRPr="00EF267C">
        <w:rPr>
          <w:lang w:val="en-US"/>
        </w:rPr>
        <w:t xml:space="preserve">, </w:t>
      </w:r>
      <w:r w:rsidRPr="00C837AB">
        <w:t>Thomas Gültzow</w:t>
      </w:r>
      <w:r w:rsidRPr="00C837AB">
        <w:rPr>
          <w:vertAlign w:val="superscript"/>
        </w:rPr>
        <w:t>1</w:t>
      </w:r>
      <w:r>
        <w:rPr>
          <w:vertAlign w:val="superscript"/>
        </w:rPr>
        <w:t>,4</w:t>
      </w:r>
      <w:r>
        <w:t>,</w:t>
      </w:r>
      <w:r>
        <w:rPr>
          <w:vertAlign w:val="superscript"/>
        </w:rPr>
        <w:t xml:space="preserve"> </w:t>
      </w:r>
      <w:r w:rsidRPr="00EF267C">
        <w:rPr>
          <w:lang w:val="en-US"/>
        </w:rPr>
        <w:t>Hanne M. L. Zimmermann</w:t>
      </w:r>
      <w:r w:rsidRPr="00EF267C">
        <w:rPr>
          <w:vertAlign w:val="superscript"/>
          <w:lang w:val="en-US"/>
        </w:rPr>
        <w:t>1,</w:t>
      </w:r>
      <w:r>
        <w:rPr>
          <w:vertAlign w:val="superscript"/>
          <w:lang w:val="en-US"/>
        </w:rPr>
        <w:t>5</w:t>
      </w:r>
      <w:r w:rsidRPr="00EF267C">
        <w:rPr>
          <w:lang w:val="en-US"/>
        </w:rPr>
        <w:t>, Robert A.C. Ruiter</w:t>
      </w:r>
      <w:r w:rsidRPr="00EF267C">
        <w:rPr>
          <w:vertAlign w:val="superscript"/>
          <w:lang w:val="en-US"/>
        </w:rPr>
        <w:t>1</w:t>
      </w:r>
      <w:r w:rsidRPr="00EF267C">
        <w:rPr>
          <w:lang w:val="en-US"/>
        </w:rPr>
        <w:t>, Kai J. Jonas</w:t>
      </w:r>
      <w:r w:rsidRPr="00EF267C">
        <w:rPr>
          <w:vertAlign w:val="superscript"/>
          <w:lang w:val="en-US"/>
        </w:rPr>
        <w:t>1</w:t>
      </w:r>
    </w:p>
    <w:p w14:paraId="28C0C5C5" w14:textId="77777777" w:rsidR="008B30F7" w:rsidRPr="00EF267C" w:rsidRDefault="008B30F7" w:rsidP="008B30F7">
      <w:pPr>
        <w:rPr>
          <w:lang w:val="en-US"/>
        </w:rPr>
      </w:pPr>
    </w:p>
    <w:p w14:paraId="066FEEB0" w14:textId="77777777" w:rsidR="008B30F7" w:rsidRPr="0070386E" w:rsidRDefault="008B30F7" w:rsidP="008B30F7">
      <w:r w:rsidRPr="0070386E">
        <w:rPr>
          <w:vertAlign w:val="superscript"/>
        </w:rPr>
        <w:t>1</w:t>
      </w:r>
      <w:r w:rsidRPr="0070386E">
        <w:t>Department of Work and Social Psychology, Maastricht University, Maastricht, The Netherlands</w:t>
      </w:r>
    </w:p>
    <w:p w14:paraId="0F247A6E" w14:textId="77777777" w:rsidR="008B30F7" w:rsidRDefault="008B30F7" w:rsidP="008B30F7">
      <w:r w:rsidRPr="0070386E">
        <w:rPr>
          <w:vertAlign w:val="superscript"/>
        </w:rPr>
        <w:t>2</w:t>
      </w:r>
      <w:r w:rsidRPr="0070386E">
        <w:t xml:space="preserve">Viroscience </w:t>
      </w:r>
      <w:r>
        <w:t>D</w:t>
      </w:r>
      <w:r w:rsidRPr="0070386E">
        <w:t>epartment, Erasmus Medical Centre, Rotterdam, The Netherlands</w:t>
      </w:r>
    </w:p>
    <w:p w14:paraId="0579930C" w14:textId="77777777" w:rsidR="008B30F7" w:rsidRDefault="008B30F7" w:rsidP="008B30F7">
      <w:r>
        <w:rPr>
          <w:vertAlign w:val="superscript"/>
        </w:rPr>
        <w:t>3</w:t>
      </w:r>
      <w:r w:rsidRPr="00B57B5A">
        <w:t>Freudenthal Institute, Faculty of Science, Utrecht University, Utrecht, the Netherlands</w:t>
      </w:r>
    </w:p>
    <w:p w14:paraId="240AF8F8" w14:textId="77777777" w:rsidR="008B30F7" w:rsidRDefault="008B30F7" w:rsidP="008B30F7">
      <w:r>
        <w:rPr>
          <w:vertAlign w:val="superscript"/>
        </w:rPr>
        <w:t>4</w:t>
      </w:r>
      <w:r w:rsidRPr="00B57B5A">
        <w:t>Department of Theory, Methods &amp; Statistics, Faculty of Psychology, Open University of the Netherlands, Heerlen, the Netherlands</w:t>
      </w:r>
    </w:p>
    <w:p w14:paraId="53FE121E" w14:textId="77777777" w:rsidR="008B30F7" w:rsidRPr="0070386E" w:rsidRDefault="008B30F7" w:rsidP="008B30F7">
      <w:r>
        <w:rPr>
          <w:vertAlign w:val="superscript"/>
        </w:rPr>
        <w:t>5</w:t>
      </w:r>
      <w:r w:rsidRPr="0070386E">
        <w:t>Department of Infectious Diseases, Public Health Service of Amsterdam, Amsterdam, The Netherlands</w:t>
      </w:r>
    </w:p>
    <w:p w14:paraId="2B3EA4B2" w14:textId="77777777" w:rsidR="00CB79EA" w:rsidRDefault="00CB79EA" w:rsidP="00CB79EA"/>
    <w:p w14:paraId="1D4119C2" w14:textId="77777777" w:rsidR="00CB79EA" w:rsidRDefault="00CB79EA" w:rsidP="00CB79EA"/>
    <w:p w14:paraId="6585D9D4" w14:textId="77777777" w:rsidR="00CB79EA" w:rsidRDefault="00CB79EA" w:rsidP="00CB79EA"/>
    <w:p w14:paraId="5B027640" w14:textId="77777777" w:rsidR="00CB79EA" w:rsidRDefault="00CB79EA" w:rsidP="00CB79EA"/>
    <w:p w14:paraId="087F6619" w14:textId="77777777" w:rsidR="00CB79EA" w:rsidRDefault="00CB79EA" w:rsidP="00CB79EA"/>
    <w:p w14:paraId="1A7C6F54" w14:textId="77777777" w:rsidR="00CB79EA" w:rsidRDefault="00CB79EA" w:rsidP="00CB79EA"/>
    <w:p w14:paraId="32C79D5E" w14:textId="77777777" w:rsidR="00CB79EA" w:rsidRDefault="00CB79EA" w:rsidP="00CB79EA"/>
    <w:p w14:paraId="2EECED4D" w14:textId="77777777" w:rsidR="00CB79EA" w:rsidRPr="0070386E" w:rsidRDefault="00CB79EA" w:rsidP="00CB79EA"/>
    <w:p w14:paraId="525867C2" w14:textId="77777777" w:rsidR="00CB79EA" w:rsidRPr="00307B23" w:rsidRDefault="00CB79EA" w:rsidP="00CB79EA">
      <w:r w:rsidRPr="00307B23">
        <w:rPr>
          <w:vertAlign w:val="superscript"/>
        </w:rPr>
        <w:t>§</w:t>
      </w:r>
      <w:r w:rsidRPr="00307B23">
        <w:t>Correspondence to: Haoyi Wang</w:t>
      </w:r>
    </w:p>
    <w:p w14:paraId="24914D94" w14:textId="77777777" w:rsidR="00CB79EA" w:rsidRPr="0070386E" w:rsidRDefault="00CB79EA" w:rsidP="00CB79EA">
      <w:r w:rsidRPr="0070386E">
        <w:t>Department of Work and Social Psychology, Maastricht University, Maastricht, 6200ER, the Netherlands</w:t>
      </w:r>
    </w:p>
    <w:p w14:paraId="7559E0E8" w14:textId="77777777" w:rsidR="00CB79EA" w:rsidRPr="00307B23" w:rsidRDefault="00CB79EA" w:rsidP="00CB79EA">
      <w:r w:rsidRPr="0070386E">
        <w:t>Phone: +31 43 38 8</w:t>
      </w:r>
      <w:r w:rsidRPr="00307B23">
        <w:t>4531</w:t>
      </w:r>
    </w:p>
    <w:p w14:paraId="74F79BB6" w14:textId="77777777" w:rsidR="00CB79EA" w:rsidRDefault="00CB79EA" w:rsidP="00CB79EA">
      <w:pPr>
        <w:rPr>
          <w:rStyle w:val="Hyperlink"/>
        </w:rPr>
      </w:pPr>
      <w:r w:rsidRPr="0070386E">
        <w:t xml:space="preserve">Email: </w:t>
      </w:r>
      <w:hyperlink r:id="rId4" w:history="1">
        <w:r w:rsidRPr="009E523E">
          <w:rPr>
            <w:rStyle w:val="Hyperlink"/>
          </w:rPr>
          <w:t>haoyi.wang@maastrichtuniversity.nl</w:t>
        </w:r>
      </w:hyperlink>
    </w:p>
    <w:p w14:paraId="3A66AE70" w14:textId="77777777" w:rsidR="008B30F7" w:rsidRDefault="008B30F7" w:rsidP="00CB79EA">
      <w:pPr>
        <w:rPr>
          <w:rStyle w:val="Hyperlink"/>
        </w:rPr>
      </w:pPr>
    </w:p>
    <w:p w14:paraId="587BA3F8" w14:textId="103ED575" w:rsidR="008B30F7" w:rsidRDefault="008B30F7">
      <w:pPr>
        <w:rPr>
          <w:rStyle w:val="Hyperlink"/>
        </w:rPr>
      </w:pPr>
      <w:r>
        <w:rPr>
          <w:rStyle w:val="Hyperlink"/>
        </w:rPr>
        <w:br w:type="page"/>
      </w:r>
    </w:p>
    <w:p w14:paraId="211873E0" w14:textId="5509E270" w:rsidR="008B30F7" w:rsidRPr="009A5FE5" w:rsidRDefault="008B30F7" w:rsidP="008B30F7">
      <w:pPr>
        <w:pStyle w:val="Heading2"/>
        <w:spacing w:line="480" w:lineRule="auto"/>
      </w:pPr>
      <w:r>
        <w:lastRenderedPageBreak/>
        <w:t xml:space="preserve">S1 </w:t>
      </w:r>
      <w:r w:rsidRPr="009A5FE5">
        <w:t>Model assumptions and parameter appointments for the spatio-temporal analysis of the relative chance of COVID-19 vaccination uptake in the Netherlands</w:t>
      </w:r>
    </w:p>
    <w:p w14:paraId="42220E2D" w14:textId="7F0CB26A" w:rsidR="008B30F7" w:rsidRPr="0093212F" w:rsidRDefault="008B30F7" w:rsidP="008B30F7">
      <w:pPr>
        <w:spacing w:line="480" w:lineRule="auto"/>
      </w:pPr>
      <w:r>
        <w:t>In this study, f</w:t>
      </w:r>
      <w:r w:rsidRPr="0093212F">
        <w:t xml:space="preserve">or the </w:t>
      </w:r>
      <w:r>
        <w:t xml:space="preserve">counted </w:t>
      </w:r>
      <w:r w:rsidRPr="0093212F">
        <w:t xml:space="preserve">outcome </w:t>
      </w:r>
      <w:r>
        <w:t>of vaccination uptake</w:t>
      </w:r>
      <w:r w:rsidRPr="0093212F">
        <w:t xml:space="preserve">, we assumed that the observed </w:t>
      </w:r>
      <w:r>
        <w:t>vaccinated cases</w:t>
      </w:r>
      <w:r w:rsidRPr="0093212F">
        <w:t xml:space="preserve"> follow </w:t>
      </w:r>
      <w:r>
        <w:t xml:space="preserve">a </w:t>
      </w:r>
      <w:r w:rsidRPr="0093212F">
        <w:t xml:space="preserve">Poisson distribution with mean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E</m:t>
            </m:r>
          </m:e>
          <m:sub>
            <m:r>
              <w:rPr>
                <w:rFonts w:ascii="Cambria Math" w:hAnsi="Cambria Math"/>
              </w:rPr>
              <m:t>i</m:t>
            </m:r>
          </m:sub>
        </m:sSub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θ</m:t>
            </m:r>
          </m:e>
          <m:sub>
            <m:r>
              <w:rPr>
                <w:rFonts w:ascii="Cambria Math" w:hAnsi="Cambria Math"/>
              </w:rPr>
              <m:t>i</m:t>
            </m:r>
          </m:sub>
        </m:sSub>
      </m:oMath>
      <w:r>
        <w:t xml:space="preserve">, following </w:t>
      </w:r>
      <w:r w:rsidRPr="003E71E5">
        <w:t>the suggestions from Diggle (1983) on spatial analysis for disease mapping</w:t>
      </w:r>
      <w:r>
        <w:t xml:space="preserve"> </w:t>
      </w:r>
      <w:r>
        <w:fldChar w:fldCharType="begin"/>
      </w:r>
      <w:r w:rsidR="008A28DA">
        <w:instrText xml:space="preserve"> ADDIN EN.CITE &lt;EndNote&gt;&lt;Cite&gt;&lt;Author&gt;Diggle&lt;/Author&gt;&lt;Year&gt;1983&lt;/Year&gt;&lt;RecNum&gt;1489&lt;/RecNum&gt;&lt;DisplayText&gt;[1]&lt;/DisplayText&gt;&lt;record&gt;&lt;rec-number&gt;1489&lt;/rec-number&gt;&lt;foreign-keys&gt;&lt;key app="EN" db-id="vdpv5w2whtt2ryerdwr5a99095xxzsd9tdaz" timestamp="1650877940"&gt;1489&lt;/key&gt;&lt;/foreign-keys&gt;&lt;ref-type name="Book"&gt;6&lt;/ref-type&gt;&lt;contributors&gt;&lt;authors&gt;&lt;author&gt;Diggle, Peter&lt;/author&gt;&lt;/authors&gt;&lt;/contributors&gt;&lt;titles&gt;&lt;title&gt;Statistical analysis of spatial point patterns&lt;/title&gt;&lt;secondary-title&gt;Mathematics in biology&lt;/secondary-title&gt;&lt;/titles&gt;&lt;section&gt;ix, 148 pages : illustrations ; 24 cm&lt;/section&gt;&lt;dates&gt;&lt;year&gt;1983&lt;/year&gt;&lt;/dates&gt;&lt;pub-location&gt;London ;&lt;/pub-location&gt;&lt;publisher&gt;Academic Press&lt;/publisher&gt;&lt;isbn&gt;0122158504 9780122158506&lt;/isbn&gt;&lt;urls&gt;&lt;/urls&gt;&lt;remote-database-name&gt;WorldCat.org&lt;/remote-database-name&gt;&lt;language&gt;English&lt;/language&gt;&lt;/record&gt;&lt;/Cite&gt;&lt;/EndNote&gt;</w:instrText>
      </w:r>
      <w:r>
        <w:fldChar w:fldCharType="separate"/>
      </w:r>
      <w:r w:rsidR="008A28DA">
        <w:rPr>
          <w:noProof/>
        </w:rPr>
        <w:t>[1]</w:t>
      </w:r>
      <w:r>
        <w:fldChar w:fldCharType="end"/>
      </w:r>
      <w:r w:rsidRPr="0093212F">
        <w:t xml:space="preserve">, where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E</m:t>
            </m:r>
          </m:e>
          <m:sub>
            <m:r>
              <w:rPr>
                <w:rFonts w:ascii="Cambria Math" w:hAnsi="Cambria Math"/>
              </w:rPr>
              <m:t>i</m:t>
            </m:r>
          </m:sub>
        </m:sSub>
      </m:oMath>
      <w:r w:rsidRPr="0093212F">
        <w:t xml:space="preserve"> is the expected number and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θ</m:t>
            </m:r>
          </m:e>
          <m:sub>
            <m:r>
              <w:rPr>
                <w:rFonts w:ascii="Cambria Math" w:hAnsi="Cambria Math"/>
              </w:rPr>
              <m:t>i</m:t>
            </m:r>
          </m:sub>
        </m:sSub>
      </m:oMath>
      <w:r w:rsidRPr="0093212F">
        <w:rPr>
          <w:vertAlign w:val="subscript"/>
        </w:rPr>
        <w:t xml:space="preserve"> </w:t>
      </w:r>
      <w:r w:rsidRPr="0093212F">
        <w:t xml:space="preserve">is the </w:t>
      </w:r>
      <w:r>
        <w:t xml:space="preserve">relative chance </w:t>
      </w:r>
      <w:r w:rsidRPr="0093212F">
        <w:t xml:space="preserve">in each region </w:t>
      </w:r>
      <m:oMath>
        <m:r>
          <w:rPr>
            <w:rFonts w:ascii="Cambria Math" w:hAnsi="Cambria Math"/>
          </w:rPr>
          <m:t>i</m:t>
        </m:r>
      </m:oMath>
      <w:r>
        <w:t xml:space="preserve">. </w:t>
      </w:r>
      <w:r w:rsidRPr="0093212F">
        <w:t xml:space="preserve">We thus can define the posterior </w:t>
      </w:r>
      <w:r>
        <w:t>relative chance</w:t>
      </w:r>
      <w:r w:rsidRPr="0093212F">
        <w:t xml:space="preserve"> on the logarithmic scale:</w:t>
      </w:r>
    </w:p>
    <w:p w14:paraId="2F86A35C" w14:textId="77777777" w:rsidR="008B30F7" w:rsidRPr="00495147" w:rsidRDefault="00000000" w:rsidP="008B30F7">
      <w:pPr>
        <w:spacing w:line="480" w:lineRule="auto"/>
      </w:pPr>
      <m:oMathPara>
        <m:oMath>
          <m:sSub>
            <m:sSubPr>
              <m:ctrlPr>
                <w:rPr>
                  <w:rFonts w:ascii="Cambria Math" w:hAnsi="Cambria Math"/>
                </w:rPr>
              </m:ctrlPr>
            </m:sSubPr>
            <m:e>
              <m:r>
                <w:rPr>
                  <w:rFonts w:ascii="Cambria Math" w:hAnsi="Cambria Math"/>
                </w:rPr>
                <m:t>Y</m:t>
              </m:r>
            </m:e>
            <m:sub>
              <m:r>
                <w:rPr>
                  <w:rFonts w:ascii="Cambria Math" w:hAnsi="Cambria Math"/>
                </w:rPr>
                <m:t>i</m:t>
              </m:r>
            </m:sub>
          </m:sSub>
          <m:r>
            <m:rPr>
              <m:sty m:val="p"/>
            </m:rPr>
            <w:rPr>
              <w:rFonts w:ascii="Cambria Math" w:hAnsi="Cambria Math"/>
            </w:rPr>
            <m:t>∼</m:t>
          </m:r>
          <m:r>
            <w:rPr>
              <w:rFonts w:ascii="Cambria Math" w:hAnsi="Cambria Math"/>
            </w:rPr>
            <m:t>Po</m:t>
          </m:r>
          <m:r>
            <m:rPr>
              <m:sty m:val="p"/>
            </m:rPr>
            <w:rPr>
              <w:rFonts w:ascii="Cambria Math" w:hAnsi="Cambria Math"/>
            </w:rPr>
            <m:t>(</m:t>
          </m:r>
          <m:sSub>
            <m:sSubPr>
              <m:ctrlPr>
                <w:rPr>
                  <w:rFonts w:ascii="Cambria Math" w:hAnsi="Cambria Math"/>
                </w:rPr>
              </m:ctrlPr>
            </m:sSubPr>
            <m:e>
              <m:r>
                <w:rPr>
                  <w:rFonts w:ascii="Cambria Math" w:hAnsi="Cambria Math"/>
                </w:rPr>
                <m:t>E</m:t>
              </m:r>
            </m:e>
            <m:sub>
              <m:r>
                <w:rPr>
                  <w:rFonts w:ascii="Cambria Math" w:hAnsi="Cambria Math"/>
                </w:rPr>
                <m:t>i</m:t>
              </m:r>
            </m:sub>
          </m:sSub>
          <m:sSub>
            <m:sSubPr>
              <m:ctrlPr>
                <w:rPr>
                  <w:rFonts w:ascii="Cambria Math" w:hAnsi="Cambria Math"/>
                </w:rPr>
              </m:ctrlPr>
            </m:sSubPr>
            <m:e>
              <m:r>
                <w:rPr>
                  <w:rFonts w:ascii="Cambria Math" w:hAnsi="Cambria Math"/>
                </w:rPr>
                <m:t>θ</m:t>
              </m:r>
            </m:e>
            <m:sub>
              <m:r>
                <w:rPr>
                  <w:rFonts w:ascii="Cambria Math" w:hAnsi="Cambria Math"/>
                </w:rPr>
                <m:t>i</m:t>
              </m:r>
            </m:sub>
          </m:sSub>
          <m:r>
            <m:rPr>
              <m:sty m:val="p"/>
            </m:rPr>
            <w:rPr>
              <w:rFonts w:ascii="Cambria Math" w:hAnsi="Cambria Math"/>
            </w:rPr>
            <m:t>),</m:t>
          </m:r>
          <m:r>
            <m:rPr>
              <m:nor/>
            </m:rPr>
            <m:t xml:space="preserve"> </m:t>
          </m:r>
          <m:r>
            <w:rPr>
              <w:rFonts w:ascii="Cambria Math" w:hAnsi="Cambria Math"/>
            </w:rPr>
            <m:t>i</m:t>
          </m:r>
          <m:r>
            <m:rPr>
              <m:sty m:val="p"/>
            </m:rPr>
            <w:rPr>
              <w:rFonts w:ascii="Cambria Math" w:hAnsi="Cambria Math"/>
            </w:rPr>
            <m:t>=1,…,</m:t>
          </m:r>
          <m:r>
            <w:rPr>
              <w:rFonts w:ascii="Cambria Math" w:hAnsi="Cambria Math"/>
            </w:rPr>
            <m:t>N</m:t>
          </m:r>
          <m:r>
            <m:rPr>
              <m:sty m:val="p"/>
            </m:rPr>
            <w:rPr>
              <w:rFonts w:ascii="Cambria Math" w:hAnsi="Cambria Math"/>
            </w:rPr>
            <m:t>,</m:t>
          </m:r>
        </m:oMath>
      </m:oMathPara>
    </w:p>
    <w:p w14:paraId="5B35DBD5" w14:textId="77777777" w:rsidR="008B30F7" w:rsidRPr="00EF267C" w:rsidRDefault="00000000" w:rsidP="008B30F7">
      <m:oMathPara>
        <m:oMath>
          <m:sSub>
            <m:sSubPr>
              <m:ctrlPr>
                <w:rPr>
                  <w:rFonts w:ascii="Cambria Math" w:hAnsi="Cambria Math"/>
                </w:rPr>
              </m:ctrlPr>
            </m:sSubPr>
            <m:e>
              <m:r>
                <w:rPr>
                  <w:rFonts w:ascii="Cambria Math" w:hAnsi="Cambria Math"/>
                </w:rPr>
                <m:t>E</m:t>
              </m:r>
            </m:e>
            <m:sub>
              <m:r>
                <w:rPr>
                  <w:rFonts w:ascii="Cambria Math" w:hAnsi="Cambria Math"/>
                </w:rPr>
                <m:t>i</m:t>
              </m:r>
            </m:sub>
          </m:sSub>
          <m:r>
            <w:rPr>
              <w:rFonts w:ascii="Cambria Math" w:hAnsi="Cambria Math"/>
            </w:rPr>
            <m:t>=</m:t>
          </m:r>
          <m:sSup>
            <m:sSupPr>
              <m:ctrlPr>
                <w:rPr>
                  <w:rFonts w:ascii="Cambria Math" w:hAnsi="Cambria Math"/>
                </w:rPr>
              </m:ctrlPr>
            </m:sSupPr>
            <m:e>
              <m:r>
                <w:rPr>
                  <w:rFonts w:ascii="Cambria Math" w:hAnsi="Cambria Math"/>
                </w:rPr>
                <m:t>r</m:t>
              </m:r>
            </m:e>
            <m:sup>
              <m:r>
                <w:rPr>
                  <w:rFonts w:ascii="Cambria Math" w:hAnsi="Cambria Math"/>
                </w:rPr>
                <m:t>(s)</m:t>
              </m:r>
            </m:sup>
          </m:sSup>
          <m:sSup>
            <m:sSupPr>
              <m:ctrlPr>
                <w:rPr>
                  <w:rFonts w:ascii="Cambria Math" w:hAnsi="Cambria Math"/>
                </w:rPr>
              </m:ctrlPr>
            </m:sSupPr>
            <m:e>
              <m:r>
                <w:rPr>
                  <w:rFonts w:ascii="Cambria Math" w:hAnsi="Cambria Math"/>
                </w:rPr>
                <m:t>n</m:t>
              </m:r>
            </m:e>
            <m:sup>
              <m:r>
                <w:rPr>
                  <w:rFonts w:ascii="Cambria Math" w:hAnsi="Cambria Math"/>
                </w:rPr>
                <m:t>(i)</m:t>
              </m:r>
            </m:sup>
          </m:sSup>
          <m:r>
            <w:rPr>
              <w:rFonts w:ascii="Cambria Math" w:hAnsi="Cambria Math"/>
            </w:rPr>
            <m:t>,</m:t>
          </m:r>
        </m:oMath>
      </m:oMathPara>
    </w:p>
    <w:p w14:paraId="3C3F6B4C" w14:textId="77777777" w:rsidR="008B30F7" w:rsidRPr="00495147" w:rsidRDefault="008B30F7" w:rsidP="008B30F7">
      <w:pPr>
        <w:spacing w:line="480" w:lineRule="auto"/>
      </w:pPr>
      <w:r w:rsidRPr="00EF267C">
        <w:t>where 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r</m:t>
            </m:r>
          </m:e>
          <m:sup>
            <m:r>
              <w:rPr>
                <w:rFonts w:ascii="Cambria Math" w:hAnsi="Cambria Math"/>
              </w:rPr>
              <m:t>(s)</m:t>
            </m:r>
          </m:sup>
        </m:sSup>
        <m:r>
          <w:rPr>
            <w:rFonts w:ascii="Cambria Math" w:hAnsi="Cambria Math"/>
          </w:rPr>
          <m:t xml:space="preserve"> </m:t>
        </m:r>
      </m:oMath>
      <w:r w:rsidRPr="00EF267C">
        <w:t xml:space="preserve">is the prevalence of </w:t>
      </w:r>
      <w:r>
        <w:t xml:space="preserve">COVID-19 </w:t>
      </w:r>
      <w:r>
        <w:rPr>
          <w:rFonts w:hint="eastAsia"/>
        </w:rPr>
        <w:t>vaccination</w:t>
      </w:r>
      <w:r>
        <w:t xml:space="preserve"> uptake in the Netherlands</w:t>
      </w:r>
      <w:r w:rsidRPr="00EF267C">
        <w:t>, and 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r>
              <w:rPr>
                <w:rFonts w:ascii="Cambria Math" w:hAnsi="Cambria Math"/>
              </w:rPr>
              <m:t>n</m:t>
            </m:r>
          </m:e>
          <m:sup>
            <m:r>
              <w:rPr>
                <w:rFonts w:ascii="Cambria Math" w:hAnsi="Cambria Math"/>
              </w:rPr>
              <m:t>(i)</m:t>
            </m:r>
          </m:sup>
        </m:sSup>
        <m:r>
          <w:rPr>
            <w:rFonts w:ascii="Cambria Math" w:hAnsi="Cambria Math"/>
          </w:rPr>
          <m:t xml:space="preserve"> </m:t>
        </m:r>
      </m:oMath>
      <w:r w:rsidRPr="00EF267C">
        <w:t xml:space="preserve">is the </w:t>
      </w:r>
      <w:r>
        <w:t>size of the population</w:t>
      </w:r>
      <w:r w:rsidRPr="00EF267C">
        <w:t xml:space="preserve"> of region </w:t>
      </w:r>
      <m:oMath>
        <m:r>
          <w:rPr>
            <w:rFonts w:ascii="Cambria Math" w:hAnsi="Cambria Math"/>
          </w:rPr>
          <m:t>i</m:t>
        </m:r>
      </m:oMath>
      <w:r w:rsidRPr="00EF267C">
        <w:t>.</w:t>
      </w:r>
      <w:r w:rsidRPr="00495147">
        <w:t xml:space="preserve"> Additionally, we added a temporal dimension into the model with a spatio-temporal interaction, so the model was formed as: </w:t>
      </w:r>
    </w:p>
    <w:p w14:paraId="6804122E" w14:textId="77777777" w:rsidR="008B30F7" w:rsidRPr="0093212F" w:rsidRDefault="008B30F7" w:rsidP="008B30F7">
      <w:pPr>
        <w:spacing w:line="480" w:lineRule="auto"/>
        <w:rPr>
          <w:rFonts w:ascii="Calibri" w:hAnsi="Calibri" w:cs="Calibri"/>
        </w:rPr>
      </w:pPr>
      <m:oMathPara>
        <m:oMath>
          <m:r>
            <m:rPr>
              <m:sty m:val="p"/>
            </m:rPr>
            <w:rPr>
              <w:rFonts w:ascii="Cambria Math" w:hAnsi="Cambria Math" w:cs="Calibri"/>
            </w:rPr>
            <m:t>log</m:t>
          </m:r>
          <m:r>
            <w:rPr>
              <w:rFonts w:ascii="Cambria Math" w:hAnsi="Cambria Math" w:cs="Calibri"/>
            </w:rPr>
            <m:t>⁡(</m:t>
          </m:r>
          <m:sSub>
            <m:sSubPr>
              <m:ctrlPr>
                <w:rPr>
                  <w:rFonts w:ascii="Cambria Math" w:hAnsi="Cambria Math" w:cs="Calibri"/>
                </w:rPr>
              </m:ctrlPr>
            </m:sSubPr>
            <m:e>
              <m:r>
                <w:rPr>
                  <w:rFonts w:ascii="Cambria Math" w:hAnsi="Cambria Math" w:cs="Calibri"/>
                </w:rPr>
                <m:t>θ</m:t>
              </m:r>
            </m:e>
            <m:sub>
              <m:r>
                <w:rPr>
                  <w:rFonts w:ascii="Cambria Math" w:hAnsi="Cambria Math" w:cs="Calibri"/>
                </w:rPr>
                <m:t>i</m:t>
              </m:r>
            </m:sub>
          </m:sSub>
          <m:r>
            <w:rPr>
              <w:rFonts w:ascii="Cambria Math" w:hAnsi="Cambria Math" w:cs="Calibri"/>
            </w:rPr>
            <m:t>)=α+</m:t>
          </m:r>
          <m:r>
            <m:rPr>
              <m:sty m:val="bi"/>
            </m:rPr>
            <w:rPr>
              <w:rFonts w:ascii="Cambria Math" w:hAnsi="Cambria Math"/>
            </w:rPr>
            <m:t>b</m:t>
          </m:r>
          <m:r>
            <w:rPr>
              <w:rFonts w:ascii="Cambria Math" w:hAnsi="Cambria Math"/>
            </w:rPr>
            <m:t>+</m:t>
          </m:r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r>
                <w:rPr>
                  <w:rFonts w:ascii="Cambria Math" w:hAnsi="Cambria Math" w:cs="Calibri"/>
                </w:rPr>
                <m:t>β</m:t>
              </m:r>
              <m:r>
                <w:rPr>
                  <w:rFonts w:ascii="Cambria Math" w:hAnsi="Cambria Math"/>
                </w:rPr>
                <m:t>+</m:t>
              </m:r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δ</m:t>
                  </m:r>
                </m:e>
                <m:sub>
                  <m:r>
                    <w:rPr>
                      <w:rFonts w:ascii="Cambria Math" w:hAnsi="Cambria Math"/>
                    </w:rPr>
                    <m:t>i</m:t>
                  </m:r>
                </m:sub>
              </m:sSub>
            </m:e>
          </m:d>
          <m:r>
            <w:rPr>
              <w:rFonts w:ascii="Cambria Math" w:hAnsi="Cambria Math"/>
            </w:rPr>
            <m:t xml:space="preserve"> </m:t>
          </m:r>
          <m:r>
            <m:rPr>
              <m:sty m:val="p"/>
            </m:rPr>
            <w:rPr>
              <w:rFonts w:ascii="Cambria Math" w:hAnsi="Cambria Math"/>
            </w:rPr>
            <w:sym w:font="Symbol" w:char="F0B4"/>
          </m:r>
          <m:r>
            <w:rPr>
              <w:rFonts w:ascii="Cambria Math" w:hAnsi="Cambria Math"/>
            </w:rPr>
            <m:t xml:space="preserve"> </m:t>
          </m:r>
          <m:sSub>
            <m:sSubPr>
              <m:ctrlPr>
                <w:rPr>
                  <w:rFonts w:ascii="Cambria Math" w:hAnsi="Cambria Math"/>
                </w:rPr>
              </m:ctrlPr>
            </m:sSubPr>
            <m:e>
              <m:r>
                <w:rPr>
                  <w:rFonts w:ascii="Cambria Math" w:hAnsi="Cambria Math"/>
                </w:rPr>
                <m:t>t</m:t>
              </m:r>
            </m:e>
            <m:sub>
              <m:r>
                <w:rPr>
                  <w:rFonts w:ascii="Cambria Math" w:hAnsi="Cambria Math"/>
                </w:rPr>
                <m:t>j</m:t>
              </m:r>
            </m:sub>
          </m:sSub>
          <m:r>
            <w:rPr>
              <w:rFonts w:ascii="Cambria Math" w:hAnsi="Cambria Math"/>
            </w:rPr>
            <m:t>,</m:t>
          </m:r>
        </m:oMath>
      </m:oMathPara>
    </w:p>
    <w:p w14:paraId="7F3A6B2A" w14:textId="77777777" w:rsidR="008B30F7" w:rsidRPr="0093212F" w:rsidRDefault="008B30F7" w:rsidP="008B30F7">
      <w:pPr>
        <w:spacing w:line="480" w:lineRule="auto"/>
      </w:pPr>
      <w:r w:rsidRPr="0093212F">
        <w:t xml:space="preserve">where </w:t>
      </w:r>
      <m:oMath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 w:cs="Calibri"/>
              </w:rPr>
              <m:t>β</m:t>
            </m:r>
            <m:r>
              <w:rPr>
                <w:rFonts w:ascii="Cambria Math" w:hAnsi="Cambria Math"/>
              </w:rPr>
              <m:t>+</m:t>
            </m:r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δ</m:t>
                </m:r>
              </m:e>
              <m:sub>
                <m:r>
                  <w:rPr>
                    <w:rFonts w:ascii="Cambria Math" w:hAnsi="Cambria Math"/>
                  </w:rPr>
                  <m:t>i</m:t>
                </m:r>
              </m:sub>
            </m:sSub>
          </m:e>
        </m:d>
        <m:r>
          <m:rPr>
            <m:sty m:val="p"/>
          </m:rPr>
          <w:rPr>
            <w:rFonts w:ascii="Cambria Math" w:hAnsi="Cambria Math"/>
          </w:rPr>
          <w:sym w:font="Symbol" w:char="F0B4"/>
        </m:r>
        <m:r>
          <w:rPr>
            <w:rFonts w:ascii="Cambria Math" w:hAnsi="Cambria Math"/>
          </w:rPr>
          <m:t xml:space="preserve"> 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t</m:t>
            </m:r>
          </m:e>
          <m:sub>
            <m:r>
              <w:rPr>
                <w:rFonts w:ascii="Cambria Math" w:hAnsi="Cambria Math"/>
              </w:rPr>
              <m:t>j</m:t>
            </m:r>
          </m:sub>
        </m:sSub>
      </m:oMath>
      <w:r w:rsidRPr="0093212F">
        <w:rPr>
          <w:rFonts w:ascii="Calibri" w:hAnsi="Calibri" w:cs="Calibri"/>
        </w:rPr>
        <w:t xml:space="preserve"> stands for the space-time interaction term</w:t>
      </w:r>
      <w:r>
        <w:rPr>
          <w:rFonts w:ascii="Calibri" w:hAnsi="Calibri" w:cs="Calibri"/>
        </w:rPr>
        <w:t>:</w:t>
      </w:r>
    </w:p>
    <w:p w14:paraId="7F2E1F24" w14:textId="77777777" w:rsidR="008B30F7" w:rsidRPr="003E71E5" w:rsidRDefault="00000000" w:rsidP="008B30F7">
      <w:pPr>
        <w:spacing w:line="480" w:lineRule="auto"/>
      </w:pPr>
      <m:oMathPara>
        <m:oMath>
          <m:sSub>
            <m:sSubPr>
              <m:ctrlPr>
                <w:rPr>
                  <w:rFonts w:ascii="Cambria Math" w:hAnsi="Cambria Math"/>
                </w:rPr>
              </m:ctrlPr>
            </m:sSubPr>
            <m:e>
              <m:r>
                <w:rPr>
                  <w:rFonts w:ascii="Cambria Math" w:hAnsi="Cambria Math"/>
                </w:rPr>
                <m:t>u</m:t>
              </m:r>
            </m:e>
            <m:sub>
              <m:r>
                <w:rPr>
                  <w:rFonts w:ascii="Cambria Math" w:hAnsi="Cambria Math"/>
                </w:rPr>
                <m:t>i</m:t>
              </m:r>
            </m:sub>
          </m:sSub>
          <m:r>
            <m:rPr>
              <m:sty m:val="p"/>
            </m:rPr>
            <w:rPr>
              <w:rFonts w:ascii="Cambria Math" w:hAnsi="Cambria Math"/>
            </w:rPr>
            <m:t>+</m:t>
          </m:r>
          <m:sSub>
            <m:sSubPr>
              <m:ctrlPr>
                <w:rPr>
                  <w:rFonts w:ascii="Cambria Math" w:hAnsi="Cambria Math"/>
                </w:rPr>
              </m:ctrlPr>
            </m:sSubPr>
            <m:e>
              <m:r>
                <w:rPr>
                  <w:rFonts w:ascii="Cambria Math" w:hAnsi="Cambria Math"/>
                </w:rPr>
                <m:t>v</m:t>
              </m:r>
            </m:e>
            <m:sub>
              <m:r>
                <w:rPr>
                  <w:rFonts w:ascii="Cambria Math" w:hAnsi="Cambria Math"/>
                </w:rPr>
                <m:t>i</m:t>
              </m:r>
            </m:sub>
          </m:sSub>
          <m:r>
            <m:rPr>
              <m:sty m:val="bi"/>
            </m:rPr>
            <w:rPr>
              <w:rFonts w:ascii="Cambria Math" w:hAnsi="Cambria Math"/>
            </w:rPr>
            <m:t>=b</m:t>
          </m:r>
          <m: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r>
                <w:rPr>
                  <w:rFonts w:ascii="Cambria Math" w:hAnsi="Cambria Math"/>
                </w:rPr>
                <m:t>1</m:t>
              </m:r>
            </m:num>
            <m:den>
              <m:rad>
                <m:radPr>
                  <m:degHide m:val="1"/>
                  <m:ctrlPr>
                    <w:rPr>
                      <w:rFonts w:ascii="Cambria Math" w:hAnsi="Cambria Math"/>
                    </w:rPr>
                  </m:ctrlPr>
                </m:radPr>
                <m:deg/>
                <m:e>
                  <m:sSub>
                    <m:sSubPr>
                      <m:ctrlPr>
                        <w:rPr>
                          <w:rFonts w:ascii="Cambria Math" w:hAnsi="Cambria Math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τ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b</m:t>
                      </m:r>
                    </m:sub>
                  </m:sSub>
                </m:e>
              </m:rad>
            </m:den>
          </m:f>
          <m:r>
            <w:rPr>
              <w:rFonts w:ascii="Cambria Math" w:hAnsi="Cambria Math"/>
            </w:rPr>
            <m:t>(</m:t>
          </m:r>
          <m:rad>
            <m:radPr>
              <m:degHide m:val="1"/>
              <m:ctrlPr>
                <w:rPr>
                  <w:rFonts w:ascii="Cambria Math" w:hAnsi="Cambria Math"/>
                </w:rPr>
              </m:ctrlPr>
            </m:radPr>
            <m:deg/>
            <m:e>
              <m:r>
                <w:rPr>
                  <w:rFonts w:ascii="Cambria Math" w:hAnsi="Cambria Math"/>
                </w:rPr>
                <m:t>1-ϕ</m:t>
              </m:r>
            </m:e>
          </m:rad>
          <m:sSub>
            <m:sSubPr>
              <m:ctrlPr>
                <w:rPr>
                  <w:rFonts w:ascii="Cambria Math" w:hAnsi="Cambria Math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</w:rPr>
                <m:t>v</m:t>
              </m:r>
            </m:e>
            <m:sub>
              <m:r>
                <m:rPr>
                  <m:sty m:val="b"/>
                </m:rPr>
                <w:rPr>
                  <w:rFonts w:ascii="Cambria Math" w:hAnsi="Cambria Math"/>
                </w:rPr>
                <m:t>*</m:t>
              </m:r>
            </m:sub>
          </m:sSub>
          <m:r>
            <w:rPr>
              <w:rFonts w:ascii="Cambria Math" w:hAnsi="Cambria Math"/>
            </w:rPr>
            <m:t>+</m:t>
          </m:r>
          <m:rad>
            <m:radPr>
              <m:degHide m:val="1"/>
              <m:ctrlPr>
                <w:rPr>
                  <w:rFonts w:ascii="Cambria Math" w:hAnsi="Cambria Math"/>
                </w:rPr>
              </m:ctrlPr>
            </m:radPr>
            <m:deg/>
            <m:e>
              <m:r>
                <w:rPr>
                  <w:rFonts w:ascii="Cambria Math" w:hAnsi="Cambria Math"/>
                </w:rPr>
                <m:t>ϕ</m:t>
              </m:r>
            </m:e>
          </m:rad>
          <m:sSub>
            <m:sSubPr>
              <m:ctrlPr>
                <w:rPr>
                  <w:rFonts w:ascii="Cambria Math" w:hAnsi="Cambria Math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</w:rPr>
                <m:t>u</m:t>
              </m:r>
            </m:e>
            <m:sub>
              <m:r>
                <m:rPr>
                  <m:sty m:val="b"/>
                </m:rPr>
                <w:rPr>
                  <w:rFonts w:ascii="Cambria Math" w:hAnsi="Cambria Math"/>
                </w:rPr>
                <m:t>*</m:t>
              </m:r>
            </m:sub>
          </m:sSub>
          <m:r>
            <w:rPr>
              <w:rFonts w:ascii="Cambria Math" w:hAnsi="Cambria Math"/>
            </w:rPr>
            <m:t>)</m:t>
          </m:r>
        </m:oMath>
      </m:oMathPara>
    </w:p>
    <w:p w14:paraId="276DB612" w14:textId="129363C6" w:rsidR="008B30F7" w:rsidRDefault="008B30F7" w:rsidP="008B30F7">
      <w:pPr>
        <w:spacing w:line="480" w:lineRule="auto"/>
      </w:pPr>
      <w:r w:rsidRPr="0093212F">
        <w:t xml:space="preserve">Where </w:t>
      </w:r>
      <m:oMath>
        <m:r>
          <w:rPr>
            <w:rFonts w:ascii="Cambria Math" w:hAnsi="Cambria Math"/>
          </w:rPr>
          <m:t>α</m:t>
        </m:r>
      </m:oMath>
      <w:r w:rsidRPr="0093212F">
        <w:t xml:space="preserve"> represents the overall </w:t>
      </w:r>
      <w:r>
        <w:t>chance of the vaccination uptake</w:t>
      </w:r>
      <w:r w:rsidRPr="0093212F">
        <w:t xml:space="preserve"> in the Netherlands, </w:t>
      </w:r>
      <m:oMath>
        <m:r>
          <m:rPr>
            <m:scr m:val="script"/>
          </m:rPr>
          <w:rPr>
            <w:rFonts w:ascii="Cambria Math" w:hAnsi="Cambria Math"/>
          </w:rPr>
          <m:t>ui</m:t>
        </m:r>
      </m:oMath>
      <w:r w:rsidRPr="0093212F">
        <w:t xml:space="preserve"> is a </w:t>
      </w:r>
      <w:r w:rsidR="00231DE2">
        <w:t xml:space="preserve">structured </w:t>
      </w:r>
      <w:r w:rsidRPr="0093212F">
        <w:t xml:space="preserve">random effect on area </w:t>
      </w:r>
      <m:oMath>
        <m:r>
          <m:rPr>
            <m:scr m:val="script"/>
          </m:rPr>
          <w:rPr>
            <w:rFonts w:ascii="Cambria Math" w:hAnsi="Cambria Math"/>
          </w:rPr>
          <m:t>i</m:t>
        </m:r>
      </m:oMath>
      <w:r w:rsidRPr="0093212F">
        <w:t xml:space="preserve"> which is used to model spatial dependence between the </w:t>
      </w:r>
      <w:r>
        <w:t>relative chance</w:t>
      </w:r>
      <w:r w:rsidRPr="0093212F">
        <w:t xml:space="preserve">, and </w:t>
      </w:r>
      <m:oMath>
        <m:r>
          <m:rPr>
            <m:scr m:val="script"/>
          </m:rPr>
          <w:rPr>
            <w:rFonts w:ascii="Cambria Math" w:hAnsi="Cambria Math"/>
          </w:rPr>
          <m:t>vi</m:t>
        </m:r>
      </m:oMath>
      <w:r w:rsidRPr="0093212F">
        <w:t xml:space="preserve"> represents other unstructured noise which </w:t>
      </w:r>
      <w:r>
        <w:rPr>
          <w:rFonts w:hint="eastAsia"/>
        </w:rPr>
        <w:t>follows</w:t>
      </w:r>
      <w:r w:rsidRPr="0093212F">
        <w:t xml:space="preserve"> a distribution of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v</m:t>
            </m:r>
          </m:e>
          <m:sub>
            <m:r>
              <w:rPr>
                <w:rFonts w:ascii="Cambria Math" w:hAnsi="Cambria Math"/>
              </w:rPr>
              <m:t>i</m:t>
            </m:r>
          </m:sub>
        </m:sSub>
        <m:r>
          <w:rPr>
            <w:rFonts w:ascii="Cambria Math" w:hAnsi="Cambria Math"/>
          </w:rPr>
          <m:t>∼N</m:t>
        </m:r>
        <m:d>
          <m:dPr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0,</m:t>
            </m:r>
            <m:sSubSup>
              <m:sSubSupPr>
                <m:ctrlPr>
                  <w:rPr>
                    <w:rFonts w:ascii="Cambria Math" w:hAnsi="Cambria Math"/>
                  </w:rPr>
                </m:ctrlPr>
              </m:sSubSupPr>
              <m:e>
                <m:r>
                  <w:rPr>
                    <w:rFonts w:ascii="Cambria Math" w:hAnsi="Cambria Math"/>
                  </w:rPr>
                  <m:t>σ</m:t>
                </m:r>
              </m:e>
              <m:sub>
                <m:r>
                  <w:rPr>
                    <w:rFonts w:ascii="Cambria Math" w:hAnsi="Cambria Math"/>
                  </w:rPr>
                  <m:t>v</m:t>
                </m:r>
              </m:sub>
              <m:sup>
                <m:r>
                  <w:rPr>
                    <w:rFonts w:ascii="Cambria Math" w:hAnsi="Cambria Math"/>
                  </w:rPr>
                  <m:t>2</m:t>
                </m:r>
              </m:sup>
            </m:sSubSup>
          </m:e>
        </m:d>
      </m:oMath>
      <w:r w:rsidRPr="0093212F">
        <w:t xml:space="preserve">.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τ</m:t>
            </m:r>
          </m:e>
          <m:sub>
            <m:r>
              <w:rPr>
                <w:rFonts w:ascii="Cambria Math" w:hAnsi="Cambria Math"/>
              </w:rPr>
              <m:t>b</m:t>
            </m:r>
          </m:sub>
        </m:sSub>
        <m:r>
          <w:rPr>
            <w:rFonts w:ascii="Cambria Math" w:hAnsi="Cambria Math"/>
          </w:rPr>
          <m:t>&gt;0</m:t>
        </m:r>
      </m:oMath>
      <w:r w:rsidRPr="0093212F">
        <w:t xml:space="preserve"> is a marginal precision parameter contribution from spatial term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/>
              </w:rPr>
              <m:t>*</m:t>
            </m:r>
          </m:sub>
        </m:sSub>
      </m:oMath>
      <w:r w:rsidRPr="0093212F">
        <w:t xml:space="preserve"> and random effect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/>
              </w:rPr>
              <m:t>v</m:t>
            </m:r>
          </m:e>
          <m:sub>
            <m:r>
              <m:rPr>
                <m:sty m:val="b"/>
              </m:rPr>
              <w:rPr>
                <w:rFonts w:ascii="Cambria Math" w:hAnsi="Cambria Math"/>
              </w:rPr>
              <m:t>*</m:t>
            </m:r>
          </m:sub>
        </m:sSub>
      </m:oMath>
      <w:r w:rsidRPr="0093212F">
        <w:t xml:space="preserve">, and the fraction of this variance explained by the from spatial term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/>
              </w:rPr>
              <m:t>*</m:t>
            </m:r>
          </m:sub>
        </m:sSub>
      </m:oMath>
      <w:r w:rsidRPr="0093212F">
        <w:t xml:space="preserve"> and random effect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/>
              </w:rPr>
              <m:t>v</m:t>
            </m:r>
          </m:e>
          <m:sub>
            <m:r>
              <m:rPr>
                <m:sty m:val="b"/>
              </m:rPr>
              <w:rPr>
                <w:rFonts w:ascii="Cambria Math" w:hAnsi="Cambria Math"/>
              </w:rPr>
              <m:t>*</m:t>
            </m:r>
          </m:sub>
        </m:sSub>
      </m:oMath>
      <w:r w:rsidRPr="0093212F">
        <w:t xml:space="preserve"> are the mixing parameter </w:t>
      </w:r>
      <m:oMath>
        <m:r>
          <w:rPr>
            <w:rFonts w:ascii="Cambria Math" w:hAnsi="Cambria Math"/>
          </w:rPr>
          <m:t>0≤ϕ≤1</m:t>
        </m:r>
      </m:oMath>
      <w:r w:rsidRPr="0093212F">
        <w:t xml:space="preserve">. </w:t>
      </w:r>
    </w:p>
    <w:p w14:paraId="36EE8C1C" w14:textId="77777777" w:rsidR="008B30F7" w:rsidRPr="0093212F" w:rsidRDefault="008B30F7" w:rsidP="008B30F7">
      <w:pPr>
        <w:spacing w:line="480" w:lineRule="auto"/>
      </w:pPr>
      <w:r w:rsidRPr="0093212F">
        <w:t>In spatio-temporal ecological analysis, we first applied the univariable models which only include one of the selected determinants:</w:t>
      </w:r>
    </w:p>
    <w:p w14:paraId="7881D128" w14:textId="77777777" w:rsidR="008B30F7" w:rsidRPr="0093212F" w:rsidRDefault="00000000" w:rsidP="008B30F7">
      <w:pPr>
        <w:spacing w:line="480" w:lineRule="auto"/>
        <w:rPr>
          <w:rFonts w:ascii="Calibri" w:hAnsi="Calibri" w:cs="Calibri"/>
        </w:rPr>
      </w:pPr>
      <m:oMathPara>
        <m:oMath>
          <m:func>
            <m:funcPr>
              <m:ctrlPr>
                <w:rPr>
                  <w:rFonts w:ascii="Cambria Math" w:hAnsi="Cambria Math"/>
                </w:rPr>
              </m:ctrlPr>
            </m:funcPr>
            <m:fName>
              <m:r>
                <m:rPr>
                  <m:sty m:val="p"/>
                </m:rPr>
                <w:rPr>
                  <w:rFonts w:ascii="Cambria Math" w:hAnsi="Cambria Math"/>
                </w:rPr>
                <m:t>log</m:t>
              </m:r>
            </m:fName>
            <m:e>
              <m:d>
                <m:dPr>
                  <m:ctrlPr>
                    <w:rPr>
                      <w:rFonts w:ascii="Cambria Math" w:hAnsi="Cambria Math"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hAnsi="Cambria Math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θ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i</m:t>
                      </m:r>
                    </m:sub>
                  </m:sSub>
                </m:e>
              </m:d>
            </m:e>
          </m:func>
          <m:r>
            <m:rPr>
              <m:sty m:val="p"/>
            </m:rPr>
            <w:rPr>
              <w:rFonts w:ascii="Cambria Math" w:hAnsi="Cambria Math"/>
            </w:rPr>
            <m:t>=</m:t>
          </m:r>
          <m:r>
            <w:rPr>
              <w:rFonts w:ascii="Cambria Math" w:hAnsi="Cambria Math"/>
            </w:rPr>
            <m:t>α</m:t>
          </m:r>
          <m:r>
            <m:rPr>
              <m:sty m:val="p"/>
            </m:rPr>
            <w:rPr>
              <w:rFonts w:ascii="Cambria Math" w:hAnsi="Cambria Math"/>
            </w:rPr>
            <m:t>+</m:t>
          </m:r>
          <m:sSub>
            <m:sSubPr>
              <m:ctrlPr>
                <w:rPr>
                  <w:rFonts w:ascii="Cambria Math" w:hAnsi="Cambria Math"/>
                </w:rPr>
              </m:ctrlPr>
            </m:sSubPr>
            <m:e>
              <m:r>
                <w:rPr>
                  <w:rFonts w:ascii="Cambria Math" w:hAnsi="Cambria Math"/>
                </w:rPr>
                <m:t>β</m:t>
              </m:r>
            </m:e>
            <m:sub>
              <m:r>
                <w:rPr>
                  <w:rFonts w:ascii="Cambria Math" w:hAnsi="Cambria Math"/>
                </w:rPr>
                <m:t>1</m:t>
              </m:r>
            </m:sub>
          </m:sSub>
          <m:sSub>
            <m:sSubPr>
              <m:ctrlPr>
                <w:rPr>
                  <w:rFonts w:ascii="Cambria Math" w:hAnsi="Cambria Math"/>
                </w:rPr>
              </m:ctrlPr>
            </m:sSubPr>
            <m:e>
              <m:r>
                <w:rPr>
                  <w:rFonts w:ascii="Cambria Math" w:hAnsi="Cambria Math"/>
                </w:rPr>
                <m:t>d</m:t>
              </m:r>
            </m:e>
            <m:sub>
              <m:r>
                <w:rPr>
                  <w:rFonts w:ascii="Cambria Math" w:hAnsi="Cambria Math"/>
                </w:rPr>
                <m:t>i</m:t>
              </m:r>
            </m:sub>
          </m:sSub>
          <m:r>
            <w:rPr>
              <w:rFonts w:ascii="Cambria Math" w:hAnsi="Cambria Math"/>
            </w:rPr>
            <m:t>+</m:t>
          </m:r>
          <m:r>
            <m:rPr>
              <m:sty m:val="bi"/>
            </m:rPr>
            <w:rPr>
              <w:rFonts w:ascii="Cambria Math" w:hAnsi="Cambria Math"/>
            </w:rPr>
            <m:t>b</m:t>
          </m:r>
          <m:r>
            <w:rPr>
              <w:rFonts w:ascii="Cambria Math" w:hAnsi="Cambria Math" w:cs="Calibri"/>
            </w:rPr>
            <m:t>+</m:t>
          </m:r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r>
                <w:rPr>
                  <w:rFonts w:ascii="Cambria Math" w:hAnsi="Cambria Math" w:cs="Calibri"/>
                </w:rPr>
                <m:t>β</m:t>
              </m:r>
              <m:r>
                <w:rPr>
                  <w:rFonts w:ascii="Cambria Math" w:hAnsi="Cambria Math"/>
                </w:rPr>
                <m:t>+</m:t>
              </m:r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δ</m:t>
                  </m:r>
                </m:e>
                <m:sub>
                  <m:r>
                    <w:rPr>
                      <w:rFonts w:ascii="Cambria Math" w:hAnsi="Cambria Math"/>
                    </w:rPr>
                    <m:t>i</m:t>
                  </m:r>
                </m:sub>
              </m:sSub>
            </m:e>
          </m:d>
          <m:r>
            <w:rPr>
              <w:rFonts w:ascii="Cambria Math" w:hAnsi="Cambria Math"/>
            </w:rPr>
            <m:t xml:space="preserve"> </m:t>
          </m:r>
          <m:r>
            <m:rPr>
              <m:sty m:val="p"/>
            </m:rPr>
            <w:rPr>
              <w:rFonts w:ascii="Cambria Math" w:hAnsi="Cambria Math"/>
            </w:rPr>
            <w:sym w:font="Symbol" w:char="F0B4"/>
          </m:r>
          <m:r>
            <w:rPr>
              <w:rFonts w:ascii="Cambria Math" w:hAnsi="Cambria Math"/>
            </w:rPr>
            <m:t xml:space="preserve"> </m:t>
          </m:r>
          <m:sSub>
            <m:sSubPr>
              <m:ctrlPr>
                <w:rPr>
                  <w:rFonts w:ascii="Cambria Math" w:hAnsi="Cambria Math"/>
                </w:rPr>
              </m:ctrlPr>
            </m:sSubPr>
            <m:e>
              <m:r>
                <w:rPr>
                  <w:rFonts w:ascii="Cambria Math" w:hAnsi="Cambria Math"/>
                </w:rPr>
                <m:t>t</m:t>
              </m:r>
            </m:e>
            <m:sub>
              <m:r>
                <w:rPr>
                  <w:rFonts w:ascii="Cambria Math" w:hAnsi="Cambria Math"/>
                </w:rPr>
                <m:t>j</m:t>
              </m:r>
            </m:sub>
          </m:sSub>
        </m:oMath>
      </m:oMathPara>
    </w:p>
    <w:p w14:paraId="2741D435" w14:textId="77777777" w:rsidR="008B30F7" w:rsidRPr="0093212F" w:rsidRDefault="008B30F7" w:rsidP="008B30F7">
      <w:pPr>
        <w:spacing w:line="480" w:lineRule="auto"/>
      </w:pPr>
      <w:r w:rsidRPr="0093212F">
        <w:t>where</w:t>
      </w:r>
      <w:r>
        <w:rPr>
          <w:rFonts w:hint="eastAsia"/>
        </w:rPr>
        <w:t xml:space="preserve">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β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</m:oMath>
      <w:r w:rsidRPr="0093212F">
        <w:rPr>
          <w:b/>
        </w:rPr>
        <w:t xml:space="preserve"> </w:t>
      </w:r>
      <w:r w:rsidRPr="0093212F">
        <w:rPr>
          <w:bCs/>
        </w:rPr>
        <w:t xml:space="preserve">is the </w:t>
      </w:r>
      <w:r>
        <w:rPr>
          <w:rFonts w:hint="eastAsia"/>
          <w:bCs/>
        </w:rPr>
        <w:t>coefficient</w:t>
      </w:r>
      <w:r w:rsidRPr="0093212F">
        <w:rPr>
          <w:bCs/>
        </w:rPr>
        <w:t xml:space="preserve"> for the </w:t>
      </w:r>
      <w:r w:rsidRPr="0093212F">
        <w:t xml:space="preserve">one of the </w:t>
      </w:r>
      <w:r>
        <w:rPr>
          <w:rFonts w:hint="eastAsia"/>
        </w:rPr>
        <w:t>determinants</w:t>
      </w:r>
      <w:r w:rsidRPr="0093212F">
        <w:t xml:space="preserve">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d</m:t>
            </m:r>
          </m:e>
          <m:sub>
            <m:r>
              <w:rPr>
                <w:rFonts w:ascii="Cambria Math" w:hAnsi="Cambria Math"/>
              </w:rPr>
              <m:t>i</m:t>
            </m:r>
          </m:sub>
        </m:sSub>
        <m:r>
          <w:rPr>
            <w:rFonts w:ascii="Cambria Math" w:hAnsi="Cambria Math"/>
          </w:rPr>
          <m:t xml:space="preserve"> </m:t>
        </m:r>
      </m:oMath>
      <w:r w:rsidRPr="0093212F">
        <w:t>selected in this study. In the final model, we included all the significant determinants indicated by the univariate models:</w:t>
      </w:r>
    </w:p>
    <w:p w14:paraId="2376C5A7" w14:textId="77777777" w:rsidR="008B30F7" w:rsidRPr="0093212F" w:rsidRDefault="00000000" w:rsidP="008B30F7">
      <w:pPr>
        <w:spacing w:line="480" w:lineRule="auto"/>
        <w:rPr>
          <w:rFonts w:ascii="Calibri" w:hAnsi="Calibri" w:cs="Calibri"/>
        </w:rPr>
      </w:pPr>
      <m:oMathPara>
        <m:oMath>
          <m:func>
            <m:funcPr>
              <m:ctrlPr>
                <w:rPr>
                  <w:rFonts w:ascii="Cambria Math" w:hAnsi="Cambria Math" w:cs="Calibri"/>
                  <w:i/>
                </w:rPr>
              </m:ctrlPr>
            </m:funcPr>
            <m:fName>
              <m:r>
                <m:rPr>
                  <m:sty m:val="p"/>
                </m:rPr>
                <w:rPr>
                  <w:rFonts w:ascii="Cambria Math" w:hAnsi="Cambria Math" w:cs="Calibri"/>
                </w:rPr>
                <m:t>log</m:t>
              </m:r>
              <m:ctrlPr>
                <w:rPr>
                  <w:rFonts w:ascii="Cambria Math" w:hAnsi="Cambria Math" w:cs="Calibri"/>
                </w:rPr>
              </m:ctrlPr>
            </m:fName>
            <m:e>
              <m:d>
                <m:dPr>
                  <m:ctrlPr>
                    <w:rPr>
                      <w:rFonts w:ascii="Cambria Math" w:hAnsi="Cambria Math" w:cs="Calibri"/>
                      <w:i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hAnsi="Cambria Math" w:cs="Calibri"/>
                        </w:rPr>
                      </m:ctrlPr>
                    </m:sSubPr>
                    <m:e>
                      <m:r>
                        <w:rPr>
                          <w:rFonts w:ascii="Cambria Math" w:hAnsi="Cambria Math" w:cs="Calibri"/>
                        </w:rPr>
                        <m:t>θ</m:t>
                      </m:r>
                    </m:e>
                    <m:sub>
                      <m:r>
                        <w:rPr>
                          <w:rFonts w:ascii="Cambria Math" w:hAnsi="Cambria Math" w:cs="Calibri"/>
                        </w:rPr>
                        <m:t>i</m:t>
                      </m:r>
                    </m:sub>
                  </m:sSub>
                </m:e>
              </m:d>
            </m:e>
          </m:func>
          <m:r>
            <w:rPr>
              <w:rFonts w:ascii="Cambria Math" w:hAnsi="Cambria Math" w:cs="Calibri"/>
            </w:rPr>
            <m:t>=</m:t>
          </m:r>
          <m:sSub>
            <m:sSubPr>
              <m:ctrlPr>
                <w:rPr>
                  <w:rFonts w:ascii="Cambria Math" w:hAnsi="Cambria Math" w:cs="Calibri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 w:cs="Calibri"/>
                </w:rPr>
                <m:t>d</m:t>
              </m:r>
            </m:e>
            <m:sub>
              <m:r>
                <w:rPr>
                  <w:rFonts w:ascii="Cambria Math" w:hAnsi="Cambria Math" w:cs="Calibri"/>
                </w:rPr>
                <m:t>i</m:t>
              </m:r>
            </m:sub>
          </m:sSub>
          <m:r>
            <m:rPr>
              <m:sty m:val="bi"/>
            </m:rPr>
            <w:rPr>
              <w:rFonts w:ascii="Cambria Math" w:hAnsi="Cambria Math" w:cs="Calibri"/>
            </w:rPr>
            <m:t>β</m:t>
          </m:r>
          <m:r>
            <w:rPr>
              <w:rFonts w:ascii="Cambria Math" w:hAnsi="Cambria Math" w:cs="Calibri"/>
            </w:rPr>
            <m:t>+</m:t>
          </m:r>
          <m:r>
            <m:rPr>
              <m:sty m:val="bi"/>
            </m:rPr>
            <w:rPr>
              <w:rFonts w:ascii="Cambria Math" w:hAnsi="Cambria Math"/>
            </w:rPr>
            <m:t>b</m:t>
          </m:r>
          <m:r>
            <w:rPr>
              <w:rFonts w:ascii="Cambria Math" w:hAnsi="Cambria Math" w:cs="Calibri"/>
            </w:rPr>
            <m:t>+</m:t>
          </m:r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r>
                <w:rPr>
                  <w:rFonts w:ascii="Cambria Math" w:hAnsi="Cambria Math" w:cs="Calibri"/>
                </w:rPr>
                <m:t>β</m:t>
              </m:r>
              <m:r>
                <w:rPr>
                  <w:rFonts w:ascii="Cambria Math" w:hAnsi="Cambria Math"/>
                </w:rPr>
                <m:t>+</m:t>
              </m:r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δ</m:t>
                  </m:r>
                </m:e>
                <m:sub>
                  <m:r>
                    <w:rPr>
                      <w:rFonts w:ascii="Cambria Math" w:hAnsi="Cambria Math"/>
                    </w:rPr>
                    <m:t>i</m:t>
                  </m:r>
                </m:sub>
              </m:sSub>
            </m:e>
          </m:d>
          <m:r>
            <w:rPr>
              <w:rFonts w:ascii="Cambria Math" w:hAnsi="Cambria Math"/>
            </w:rPr>
            <m:t xml:space="preserve"> </m:t>
          </m:r>
          <m:r>
            <m:rPr>
              <m:sty m:val="p"/>
            </m:rPr>
            <w:rPr>
              <w:rFonts w:ascii="Cambria Math" w:hAnsi="Cambria Math"/>
            </w:rPr>
            <w:sym w:font="Symbol" w:char="F0B4"/>
          </m:r>
          <m:r>
            <w:rPr>
              <w:rFonts w:ascii="Cambria Math" w:hAnsi="Cambria Math"/>
            </w:rPr>
            <m:t xml:space="preserve"> </m:t>
          </m:r>
          <m:sSub>
            <m:sSubPr>
              <m:ctrlPr>
                <w:rPr>
                  <w:rFonts w:ascii="Cambria Math" w:hAnsi="Cambria Math"/>
                </w:rPr>
              </m:ctrlPr>
            </m:sSubPr>
            <m:e>
              <m:r>
                <w:rPr>
                  <w:rFonts w:ascii="Cambria Math" w:hAnsi="Cambria Math"/>
                </w:rPr>
                <m:t>t</m:t>
              </m:r>
            </m:e>
            <m:sub>
              <m:r>
                <w:rPr>
                  <w:rFonts w:ascii="Cambria Math" w:hAnsi="Cambria Math"/>
                </w:rPr>
                <m:t>j</m:t>
              </m:r>
            </m:sub>
          </m:sSub>
        </m:oMath>
      </m:oMathPara>
    </w:p>
    <w:p w14:paraId="1E896DB0" w14:textId="77777777" w:rsidR="008B30F7" w:rsidRPr="0093212F" w:rsidRDefault="00000000" w:rsidP="008B30F7">
      <w:pPr>
        <w:spacing w:line="480" w:lineRule="auto"/>
        <w:rPr>
          <w:rFonts w:ascii="Calibri" w:hAnsi="Calibri" w:cs="Calibri"/>
        </w:rPr>
      </w:pPr>
      <m:oMathPara>
        <m:oMath>
          <m:sSub>
            <m:sSubPr>
              <m:ctrlPr>
                <w:rPr>
                  <w:rFonts w:ascii="Cambria Math" w:hAnsi="Cambria Math" w:cs="Calibri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 w:cs="Calibri"/>
                </w:rPr>
                <m:t>d</m:t>
              </m:r>
            </m:e>
            <m:sub>
              <m:r>
                <w:rPr>
                  <w:rFonts w:ascii="Cambria Math" w:hAnsi="Cambria Math" w:cs="Calibri"/>
                </w:rPr>
                <m:t>i</m:t>
              </m:r>
            </m:sub>
          </m:sSub>
          <m:r>
            <w:rPr>
              <w:rFonts w:ascii="Cambria Math" w:hAnsi="Cambria Math" w:cs="Calibri"/>
            </w:rPr>
            <m:t>=(1,</m:t>
          </m:r>
          <m:sSub>
            <m:sSubPr>
              <m:ctrlPr>
                <w:rPr>
                  <w:rFonts w:ascii="Cambria Math" w:hAnsi="Cambria Math" w:cs="Calibri"/>
                </w:rPr>
              </m:ctrlPr>
            </m:sSubPr>
            <m:e>
              <m:r>
                <w:rPr>
                  <w:rFonts w:ascii="Cambria Math" w:hAnsi="Cambria Math" w:cs="Calibri"/>
                </w:rPr>
                <m:t>d</m:t>
              </m:r>
            </m:e>
            <m:sub>
              <m:r>
                <w:rPr>
                  <w:rFonts w:ascii="Cambria Math" w:hAnsi="Cambria Math" w:cs="Calibri"/>
                </w:rPr>
                <m:t>i1</m:t>
              </m:r>
            </m:sub>
          </m:sSub>
          <m:r>
            <w:rPr>
              <w:rFonts w:ascii="Cambria Math" w:hAnsi="Cambria Math" w:cs="Calibri"/>
            </w:rPr>
            <m:t>,…,</m:t>
          </m:r>
          <m:sSub>
            <m:sSubPr>
              <m:ctrlPr>
                <w:rPr>
                  <w:rFonts w:ascii="Cambria Math" w:hAnsi="Cambria Math" w:cs="Calibri"/>
                </w:rPr>
              </m:ctrlPr>
            </m:sSubPr>
            <m:e>
              <m:r>
                <w:rPr>
                  <w:rFonts w:ascii="Cambria Math" w:hAnsi="Cambria Math" w:cs="Calibri"/>
                </w:rPr>
                <m:t>d</m:t>
              </m:r>
            </m:e>
            <m:sub>
              <m:r>
                <w:rPr>
                  <w:rFonts w:ascii="Cambria Math" w:hAnsi="Cambria Math" w:cs="Calibri"/>
                </w:rPr>
                <m:t>ip</m:t>
              </m:r>
            </m:sub>
          </m:sSub>
          <m:r>
            <w:rPr>
              <w:rFonts w:ascii="Cambria Math" w:hAnsi="Cambria Math" w:cs="Calibri"/>
            </w:rPr>
            <m:t>)</m:t>
          </m:r>
        </m:oMath>
      </m:oMathPara>
    </w:p>
    <w:p w14:paraId="1941C07F" w14:textId="77777777" w:rsidR="008B30F7" w:rsidRPr="009935B3" w:rsidRDefault="008B30F7" w:rsidP="008B30F7">
      <w:pPr>
        <w:spacing w:line="480" w:lineRule="auto"/>
        <w:rPr>
          <w:rFonts w:ascii="Calibri" w:hAnsi="Calibri" w:cs="Calibri"/>
        </w:rPr>
      </w:pPr>
      <m:oMathPara>
        <m:oMath>
          <m:r>
            <m:rPr>
              <m:sty m:val="bi"/>
            </m:rPr>
            <w:rPr>
              <w:rFonts w:ascii="Cambria Math" w:hAnsi="Cambria Math" w:cs="Calibri"/>
            </w:rPr>
            <m:t>β</m:t>
          </m:r>
          <m:r>
            <w:rPr>
              <w:rFonts w:ascii="Cambria Math" w:hAnsi="Cambria Math" w:cs="Calibri"/>
            </w:rPr>
            <m:t>=(</m:t>
          </m:r>
          <m:sSub>
            <m:sSubPr>
              <m:ctrlPr>
                <w:rPr>
                  <w:rFonts w:ascii="Cambria Math" w:hAnsi="Cambria Math" w:cs="Calibri"/>
                </w:rPr>
              </m:ctrlPr>
            </m:sSubPr>
            <m:e>
              <m:r>
                <w:rPr>
                  <w:rFonts w:ascii="Cambria Math" w:hAnsi="Cambria Math" w:cs="Calibri"/>
                </w:rPr>
                <m:t>β</m:t>
              </m:r>
            </m:e>
            <m:sub>
              <m:r>
                <w:rPr>
                  <w:rFonts w:ascii="Cambria Math" w:hAnsi="Cambria Math" w:cs="Calibri"/>
                </w:rPr>
                <m:t>0</m:t>
              </m:r>
            </m:sub>
          </m:sSub>
          <m:r>
            <w:rPr>
              <w:rFonts w:ascii="Cambria Math" w:hAnsi="Cambria Math" w:cs="Calibri"/>
            </w:rPr>
            <m:t>,</m:t>
          </m:r>
          <m:sSub>
            <m:sSubPr>
              <m:ctrlPr>
                <w:rPr>
                  <w:rFonts w:ascii="Cambria Math" w:hAnsi="Cambria Math" w:cs="Calibri"/>
                </w:rPr>
              </m:ctrlPr>
            </m:sSubPr>
            <m:e>
              <m:r>
                <w:rPr>
                  <w:rFonts w:ascii="Cambria Math" w:hAnsi="Cambria Math" w:cs="Calibri"/>
                </w:rPr>
                <m:t>β</m:t>
              </m:r>
            </m:e>
            <m:sub>
              <m:r>
                <w:rPr>
                  <w:rFonts w:ascii="Cambria Math" w:hAnsi="Cambria Math" w:cs="Calibri"/>
                </w:rPr>
                <m:t>1</m:t>
              </m:r>
            </m:sub>
          </m:sSub>
          <m:r>
            <w:rPr>
              <w:rFonts w:ascii="Cambria Math" w:hAnsi="Cambria Math" w:cs="Calibri"/>
            </w:rPr>
            <m:t>,…,</m:t>
          </m:r>
          <m:sSub>
            <m:sSubPr>
              <m:ctrlPr>
                <w:rPr>
                  <w:rFonts w:ascii="Cambria Math" w:hAnsi="Cambria Math" w:cs="Calibri"/>
                </w:rPr>
              </m:ctrlPr>
            </m:sSubPr>
            <m:e>
              <m:r>
                <w:rPr>
                  <w:rFonts w:ascii="Cambria Math" w:hAnsi="Cambria Math" w:cs="Calibri"/>
                </w:rPr>
                <m:t>β</m:t>
              </m:r>
            </m:e>
            <m:sub>
              <m:r>
                <w:rPr>
                  <w:rFonts w:ascii="Cambria Math" w:hAnsi="Cambria Math" w:cs="Calibri"/>
                </w:rPr>
                <m:t>p</m:t>
              </m:r>
            </m:sub>
          </m:sSub>
          <m:sSup>
            <m:sSupPr>
              <m:ctrlPr>
                <w:rPr>
                  <w:rFonts w:ascii="Cambria Math" w:hAnsi="Cambria Math" w:cs="Calibri"/>
                </w:rPr>
              </m:ctrlPr>
            </m:sSupPr>
            <m:e>
              <m:r>
                <w:rPr>
                  <w:rFonts w:ascii="Cambria Math" w:hAnsi="Cambria Math" w:cs="Calibri"/>
                </w:rPr>
                <m:t>)</m:t>
              </m:r>
            </m:e>
            <m:sup>
              <m:r>
                <w:rPr>
                  <w:rFonts w:ascii="Cambria Math" w:hAnsi="Cambria Math" w:cs="Calibri" w:hint="eastAsia"/>
                </w:rPr>
                <m:t>'</m:t>
              </m:r>
            </m:sup>
          </m:sSup>
        </m:oMath>
      </m:oMathPara>
    </w:p>
    <w:p w14:paraId="0A828D86" w14:textId="2038C85A" w:rsidR="008B30F7" w:rsidRPr="0093212F" w:rsidRDefault="008B30F7" w:rsidP="008B30F7">
      <w:pPr>
        <w:spacing w:line="480" w:lineRule="auto"/>
      </w:pPr>
      <w:r w:rsidRPr="0093212F">
        <w:t xml:space="preserve">To define the PC prior, we used the probability statement </w:t>
      </w:r>
      <m:oMath>
        <m:r>
          <w:rPr>
            <w:rFonts w:ascii="Cambria Math" w:hAnsi="Cambria Math"/>
          </w:rPr>
          <m:t>P((1/</m:t>
        </m:r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τ</m:t>
                </m:r>
              </m:e>
              <m:sub>
                <m:r>
                  <w:rPr>
                    <w:rFonts w:ascii="Cambria Math" w:hAnsi="Cambria Math"/>
                  </w:rPr>
                  <m:t>b</m:t>
                </m:r>
              </m:sub>
            </m:sSub>
          </m:e>
        </m:rad>
        <m:r>
          <w:rPr>
            <w:rFonts w:ascii="Cambria Math" w:hAnsi="Cambria Math"/>
          </w:rPr>
          <m:t>)&gt;U)=α</m:t>
        </m:r>
      </m:oMath>
      <w:r w:rsidRPr="0093212F">
        <w:t xml:space="preserve">. Based on the rule of thumb by Simpson et al. </w:t>
      </w:r>
      <w:r w:rsidRPr="0093212F">
        <w:fldChar w:fldCharType="begin"/>
      </w:r>
      <w:r w:rsidR="008A28DA">
        <w:instrText xml:space="preserve"> ADDIN EN.CITE &lt;EndNote&gt;&lt;Cite&gt;&lt;Author&gt;Simpson&lt;/Author&gt;&lt;Year&gt;2017&lt;/Year&gt;&lt;RecNum&gt;24&lt;/RecNum&gt;&lt;DisplayText&gt;[2]&lt;/DisplayText&gt;&lt;record&gt;&lt;rec-number&gt;24&lt;/rec-number&gt;&lt;foreign-keys&gt;&lt;key app="EN" db-id="vdpv5w2whtt2ryerdwr5a99095xxzsd9tdaz" timestamp="1606770216"&gt;24&lt;/key&gt;&lt;/foreign-keys&gt;&lt;ref-type name="Journal Article"&gt;17&lt;/ref-type&gt;&lt;contributors&gt;&lt;authors&gt;&lt;author&gt;Simpson, Daniel&lt;/author&gt;&lt;author&gt;Rue, Havard&lt;/author&gt;&lt;author&gt;Riebler, Andrea&lt;/author&gt;&lt;author&gt;Martins, Thiago G.&lt;/author&gt;&lt;author&gt;Sorbye, Sigrunn H.&lt;/author&gt;&lt;/authors&gt;&lt;/contributors&gt;&lt;titles&gt;&lt;title&gt;Penalising Model Component Complexity: A Principled, Practical Approach to Constructing Priors&lt;/title&gt;&lt;secondary-title&gt;Statist. Sci.&lt;/secondary-title&gt;&lt;/titles&gt;&lt;periodical&gt;&lt;full-title&gt;Statist. Sci.&lt;/full-title&gt;&lt;/periodical&gt;&lt;pages&gt;1-28&lt;/pages&gt;&lt;volume&gt;32&lt;/volume&gt;&lt;number&gt;1&lt;/number&gt;&lt;keywords&gt;&lt;keyword&gt;Bayesian theory&lt;/keyword&gt;&lt;keyword&gt;interpretable prior distributions&lt;/keyword&gt;&lt;keyword&gt;hierarchical models&lt;/keyword&gt;&lt;keyword&gt;disease mapping&lt;/keyword&gt;&lt;keyword&gt;information geometry&lt;/keyword&gt;&lt;keyword&gt;prior on correlation matrices&lt;/keyword&gt;&lt;/keywords&gt;&lt;dates&gt;&lt;year&gt;2017&lt;/year&gt;&lt;pub-dates&gt;&lt;date&gt;2017/02&lt;/date&gt;&lt;/pub-dates&gt;&lt;/dates&gt;&lt;publisher&gt;The Institute of Mathematical Statistics&lt;/publisher&gt;&lt;isbn&gt;0883-4237&lt;/isbn&gt;&lt;urls&gt;&lt;related-urls&gt;&lt;url&gt;https://projecteuclid.org:443/euclid.ss/1491465621&lt;/url&gt;&lt;/related-urls&gt;&lt;/urls&gt;&lt;electronic-resource-num&gt;10.1214/16-STS576&lt;/electronic-resource-num&gt;&lt;language&gt;en&lt;/language&gt;&lt;/record&gt;&lt;/Cite&gt;&lt;/EndNote&gt;</w:instrText>
      </w:r>
      <w:r w:rsidRPr="0093212F">
        <w:fldChar w:fldCharType="separate"/>
      </w:r>
      <w:r w:rsidR="008A28DA">
        <w:rPr>
          <w:noProof/>
        </w:rPr>
        <w:t>[2]</w:t>
      </w:r>
      <w:r w:rsidRPr="0093212F">
        <w:fldChar w:fldCharType="end"/>
      </w:r>
      <w:r w:rsidRPr="0093212F">
        <w:t xml:space="preserve">, we set  </w:t>
      </w:r>
      <m:oMath>
        <m:r>
          <w:rPr>
            <w:rFonts w:ascii="Cambria Math" w:hAnsi="Cambria Math"/>
          </w:rPr>
          <m:t>U=0.5/0.31</m:t>
        </m:r>
      </m:oMath>
      <w:r w:rsidRPr="0093212F">
        <w:t xml:space="preserve"> and </w:t>
      </w:r>
      <m:oMath>
        <m:r>
          <w:rPr>
            <w:rFonts w:ascii="Cambria Math" w:hAnsi="Cambria Math"/>
          </w:rPr>
          <m:t>a=0.01</m:t>
        </m:r>
      </m:oMath>
      <w:r w:rsidRPr="0093212F">
        <w:t xml:space="preserve">. We then defined the prior for the mixing parameter </w:t>
      </w:r>
      <m:oMath>
        <m:r>
          <w:rPr>
            <w:rFonts w:ascii="Cambria Math" w:hAnsi="Cambria Math"/>
          </w:rPr>
          <m:t>ϕ</m:t>
        </m:r>
      </m:oMath>
      <w:r w:rsidRPr="0093212F">
        <w:t xml:space="preserve"> as </w:t>
      </w:r>
      <m:oMath>
        <m:r>
          <w:rPr>
            <w:rFonts w:ascii="Cambria Math" w:hAnsi="Cambria Math"/>
          </w:rPr>
          <m:t>P(ϕ&lt;0.5)=2/3</m:t>
        </m:r>
      </m:oMath>
      <w:r w:rsidRPr="0093212F">
        <w:t xml:space="preserve">, which assumed that the unstructured random effect accounts for more of the variability than the spatially structured effects </w:t>
      </w:r>
      <w:r w:rsidRPr="0093212F">
        <w:fldChar w:fldCharType="begin"/>
      </w:r>
      <w:r w:rsidR="008A28DA">
        <w:instrText xml:space="preserve"> ADDIN EN.CITE &lt;EndNote&gt;&lt;Cite&gt;&lt;Author&gt;Moraga&lt;/Author&gt;&lt;Year&gt;2019&lt;/Year&gt;&lt;RecNum&gt;17&lt;/RecNum&gt;&lt;DisplayText&gt;[3]&lt;/DisplayText&gt;&lt;record&gt;&lt;rec-number&gt;17&lt;/rec-number&gt;&lt;foreign-keys&gt;&lt;key app="EN" db-id="vdpv5w2whtt2ryerdwr5a99095xxzsd9tdaz" timestamp="1605638510"&gt;17&lt;/key&gt;&lt;/foreign-keys&gt;&lt;ref-type name="Book"&gt;6&lt;/ref-type&gt;&lt;contributors&gt;&lt;authors&gt;&lt;author&gt;Moraga, Paula&lt;/author&gt;&lt;/authors&gt;&lt;/contributors&gt;&lt;titles&gt;&lt;title&gt;Geospatial Health Data: Modeling and Visualization with R-INLA and Shiny&lt;/title&gt;&lt;/titles&gt;&lt;dates&gt;&lt;year&gt;2019&lt;/year&gt;&lt;/dates&gt;&lt;isbn&gt;9780429341823&lt;/isbn&gt;&lt;urls&gt;&lt;/urls&gt;&lt;electronic-resource-num&gt;10.1201/9780429341823&lt;/electronic-resource-num&gt;&lt;/record&gt;&lt;/Cite&gt;&lt;/EndNote&gt;</w:instrText>
      </w:r>
      <w:r w:rsidRPr="0093212F">
        <w:fldChar w:fldCharType="separate"/>
      </w:r>
      <w:r w:rsidR="008A28DA">
        <w:rPr>
          <w:noProof/>
        </w:rPr>
        <w:t>[3]</w:t>
      </w:r>
      <w:r w:rsidRPr="0093212F">
        <w:fldChar w:fldCharType="end"/>
      </w:r>
      <w:r w:rsidRPr="0093212F">
        <w:t>.</w:t>
      </w:r>
    </w:p>
    <w:p w14:paraId="4D7C08CC" w14:textId="3A9AB5E8" w:rsidR="008B30F7" w:rsidRDefault="008B30F7" w:rsidP="008B30F7">
      <w:pPr>
        <w:spacing w:line="480" w:lineRule="auto"/>
      </w:pPr>
      <w:r w:rsidRPr="0093212F">
        <w:t>All analyses were conducted in R (version 4.</w:t>
      </w:r>
      <w:r>
        <w:t>2</w:t>
      </w:r>
      <w:r w:rsidRPr="0093212F">
        <w:t>.</w:t>
      </w:r>
      <w:r>
        <w:t>1</w:t>
      </w:r>
      <w:r w:rsidRPr="0093212F">
        <w:t xml:space="preserve">). </w:t>
      </w:r>
      <w:r w:rsidRPr="00023B03">
        <w:t xml:space="preserve">We used SpatialEpi R package (version 1.2.7) to estimate the expected </w:t>
      </w:r>
      <w:r>
        <w:t>COVID-19 vaccination uptake</w:t>
      </w:r>
      <w:r w:rsidRPr="00023B03">
        <w:t xml:space="preserve"> per region </w:t>
      </w:r>
      <w:r>
        <w:fldChar w:fldCharType="begin"/>
      </w:r>
      <w:r w:rsidR="008A28DA">
        <w:instrText xml:space="preserve"> ADDIN EN.CITE &lt;EndNote&gt;&lt;Cite&gt;&lt;Author&gt;Cici Chen&lt;/Author&gt;&lt;Year&gt;2021&lt;/Year&gt;&lt;RecNum&gt;1554&lt;/RecNum&gt;&lt;DisplayText&gt;[4]&lt;/DisplayText&gt;&lt;record&gt;&lt;rec-number&gt;1554&lt;/rec-number&gt;&lt;foreign-keys&gt;&lt;key app="EN" db-id="vdpv5w2whtt2ryerdwr5a99095xxzsd9tdaz" timestamp="1664200961"&gt;1554&lt;/key&gt;&lt;/foreign-keys&gt;&lt;ref-type name="Computer Program"&gt;9&lt;/ref-type&gt;&lt;contributors&gt;&lt;authors&gt;&lt;author&gt;Cici Chen, Albert Y. Kim, Michelle Ross, Jon Wakefield, Mikael Moise &lt;/author&gt;&lt;/authors&gt;&lt;/contributors&gt;&lt;titles&gt;&lt;title&gt;SpatialEpi: Methods and Data for Spatial Epidemiology&lt;/title&gt;&lt;/titles&gt;&lt;edition&gt;1.2.7&lt;/edition&gt;&lt;dates&gt;&lt;year&gt;2021&lt;/year&gt;&lt;/dates&gt;&lt;urls&gt;&lt;related-urls&gt;&lt;url&gt;https://CRAN.R-project.org/package=SpatialEpi&lt;/url&gt;&lt;/related-urls&gt;&lt;/urls&gt;&lt;/record&gt;&lt;/Cite&gt;&lt;/EndNote&gt;</w:instrText>
      </w:r>
      <w:r>
        <w:fldChar w:fldCharType="separate"/>
      </w:r>
      <w:r w:rsidR="008A28DA">
        <w:rPr>
          <w:noProof/>
        </w:rPr>
        <w:t>[4]</w:t>
      </w:r>
      <w:r>
        <w:fldChar w:fldCharType="end"/>
      </w:r>
      <w:r>
        <w:t xml:space="preserve">. </w:t>
      </w:r>
      <w:r w:rsidRPr="0093212F">
        <w:t xml:space="preserve">For all Bayesian modelling analyses with INLA, we used the R-INLA package (version 21.05.02) </w:t>
      </w:r>
      <w:r w:rsidRPr="0093212F">
        <w:fldChar w:fldCharType="begin"/>
      </w:r>
      <w:r w:rsidR="008A28DA">
        <w:instrText xml:space="preserve"> ADDIN EN.CITE &lt;EndNote&gt;&lt;Cite&gt;&lt;Author&gt;Blangiardo&lt;/Author&gt;&lt;Year&gt;2013&lt;/Year&gt;&lt;RecNum&gt;16&lt;/RecNum&gt;&lt;DisplayText&gt;[5]&lt;/DisplayText&gt;&lt;record&gt;&lt;rec-number&gt;16&lt;/rec-number&gt;&lt;foreign-keys&gt;&lt;key app="EN" db-id="vdpv5w2whtt2ryerdwr5a99095xxzsd9tdaz" timestamp="1605636696"&gt;16&lt;/key&gt;&lt;/foreign-keys&gt;&lt;ref-type name="Journal Article"&gt;17&lt;/ref-type&gt;&lt;contributors&gt;&lt;authors&gt;&lt;author&gt;Blangiardo, Marta&lt;/author&gt;&lt;author&gt;Cameletti, Michela&lt;/author&gt;&lt;author&gt;Baio, Gianluca&lt;/author&gt;&lt;author&gt;Rue, Håvard&lt;/author&gt;&lt;/authors&gt;&lt;/contributors&gt;&lt;titles&gt;&lt;title&gt;Spatial and spatio-temporal models with R-INLA&lt;/title&gt;&lt;secondary-title&gt;Spatial and Spatio-temporal Epidemiology&lt;/secondary-title&gt;&lt;/titles&gt;&lt;periodical&gt;&lt;full-title&gt;Spatial and Spatio-temporal Epidemiology&lt;/full-title&gt;&lt;/periodical&gt;&lt;pages&gt;33-49&lt;/pages&gt;&lt;volume&gt;4&lt;/volume&gt;&lt;keywords&gt;&lt;keyword&gt;Integrated Nested Laplace Approximation&lt;/keyword&gt;&lt;keyword&gt;Stochastic Partial Differential Equation approach&lt;/keyword&gt;&lt;keyword&gt;Bayesian approach&lt;/keyword&gt;&lt;keyword&gt;Area-level data&lt;/keyword&gt;&lt;keyword&gt;Point-level data&lt;/keyword&gt;&lt;/keywords&gt;&lt;dates&gt;&lt;year&gt;2013&lt;/year&gt;&lt;pub-dates&gt;&lt;date&gt;2013/03/01/&lt;/date&gt;&lt;/pub-dates&gt;&lt;/dates&gt;&lt;isbn&gt;1877-5845&lt;/isbn&gt;&lt;urls&gt;&lt;related-urls&gt;&lt;url&gt;http://www.sciencedirect.com/science/article/pii/S1877584512000846&lt;/url&gt;&lt;/related-urls&gt;&lt;/urls&gt;&lt;electronic-resource-num&gt;https://doi.org/10.1016/j.sste.2012.12.001&lt;/electronic-resource-num&gt;&lt;/record&gt;&lt;/Cite&gt;&lt;/EndNote&gt;</w:instrText>
      </w:r>
      <w:r w:rsidRPr="0093212F">
        <w:fldChar w:fldCharType="separate"/>
      </w:r>
      <w:r w:rsidR="008A28DA">
        <w:rPr>
          <w:noProof/>
        </w:rPr>
        <w:t>[5]</w:t>
      </w:r>
      <w:r w:rsidRPr="0093212F">
        <w:fldChar w:fldCharType="end"/>
      </w:r>
      <w:r w:rsidRPr="0093212F">
        <w:t xml:space="preserve">. </w:t>
      </w:r>
    </w:p>
    <w:p w14:paraId="2A6A6003" w14:textId="77777777" w:rsidR="008B30F7" w:rsidRPr="00743FB9" w:rsidRDefault="008B30F7" w:rsidP="008B30F7">
      <w:pPr>
        <w:pStyle w:val="Heading2"/>
        <w:spacing w:line="480" w:lineRule="auto"/>
      </w:pPr>
      <w:r w:rsidRPr="00743FB9">
        <w:t>Ethical statement</w:t>
      </w:r>
    </w:p>
    <w:p w14:paraId="4DF22E21" w14:textId="77777777" w:rsidR="008B30F7" w:rsidRPr="00743FB9" w:rsidRDefault="008B30F7" w:rsidP="008B30F7">
      <w:pPr>
        <w:spacing w:line="480" w:lineRule="auto"/>
      </w:pPr>
      <w:r w:rsidRPr="00743FB9">
        <w:t xml:space="preserve">The study </w:t>
      </w:r>
      <w:r>
        <w:t>only used publicly accessible secondary data from the national public surveillance system. Ethical approval and informed consent were therefore not required,</w:t>
      </w:r>
      <w:r w:rsidRPr="00743FB9">
        <w:t xml:space="preserve"> given secondary data were depersonalised. Data was presented in </w:t>
      </w:r>
      <w:r>
        <w:t xml:space="preserve">an </w:t>
      </w:r>
      <w:r w:rsidRPr="00743FB9">
        <w:t xml:space="preserve">aggregated manner excluding </w:t>
      </w:r>
      <w:r>
        <w:t xml:space="preserve">the </w:t>
      </w:r>
      <w:r w:rsidRPr="00743FB9">
        <w:t>possibility of identifying specific individuals.</w:t>
      </w:r>
    </w:p>
    <w:p w14:paraId="49400B4F" w14:textId="77777777" w:rsidR="008A28DA" w:rsidRPr="008A28DA" w:rsidRDefault="008A28DA" w:rsidP="008A28DA">
      <w:pPr>
        <w:pStyle w:val="Heading2"/>
        <w:rPr>
          <w:lang w:val="en-US"/>
        </w:rPr>
      </w:pPr>
      <w:r>
        <w:rPr>
          <w:lang w:val="en-US"/>
        </w:rPr>
        <w:t>Reference</w:t>
      </w:r>
    </w:p>
    <w:p w14:paraId="38FEAA5E" w14:textId="77777777" w:rsidR="008A28DA" w:rsidRPr="008A28DA" w:rsidRDefault="008A28DA" w:rsidP="008A28DA">
      <w:pPr>
        <w:pStyle w:val="EndNoteBibliography"/>
        <w:rPr>
          <w:noProof/>
        </w:rPr>
      </w:pPr>
      <w:r>
        <w:fldChar w:fldCharType="begin"/>
      </w:r>
      <w:r>
        <w:instrText xml:space="preserve"> ADDIN EN.REFLIST </w:instrText>
      </w:r>
      <w:r>
        <w:fldChar w:fldCharType="separate"/>
      </w:r>
      <w:r w:rsidRPr="008A28DA">
        <w:rPr>
          <w:noProof/>
        </w:rPr>
        <w:t>1.</w:t>
      </w:r>
      <w:r w:rsidRPr="008A28DA">
        <w:rPr>
          <w:noProof/>
        </w:rPr>
        <w:tab/>
        <w:t>Diggle P. Statistical analysis of spatial point patterns. London ;: Academic Press; 1983.</w:t>
      </w:r>
    </w:p>
    <w:p w14:paraId="1CDABBBB" w14:textId="77777777" w:rsidR="008A28DA" w:rsidRPr="008A28DA" w:rsidRDefault="008A28DA" w:rsidP="008A28DA">
      <w:pPr>
        <w:pStyle w:val="EndNoteBibliography"/>
        <w:rPr>
          <w:noProof/>
        </w:rPr>
      </w:pPr>
      <w:r w:rsidRPr="008A28DA">
        <w:rPr>
          <w:noProof/>
        </w:rPr>
        <w:t>2.</w:t>
      </w:r>
      <w:r w:rsidRPr="008A28DA">
        <w:rPr>
          <w:noProof/>
        </w:rPr>
        <w:tab/>
        <w:t>Simpson D, Rue H, Riebler A, Martins TG, Sorbye SH. Penalising Model Component Complexity: A Principled, Practical Approach to Constructing Priors. Statist Sci. 2017;32(1):1-28.</w:t>
      </w:r>
    </w:p>
    <w:p w14:paraId="0E60B7C6" w14:textId="77777777" w:rsidR="008A28DA" w:rsidRPr="008A28DA" w:rsidRDefault="008A28DA" w:rsidP="008A28DA">
      <w:pPr>
        <w:pStyle w:val="EndNoteBibliography"/>
        <w:rPr>
          <w:noProof/>
        </w:rPr>
      </w:pPr>
      <w:r w:rsidRPr="008A28DA">
        <w:rPr>
          <w:noProof/>
        </w:rPr>
        <w:t>3.</w:t>
      </w:r>
      <w:r w:rsidRPr="008A28DA">
        <w:rPr>
          <w:noProof/>
        </w:rPr>
        <w:tab/>
        <w:t>Moraga P. Geospatial Health Data: Modeling and Visualization with R-INLA and Shiny2019.</w:t>
      </w:r>
    </w:p>
    <w:p w14:paraId="2F76DB4E" w14:textId="77777777" w:rsidR="008A28DA" w:rsidRPr="008A28DA" w:rsidRDefault="008A28DA" w:rsidP="008A28DA">
      <w:pPr>
        <w:pStyle w:val="EndNoteBibliography"/>
        <w:rPr>
          <w:noProof/>
        </w:rPr>
      </w:pPr>
      <w:r w:rsidRPr="008A28DA">
        <w:rPr>
          <w:noProof/>
        </w:rPr>
        <w:lastRenderedPageBreak/>
        <w:t>4.</w:t>
      </w:r>
      <w:r w:rsidRPr="008A28DA">
        <w:rPr>
          <w:noProof/>
        </w:rPr>
        <w:tab/>
        <w:t>Cici Chen AYK, Michelle Ross, Jon Wakefield, Mikael Moise SpatialEpi: Methods and Data for Spatial Epidemiology. 1.2.7 ed2021.</w:t>
      </w:r>
    </w:p>
    <w:p w14:paraId="7DC817E6" w14:textId="77777777" w:rsidR="008A28DA" w:rsidRPr="008A28DA" w:rsidRDefault="008A28DA" w:rsidP="008A28DA">
      <w:pPr>
        <w:pStyle w:val="EndNoteBibliography"/>
        <w:rPr>
          <w:noProof/>
        </w:rPr>
      </w:pPr>
      <w:r w:rsidRPr="008A28DA">
        <w:rPr>
          <w:noProof/>
        </w:rPr>
        <w:t>5.</w:t>
      </w:r>
      <w:r w:rsidRPr="008A28DA">
        <w:rPr>
          <w:noProof/>
        </w:rPr>
        <w:tab/>
        <w:t>Blangiardo M, Cameletti M, Baio G, Rue H. Spatial and spatio-temporal models with R-INLA. Spatial and Spatio-temporal Epidemiology. 2013;4:33-49.</w:t>
      </w:r>
    </w:p>
    <w:p w14:paraId="049D15ED" w14:textId="0049C739" w:rsidR="008B30F7" w:rsidRDefault="008A28DA" w:rsidP="008A28DA">
      <w:pPr>
        <w:rPr>
          <w:rStyle w:val="Hyperlink"/>
        </w:rPr>
        <w:sectPr w:rsidR="008B30F7" w:rsidSect="00A043FB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>
        <w:fldChar w:fldCharType="end"/>
      </w:r>
      <w:r w:rsidR="008B30F7">
        <w:rPr>
          <w:rStyle w:val="Hyperlink"/>
        </w:rPr>
        <w:br w:type="page"/>
      </w:r>
    </w:p>
    <w:p w14:paraId="4F729C43" w14:textId="77777777" w:rsidR="00E422DD" w:rsidRPr="00473EAF" w:rsidRDefault="00E422DD" w:rsidP="00C62EEC">
      <w:pPr>
        <w:pStyle w:val="Heading2"/>
        <w:rPr>
          <w:lang w:val="en-US"/>
        </w:rPr>
      </w:pPr>
      <w:r w:rsidRPr="00473EAF">
        <w:rPr>
          <w:lang w:val="en-US"/>
        </w:rPr>
        <w:lastRenderedPageBreak/>
        <w:t xml:space="preserve">Figure </w:t>
      </w:r>
      <w:r>
        <w:rPr>
          <w:lang w:val="en-US"/>
        </w:rPr>
        <w:t>S</w:t>
      </w:r>
      <w:r w:rsidRPr="00473EAF">
        <w:rPr>
          <w:lang w:val="en-US"/>
        </w:rPr>
        <w:t>1. The Netherlands spatial connectivity between a) municipality level, and b) public health services (GGD) level.</w:t>
      </w:r>
    </w:p>
    <w:p w14:paraId="7AE183BD" w14:textId="5E89CFCA" w:rsidR="00E422DD" w:rsidRDefault="006E7C95" w:rsidP="00E422DD">
      <w:pPr>
        <w:pStyle w:val="Heading2"/>
      </w:pPr>
      <w:r w:rsidRPr="006E7C95">
        <w:rPr>
          <w:sz w:val="24"/>
          <w:szCs w:val="24"/>
          <w:vertAlign w:val="superscript"/>
          <w:lang w:val="en-US"/>
        </w:rPr>
        <w:t>Note: The connectivity between municipalities and public health services regions supports and guides the model</w:t>
      </w:r>
      <w:r w:rsidR="00A22F9B">
        <w:rPr>
          <w:sz w:val="24"/>
          <w:szCs w:val="24"/>
          <w:vertAlign w:val="superscript"/>
          <w:lang w:val="en-US"/>
        </w:rPr>
        <w:t>l</w:t>
      </w:r>
      <w:r w:rsidRPr="006E7C95">
        <w:rPr>
          <w:sz w:val="24"/>
          <w:szCs w:val="24"/>
          <w:vertAlign w:val="superscript"/>
          <w:lang w:val="en-US"/>
        </w:rPr>
        <w:t>ing assumption that areal characteristics are more similar based on proximity rather than distance</w:t>
      </w:r>
      <w:r w:rsidR="00E422DD">
        <w:rPr>
          <w:sz w:val="24"/>
          <w:szCs w:val="24"/>
          <w:vertAlign w:val="superscript"/>
          <w:lang w:val="en-US"/>
        </w:rPr>
        <w:t>. F</w:t>
      </w:r>
      <w:r w:rsidR="00E422DD" w:rsidRPr="00473EAF">
        <w:rPr>
          <w:sz w:val="24"/>
          <w:szCs w:val="24"/>
          <w:vertAlign w:val="superscript"/>
          <w:lang w:val="en-US"/>
        </w:rPr>
        <w:t xml:space="preserve">or names and more details on the municipalities in the Netherlands please see: </w:t>
      </w:r>
      <w:hyperlink r:id="rId5" w:history="1">
        <w:r w:rsidR="00E422DD" w:rsidRPr="00473EAF">
          <w:rPr>
            <w:rStyle w:val="Hyperlink"/>
            <w:sz w:val="24"/>
            <w:szCs w:val="24"/>
            <w:vertAlign w:val="superscript"/>
            <w:lang w:val="en-US"/>
          </w:rPr>
          <w:t>https://www.government.nl/topics/municipalities</w:t>
        </w:r>
      </w:hyperlink>
      <w:r w:rsidR="00E422DD" w:rsidRPr="00473EAF">
        <w:rPr>
          <w:sz w:val="24"/>
          <w:szCs w:val="24"/>
          <w:vertAlign w:val="superscript"/>
          <w:lang w:val="en-US"/>
        </w:rPr>
        <w:t xml:space="preserve">; and </w:t>
      </w:r>
      <w:r w:rsidR="00A22F9B">
        <w:rPr>
          <w:sz w:val="24"/>
          <w:szCs w:val="24"/>
          <w:vertAlign w:val="superscript"/>
          <w:lang w:val="en-US"/>
        </w:rPr>
        <w:t xml:space="preserve">for </w:t>
      </w:r>
      <w:r w:rsidR="00E422DD" w:rsidRPr="00473EAF">
        <w:rPr>
          <w:sz w:val="24"/>
          <w:szCs w:val="24"/>
          <w:vertAlign w:val="superscript"/>
          <w:lang w:val="en-US"/>
        </w:rPr>
        <w:t xml:space="preserve">Public Health Services regions in the Netherlands, please see: </w:t>
      </w:r>
      <w:hyperlink r:id="rId6" w:history="1">
        <w:r w:rsidR="00E422DD" w:rsidRPr="00473EAF">
          <w:rPr>
            <w:rStyle w:val="Hyperlink"/>
            <w:sz w:val="24"/>
            <w:szCs w:val="24"/>
            <w:vertAlign w:val="superscript"/>
            <w:lang w:val="en-US"/>
          </w:rPr>
          <w:t>https://www.ggd.nl/</w:t>
        </w:r>
      </w:hyperlink>
      <w:r w:rsidR="00E422DD" w:rsidRPr="00473EAF">
        <w:rPr>
          <w:rStyle w:val="Hyperlink"/>
          <w:sz w:val="24"/>
          <w:szCs w:val="24"/>
          <w:vertAlign w:val="superscript"/>
          <w:lang w:val="en-US"/>
        </w:rPr>
        <w:t>.</w:t>
      </w:r>
    </w:p>
    <w:p w14:paraId="3539BD00" w14:textId="77777777" w:rsidR="00E422DD" w:rsidRPr="00C62EEC" w:rsidRDefault="00E422DD" w:rsidP="00231DE2">
      <w:pPr>
        <w:rPr>
          <w:b/>
          <w:bCs/>
        </w:rPr>
      </w:pPr>
    </w:p>
    <w:p w14:paraId="561407F8" w14:textId="1E68ECEE" w:rsidR="00231DE2" w:rsidRPr="00592B53" w:rsidRDefault="00231DE2">
      <w:pPr>
        <w:rPr>
          <w:b/>
          <w:bCs/>
          <w:lang w:val="en-US"/>
        </w:rPr>
      </w:pPr>
      <w:r w:rsidRPr="00473EAF">
        <w:rPr>
          <w:b/>
          <w:bCs/>
          <w:noProof/>
          <w:lang w:val="en-US" w:eastAsia="nl-NL"/>
        </w:rPr>
        <w:drawing>
          <wp:inline distT="0" distB="0" distL="0" distR="0" wp14:anchorId="02B7256A" wp14:editId="4722FFA4">
            <wp:extent cx="7954918" cy="4632290"/>
            <wp:effectExtent l="0" t="0" r="0" b="3810"/>
            <wp:docPr id="564112033" name="Picture 564112033" descr="A map of europe with lines and d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map of europe with lines and dots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72540" cy="4642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34196" w14:textId="3AB59A29" w:rsidR="00C922E9" w:rsidRDefault="00C922E9" w:rsidP="00C922E9">
      <w:pPr>
        <w:pStyle w:val="Heading2"/>
      </w:pPr>
      <w:r>
        <w:lastRenderedPageBreak/>
        <w:t>S</w:t>
      </w:r>
      <w:r w:rsidR="008B30F7">
        <w:t>2</w:t>
      </w:r>
      <w:r>
        <w:t xml:space="preserve"> Spatio-temporal distribution of the COVID-19 uptake covered primary partly</w:t>
      </w:r>
      <w:r w:rsidR="00E422DD">
        <w:rPr>
          <w:lang w:val="en-US"/>
        </w:rPr>
        <w:t xml:space="preserve"> (</w:t>
      </w:r>
      <w:r w:rsidR="00E422DD" w:rsidRPr="00E422DD">
        <w:rPr>
          <w:lang w:val="en-US"/>
        </w:rPr>
        <w:t>only one dose administrated</w:t>
      </w:r>
      <w:r w:rsidR="00E422DD">
        <w:rPr>
          <w:lang w:val="en-US"/>
        </w:rPr>
        <w:t>)</w:t>
      </w:r>
      <w:r>
        <w:t xml:space="preserve"> on the municipality level</w:t>
      </w:r>
    </w:p>
    <w:p w14:paraId="17875960" w14:textId="67EDAC9E" w:rsidR="00C922E9" w:rsidRDefault="00C922E9" w:rsidP="00C922E9">
      <w:r>
        <w:rPr>
          <w:noProof/>
        </w:rPr>
        <w:drawing>
          <wp:inline distT="0" distB="0" distL="0" distR="0" wp14:anchorId="65D1C4C4" wp14:editId="63FA172C">
            <wp:extent cx="8477402" cy="5291847"/>
            <wp:effectExtent l="0" t="0" r="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67015" cy="5347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5B6609" w14:textId="2345E1C3" w:rsidR="00C922E9" w:rsidRDefault="00C922E9" w:rsidP="00C922E9">
      <w:pPr>
        <w:pStyle w:val="Heading2"/>
      </w:pPr>
      <w:r>
        <w:lastRenderedPageBreak/>
        <w:t>S</w:t>
      </w:r>
      <w:r w:rsidR="008B30F7">
        <w:t>3</w:t>
      </w:r>
      <w:r>
        <w:t xml:space="preserve"> Spatio-temporal distribution of the COVID-19 uptake </w:t>
      </w:r>
      <w:r w:rsidRPr="00C62EEC">
        <w:t>covered primary partly</w:t>
      </w:r>
      <w:r w:rsidR="00E422DD">
        <w:rPr>
          <w:lang w:val="en-US"/>
        </w:rPr>
        <w:t xml:space="preserve"> (</w:t>
      </w:r>
      <w:r w:rsidR="00E422DD" w:rsidRPr="00E422DD">
        <w:rPr>
          <w:lang w:val="en-US"/>
        </w:rPr>
        <w:t>only one dose administrated</w:t>
      </w:r>
      <w:r w:rsidR="00E422DD">
        <w:rPr>
          <w:lang w:val="en-US"/>
        </w:rPr>
        <w:t>)</w:t>
      </w:r>
      <w:r w:rsidR="00E422DD">
        <w:t xml:space="preserve"> </w:t>
      </w:r>
      <w:r>
        <w:t>on the public health services (GGD) level</w:t>
      </w:r>
    </w:p>
    <w:p w14:paraId="5F369222" w14:textId="13A5DB42" w:rsidR="00C922E9" w:rsidRDefault="00C922E9" w:rsidP="00C922E9">
      <w:r>
        <w:rPr>
          <w:noProof/>
        </w:rPr>
        <w:drawing>
          <wp:inline distT="0" distB="0" distL="0" distR="0" wp14:anchorId="1930F7AE" wp14:editId="0F4B2995">
            <wp:extent cx="8430651" cy="5262664"/>
            <wp:effectExtent l="0" t="0" r="2540" b="0"/>
            <wp:docPr id="3" name="Picture 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text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59679" cy="5280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A8BD5" w14:textId="66646B43" w:rsidR="00C922E9" w:rsidRDefault="00C922E9" w:rsidP="00C922E9">
      <w:pPr>
        <w:pStyle w:val="Heading2"/>
      </w:pPr>
      <w:r>
        <w:lastRenderedPageBreak/>
        <w:t>S</w:t>
      </w:r>
      <w:r w:rsidR="008B30F7">
        <w:t>4</w:t>
      </w:r>
      <w:r>
        <w:t xml:space="preserve"> Spatio-temporal distribution of the COVID-19 uptake covered primary completed </w:t>
      </w:r>
      <w:r w:rsidR="00E422DD" w:rsidRPr="00E422DD">
        <w:t xml:space="preserve">(two doses administrated) </w:t>
      </w:r>
      <w:r>
        <w:t>on the municipality level</w:t>
      </w:r>
    </w:p>
    <w:p w14:paraId="7CE835AD" w14:textId="139692A6" w:rsidR="00C922E9" w:rsidRDefault="00C922E9" w:rsidP="00C922E9">
      <w:r>
        <w:rPr>
          <w:noProof/>
        </w:rPr>
        <w:drawing>
          <wp:inline distT="0" distB="0" distL="0" distR="0" wp14:anchorId="015B72FC" wp14:editId="7B1998B3">
            <wp:extent cx="8443609" cy="5270751"/>
            <wp:effectExtent l="0" t="0" r="190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64540" cy="5283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B9498" w14:textId="7278D431" w:rsidR="00C922E9" w:rsidRDefault="00C922E9" w:rsidP="00C922E9">
      <w:pPr>
        <w:pStyle w:val="Heading2"/>
      </w:pPr>
      <w:r>
        <w:lastRenderedPageBreak/>
        <w:t>S</w:t>
      </w:r>
      <w:r w:rsidR="008B30F7">
        <w:t>5</w:t>
      </w:r>
      <w:r>
        <w:t xml:space="preserve"> Spatio-temporal distribution of the COVID-19 uptake covered primary completed </w:t>
      </w:r>
      <w:r w:rsidR="00E422DD" w:rsidRPr="00E422DD">
        <w:t xml:space="preserve">(two doses administrated) </w:t>
      </w:r>
      <w:r>
        <w:t>on the public health services (GGD) level</w:t>
      </w:r>
    </w:p>
    <w:p w14:paraId="686E3ECD" w14:textId="199C5C51" w:rsidR="00C922E9" w:rsidRPr="00C922E9" w:rsidRDefault="00C922E9" w:rsidP="00C922E9">
      <w:r>
        <w:rPr>
          <w:noProof/>
        </w:rPr>
        <w:drawing>
          <wp:inline distT="0" distB="0" distL="0" distR="0" wp14:anchorId="1E8E5FD4" wp14:editId="6944825C">
            <wp:extent cx="8263975" cy="5155660"/>
            <wp:effectExtent l="0" t="0" r="3810" b="635"/>
            <wp:docPr id="6" name="Picture 6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diagram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72514" cy="5160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8499E3" w14:textId="5DF9A5FA" w:rsidR="00C922E9" w:rsidRDefault="00C922E9" w:rsidP="00C922E9">
      <w:pPr>
        <w:pStyle w:val="Heading2"/>
      </w:pPr>
      <w:r>
        <w:lastRenderedPageBreak/>
        <w:t>S</w:t>
      </w:r>
      <w:r w:rsidR="008B30F7">
        <w:t>6</w:t>
      </w:r>
      <w:r>
        <w:t xml:space="preserve"> Spatio-temporal distribution of the COVID-19 uptake covered </w:t>
      </w:r>
      <w:r w:rsidR="00BF6660">
        <w:t>first booster</w:t>
      </w:r>
      <w:r>
        <w:t xml:space="preserve"> </w:t>
      </w:r>
      <w:r w:rsidR="00E422DD" w:rsidRPr="00E422DD">
        <w:t xml:space="preserve">(one booster dose administrated) </w:t>
      </w:r>
      <w:r>
        <w:t>on the municipality level</w:t>
      </w:r>
    </w:p>
    <w:p w14:paraId="02C5E47F" w14:textId="4AF2B5E7" w:rsidR="00BF6660" w:rsidRDefault="00BF6660" w:rsidP="00C922E9">
      <w:r>
        <w:rPr>
          <w:noProof/>
        </w:rPr>
        <w:drawing>
          <wp:inline distT="0" distB="0" distL="0" distR="0" wp14:anchorId="52FA5093" wp14:editId="679C9DCA">
            <wp:extent cx="8863330" cy="5294630"/>
            <wp:effectExtent l="0" t="0" r="1270" b="1270"/>
            <wp:docPr id="7" name="Picture 7" descr="A picture containing text, different, furni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text, different, furniture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29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981BA" w14:textId="677BC8D0" w:rsidR="00BF6660" w:rsidRDefault="00BF6660" w:rsidP="00BF6660">
      <w:pPr>
        <w:pStyle w:val="Heading2"/>
      </w:pPr>
      <w:r>
        <w:lastRenderedPageBreak/>
        <w:t>S</w:t>
      </w:r>
      <w:r w:rsidR="008B30F7">
        <w:t>7</w:t>
      </w:r>
      <w:r>
        <w:t xml:space="preserve"> Spatio-temporal distribution of the COVID-19 uptake covered first booster </w:t>
      </w:r>
      <w:r w:rsidR="00E422DD" w:rsidRPr="00E422DD">
        <w:t xml:space="preserve">(one booster dose administrated) </w:t>
      </w:r>
      <w:r>
        <w:t>on the public health services (GGD) level</w:t>
      </w:r>
    </w:p>
    <w:p w14:paraId="53A33F8C" w14:textId="59EC402F" w:rsidR="00BF6660" w:rsidRDefault="00BF6660" w:rsidP="00C922E9">
      <w:r>
        <w:rPr>
          <w:noProof/>
        </w:rPr>
        <w:drawing>
          <wp:inline distT="0" distB="0" distL="0" distR="0" wp14:anchorId="6C54D5D2" wp14:editId="38567EA0">
            <wp:extent cx="8346332" cy="5207039"/>
            <wp:effectExtent l="0" t="0" r="0" b="0"/>
            <wp:docPr id="8" name="Picture 8" descr="Calenda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Calendar&#10;&#10;Description automatically generated with medium confidence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46332" cy="5207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67432F" w14:textId="6085AB10" w:rsidR="00BF6660" w:rsidRDefault="00BF6660" w:rsidP="00BF6660">
      <w:pPr>
        <w:pStyle w:val="Heading2"/>
      </w:pPr>
      <w:r>
        <w:lastRenderedPageBreak/>
        <w:t>S</w:t>
      </w:r>
      <w:r w:rsidR="008B30F7">
        <w:t>8</w:t>
      </w:r>
      <w:r>
        <w:t xml:space="preserve"> Spatial distribution of the COVID-19 uptake covered primary partly </w:t>
      </w:r>
      <w:r w:rsidR="00E422DD">
        <w:rPr>
          <w:lang w:val="en-US"/>
        </w:rPr>
        <w:t>(</w:t>
      </w:r>
      <w:r w:rsidR="00E422DD" w:rsidRPr="00E422DD">
        <w:rPr>
          <w:lang w:val="en-US"/>
        </w:rPr>
        <w:t>only one dose administrated</w:t>
      </w:r>
      <w:r w:rsidR="00E422DD">
        <w:rPr>
          <w:lang w:val="en-US"/>
        </w:rPr>
        <w:t>)</w:t>
      </w:r>
      <w:r w:rsidR="00E422DD">
        <w:t xml:space="preserve"> </w:t>
      </w:r>
      <w:r>
        <w:t>on the municipality level over the selected periods</w:t>
      </w:r>
    </w:p>
    <w:p w14:paraId="6288DC8D" w14:textId="74691B35" w:rsidR="00BF6660" w:rsidRDefault="00BF6660" w:rsidP="00BF6660">
      <w:r>
        <w:rPr>
          <w:noProof/>
        </w:rPr>
        <w:drawing>
          <wp:inline distT="0" distB="0" distL="0" distR="0" wp14:anchorId="41FF0159" wp14:editId="4EA5590F">
            <wp:extent cx="8337573" cy="4980562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45867" cy="4985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5BE48" w14:textId="31A1BE14" w:rsidR="00BF6660" w:rsidRDefault="00BF6660" w:rsidP="00BF6660"/>
    <w:p w14:paraId="0E7C25D1" w14:textId="3632408D" w:rsidR="00BF6660" w:rsidRDefault="00BF6660" w:rsidP="00BF6660">
      <w:pPr>
        <w:pStyle w:val="Heading2"/>
      </w:pPr>
      <w:r>
        <w:lastRenderedPageBreak/>
        <w:t>S</w:t>
      </w:r>
      <w:r w:rsidR="008B30F7">
        <w:t>9</w:t>
      </w:r>
      <w:r>
        <w:t xml:space="preserve"> Spatial distribution of the COVID-19 uptake covered primary partly </w:t>
      </w:r>
      <w:r w:rsidR="00E422DD">
        <w:rPr>
          <w:lang w:val="en-US"/>
        </w:rPr>
        <w:t>(</w:t>
      </w:r>
      <w:r w:rsidR="00E422DD" w:rsidRPr="00E422DD">
        <w:rPr>
          <w:lang w:val="en-US"/>
        </w:rPr>
        <w:t>only one dose administrated</w:t>
      </w:r>
      <w:r w:rsidR="00E422DD">
        <w:rPr>
          <w:lang w:val="en-US"/>
        </w:rPr>
        <w:t>)</w:t>
      </w:r>
      <w:r w:rsidR="00E422DD">
        <w:t xml:space="preserve"> </w:t>
      </w:r>
      <w:r>
        <w:t>on the public health services (GGD) level over the selected periods</w:t>
      </w:r>
    </w:p>
    <w:p w14:paraId="5BB48106" w14:textId="3BF4E3EA" w:rsidR="00BF6660" w:rsidRDefault="00BF6660" w:rsidP="00BF6660">
      <w:r>
        <w:rPr>
          <w:noProof/>
        </w:rPr>
        <w:drawing>
          <wp:inline distT="0" distB="0" distL="0" distR="0" wp14:anchorId="3EB4E0ED" wp14:editId="698FD9D9">
            <wp:extent cx="8424153" cy="5032282"/>
            <wp:effectExtent l="0" t="0" r="0" b="0"/>
            <wp:docPr id="10" name="Picture 10" descr="A picture containing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calendar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26941" cy="5033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FEE0DF" w14:textId="2DBE8E1A" w:rsidR="00BF6660" w:rsidRDefault="00BF6660" w:rsidP="00BF6660">
      <w:pPr>
        <w:pStyle w:val="Heading2"/>
      </w:pPr>
      <w:r>
        <w:lastRenderedPageBreak/>
        <w:t>S</w:t>
      </w:r>
      <w:r w:rsidR="008B30F7">
        <w:t>10</w:t>
      </w:r>
      <w:r>
        <w:t xml:space="preserve"> Spatial distribution of the COVID-19 uptake covered primary completed </w:t>
      </w:r>
      <w:r w:rsidR="00E422DD" w:rsidRPr="00E422DD">
        <w:t xml:space="preserve">(two doses administrated) </w:t>
      </w:r>
      <w:r>
        <w:t>on the municipality level over the selected periods</w:t>
      </w:r>
    </w:p>
    <w:p w14:paraId="2505CABA" w14:textId="572CF482" w:rsidR="00BF6660" w:rsidRDefault="00BF6660" w:rsidP="00BF6660">
      <w:r>
        <w:rPr>
          <w:noProof/>
        </w:rPr>
        <w:drawing>
          <wp:inline distT="0" distB="0" distL="0" distR="0" wp14:anchorId="263356E7" wp14:editId="65BEF37C">
            <wp:extent cx="8608979" cy="5142690"/>
            <wp:effectExtent l="0" t="0" r="1905" b="127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13732" cy="5145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92BA0" w14:textId="794FDC6D" w:rsidR="00BF6660" w:rsidRDefault="00BF6660" w:rsidP="00BF6660">
      <w:pPr>
        <w:pStyle w:val="Heading2"/>
      </w:pPr>
      <w:r>
        <w:lastRenderedPageBreak/>
        <w:t>S1</w:t>
      </w:r>
      <w:r w:rsidR="008B30F7">
        <w:t>1</w:t>
      </w:r>
      <w:r>
        <w:t xml:space="preserve"> Spatial distribution of the COVID-19 uptake covered primary completed </w:t>
      </w:r>
      <w:r w:rsidR="00E422DD" w:rsidRPr="00E422DD">
        <w:t xml:space="preserve">(two doses administrated) </w:t>
      </w:r>
      <w:r>
        <w:t>on the public health services (GGD) level over the selected periods</w:t>
      </w:r>
    </w:p>
    <w:p w14:paraId="738688E6" w14:textId="6EEB4070" w:rsidR="00BF6660" w:rsidRDefault="00BF6660" w:rsidP="00BF6660">
      <w:r>
        <w:rPr>
          <w:noProof/>
        </w:rPr>
        <w:drawing>
          <wp:inline distT="0" distB="0" distL="0" distR="0" wp14:anchorId="23252F17" wp14:editId="0EDA7C9D">
            <wp:extent cx="8863330" cy="5294630"/>
            <wp:effectExtent l="0" t="0" r="1270" b="1270"/>
            <wp:docPr id="12" name="Picture 12" descr="A picture containing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calendar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29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B2FFAD" w14:textId="6C15800F" w:rsidR="00BF6660" w:rsidRDefault="00BF6660" w:rsidP="00BF6660">
      <w:pPr>
        <w:pStyle w:val="Heading2"/>
      </w:pPr>
      <w:r>
        <w:lastRenderedPageBreak/>
        <w:t>S1</w:t>
      </w:r>
      <w:r w:rsidR="008B30F7">
        <w:t>2</w:t>
      </w:r>
      <w:r>
        <w:t xml:space="preserve"> Spatial distribution of the COVID-19 uptake covered first booster </w:t>
      </w:r>
      <w:r w:rsidR="00E422DD" w:rsidRPr="00E422DD">
        <w:t xml:space="preserve">(one booster dose administrated) </w:t>
      </w:r>
      <w:r>
        <w:t>on the municipality level over the selected periods</w:t>
      </w:r>
    </w:p>
    <w:p w14:paraId="1F0853E8" w14:textId="28CBE12B" w:rsidR="00BF6660" w:rsidRDefault="00BF6660" w:rsidP="00BF6660">
      <w:r>
        <w:rPr>
          <w:noProof/>
        </w:rPr>
        <w:drawing>
          <wp:inline distT="0" distB="0" distL="0" distR="0" wp14:anchorId="1EE7357C" wp14:editId="3B4D82EC">
            <wp:extent cx="8863330" cy="5294630"/>
            <wp:effectExtent l="0" t="0" r="1270" b="1270"/>
            <wp:docPr id="13" name="Picture 13" descr="A picture containing differ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different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29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140BBC" w14:textId="37BA559F" w:rsidR="00BF6660" w:rsidRDefault="00BF6660" w:rsidP="00BF6660">
      <w:pPr>
        <w:pStyle w:val="Heading2"/>
      </w:pPr>
      <w:r>
        <w:lastRenderedPageBreak/>
        <w:t>S1</w:t>
      </w:r>
      <w:r w:rsidR="008B30F7">
        <w:t>3</w:t>
      </w:r>
      <w:r w:rsidR="0036094C" w:rsidRPr="0036094C">
        <w:rPr>
          <w:sz w:val="24"/>
          <w:szCs w:val="24"/>
        </w:rPr>
        <w:t xml:space="preserve"> </w:t>
      </w:r>
      <w:r w:rsidR="0036094C">
        <w:rPr>
          <w:sz w:val="24"/>
          <w:szCs w:val="24"/>
        </w:rPr>
        <w:t>materials</w:t>
      </w:r>
      <w:r>
        <w:t xml:space="preserve"> Spatial distribution of the COVID-19 uptake covered first booster </w:t>
      </w:r>
      <w:r w:rsidR="00E422DD" w:rsidRPr="00E422DD">
        <w:t xml:space="preserve">(one booster dose administrated) </w:t>
      </w:r>
      <w:r>
        <w:t>on the public health services (GGD) level over the selected periods</w:t>
      </w:r>
    </w:p>
    <w:p w14:paraId="78E4C695" w14:textId="38239CB8" w:rsidR="00BF6660" w:rsidRPr="00BF6660" w:rsidRDefault="00BF6660" w:rsidP="00BF6660">
      <w:r>
        <w:rPr>
          <w:noProof/>
        </w:rPr>
        <w:drawing>
          <wp:inline distT="0" distB="0" distL="0" distR="0" wp14:anchorId="7E563646" wp14:editId="49ABD958">
            <wp:extent cx="8863330" cy="5294630"/>
            <wp:effectExtent l="0" t="0" r="1270" b="1270"/>
            <wp:docPr id="15" name="Picture 15" descr="Chart,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Chart, calendar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29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F6660" w:rsidRPr="00BF6660" w:rsidSect="00A043FB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2"/>
  <w:proofState w:spelling="clean" w:grammar="clean"/>
  <w:defaultTabStop w:val="720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Layout" w:val="&lt;ENLayout&gt;&lt;Style&gt;Vancouver []&lt;/Style&gt;&lt;LeftDelim&gt;{&lt;/LeftDelim&gt;&lt;RightDelim&gt;}&lt;/RightDelim&gt;&lt;FontName&gt;Calibri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vdpv5w2whtt2ryerdwr5a99095xxzsd9tdaz&quot;&gt;ST-A&lt;record-ids&gt;&lt;item&gt;16&lt;/item&gt;&lt;item&gt;17&lt;/item&gt;&lt;item&gt;24&lt;/item&gt;&lt;item&gt;1489&lt;/item&gt;&lt;item&gt;1554&lt;/item&gt;&lt;/record-ids&gt;&lt;/item&gt;&lt;/Libraries&gt;"/>
  </w:docVars>
  <w:rsids>
    <w:rsidRoot w:val="00C922E9"/>
    <w:rsid w:val="00084144"/>
    <w:rsid w:val="00104EEE"/>
    <w:rsid w:val="001514E1"/>
    <w:rsid w:val="001A6E84"/>
    <w:rsid w:val="00231DE2"/>
    <w:rsid w:val="0036094C"/>
    <w:rsid w:val="0037533F"/>
    <w:rsid w:val="00401518"/>
    <w:rsid w:val="0043564C"/>
    <w:rsid w:val="00592B53"/>
    <w:rsid w:val="00697702"/>
    <w:rsid w:val="006E7C95"/>
    <w:rsid w:val="007027B1"/>
    <w:rsid w:val="008A28DA"/>
    <w:rsid w:val="008B30F7"/>
    <w:rsid w:val="008D4632"/>
    <w:rsid w:val="00915979"/>
    <w:rsid w:val="00977591"/>
    <w:rsid w:val="009A005A"/>
    <w:rsid w:val="009F3ADC"/>
    <w:rsid w:val="009F7942"/>
    <w:rsid w:val="00A043FB"/>
    <w:rsid w:val="00A22F9B"/>
    <w:rsid w:val="00B2623D"/>
    <w:rsid w:val="00B928E2"/>
    <w:rsid w:val="00BF6660"/>
    <w:rsid w:val="00C32EF3"/>
    <w:rsid w:val="00C62EEC"/>
    <w:rsid w:val="00C922E9"/>
    <w:rsid w:val="00CA0539"/>
    <w:rsid w:val="00CB79EA"/>
    <w:rsid w:val="00E422DD"/>
    <w:rsid w:val="00E43ADF"/>
    <w:rsid w:val="00E96F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L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,"/>
  <w14:docId w14:val="12BE2334"/>
  <w15:chartTrackingRefBased/>
  <w15:docId w15:val="{AAC17D3B-E9B2-2D41-AF21-B001C379D5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NL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922E9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922E9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922E9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C922E9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styleId="Hyperlink">
    <w:name w:val="Hyperlink"/>
    <w:basedOn w:val="DefaultParagraphFont"/>
    <w:uiPriority w:val="99"/>
    <w:unhideWhenUsed/>
    <w:rsid w:val="00CB79EA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B79EA"/>
    <w:rPr>
      <w:color w:val="605E5C"/>
      <w:shd w:val="clear" w:color="auto" w:fill="E1DFDD"/>
    </w:rPr>
  </w:style>
  <w:style w:type="paragraph" w:customStyle="1" w:styleId="EndNoteBibliographyTitle">
    <w:name w:val="EndNote Bibliography Title"/>
    <w:basedOn w:val="Normal"/>
    <w:link w:val="EndNoteBibliographyTitleChar"/>
    <w:rsid w:val="008A28DA"/>
    <w:pPr>
      <w:jc w:val="center"/>
    </w:pPr>
    <w:rPr>
      <w:rFonts w:ascii="Calibri" w:hAnsi="Calibri" w:cs="Calibri"/>
    </w:rPr>
  </w:style>
  <w:style w:type="character" w:customStyle="1" w:styleId="EndNoteBibliographyTitleChar">
    <w:name w:val="EndNote Bibliography Title Char"/>
    <w:basedOn w:val="Heading1Char"/>
    <w:link w:val="EndNoteBibliographyTitle"/>
    <w:rsid w:val="008A28DA"/>
    <w:rPr>
      <w:rFonts w:ascii="Calibri" w:eastAsiaTheme="majorEastAsia" w:hAnsi="Calibri" w:cs="Calibri"/>
      <w:color w:val="2F5496" w:themeColor="accent1" w:themeShade="BF"/>
      <w:sz w:val="32"/>
      <w:szCs w:val="32"/>
    </w:rPr>
  </w:style>
  <w:style w:type="paragraph" w:customStyle="1" w:styleId="EndNoteBibliography">
    <w:name w:val="EndNote Bibliography"/>
    <w:basedOn w:val="Normal"/>
    <w:link w:val="EndNoteBibliographyChar"/>
    <w:rsid w:val="008A28DA"/>
    <w:rPr>
      <w:rFonts w:ascii="Calibri" w:hAnsi="Calibri" w:cs="Calibri"/>
    </w:rPr>
  </w:style>
  <w:style w:type="character" w:customStyle="1" w:styleId="EndNoteBibliographyChar">
    <w:name w:val="EndNote Bibliography Char"/>
    <w:basedOn w:val="Heading1Char"/>
    <w:link w:val="EndNoteBibliography"/>
    <w:rsid w:val="008A28DA"/>
    <w:rPr>
      <w:rFonts w:ascii="Calibri" w:eastAsiaTheme="majorEastAsia" w:hAnsi="Calibri" w:cs="Calibri"/>
      <w:color w:val="2F5496" w:themeColor="accent1" w:themeShade="BF"/>
      <w:sz w:val="32"/>
      <w:szCs w:val="32"/>
    </w:rPr>
  </w:style>
  <w:style w:type="paragraph" w:styleId="Revision">
    <w:name w:val="Revision"/>
    <w:hidden/>
    <w:uiPriority w:val="99"/>
    <w:semiHidden/>
    <w:rsid w:val="0037533F"/>
  </w:style>
  <w:style w:type="character" w:styleId="CommentReference">
    <w:name w:val="annotation reference"/>
    <w:basedOn w:val="DefaultParagraphFont"/>
    <w:uiPriority w:val="99"/>
    <w:semiHidden/>
    <w:unhideWhenUsed/>
    <w:rsid w:val="0037533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7533F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7533F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7533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7533F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hyperlink" Target="https://www.ggd.nl/" TargetMode="External"/><Relationship Id="rId11" Type="http://schemas.openxmlformats.org/officeDocument/2006/relationships/image" Target="media/image5.png"/><Relationship Id="rId5" Type="http://schemas.openxmlformats.org/officeDocument/2006/relationships/hyperlink" Target="https://www.government.nl/topics/municipalities" TargetMode="Externa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hyperlink" Target="mailto:haoyi.wang@maastrichtuniversity.nl" TargetMode="Externa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17</Pages>
  <Words>2046</Words>
  <Characters>10354</Characters>
  <Application>Microsoft Office Word</Application>
  <DocSecurity>0</DocSecurity>
  <Lines>184</Lines>
  <Paragraphs>38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Wang, Haoyi (PSYCHOLOGY)</dc:creator>
  <cp:keywords/>
  <dc:description/>
  <cp:lastModifiedBy>Wang, Haoyi (PSYCHOLOGY)</cp:lastModifiedBy>
  <cp:revision>5</cp:revision>
  <dcterms:created xsi:type="dcterms:W3CDTF">2024-02-02T16:30:00Z</dcterms:created>
  <dcterms:modified xsi:type="dcterms:W3CDTF">2024-02-02T16:53:00Z</dcterms:modified>
</cp:coreProperties>
</file>