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2CF4" w14:textId="085B7107" w:rsidR="00247369" w:rsidRPr="00DC72D1" w:rsidRDefault="00247369" w:rsidP="00DC72D1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DC72D1">
        <w:rPr>
          <w:rFonts w:ascii="Arial" w:hAnsi="Arial" w:cs="Arial"/>
          <w:b/>
          <w:bCs/>
          <w:sz w:val="20"/>
          <w:szCs w:val="20"/>
        </w:rPr>
        <w:t>Supplementary Figure 1 – Number of cases reported between 2013-2019 by pathogen and travel exposure status with percentages indicating those with an exposure reporting travel</w:t>
      </w:r>
    </w:p>
    <w:p w14:paraId="52CD7936" w14:textId="633AE363" w:rsidR="00247369" w:rsidRPr="00DC72D1" w:rsidRDefault="00DC72D1" w:rsidP="00247369">
      <w:pPr>
        <w:pStyle w:val="BodyText"/>
        <w:rPr>
          <w:highlight w:val="yellow"/>
        </w:rPr>
      </w:pPr>
      <w:r w:rsidRPr="00DC72D1">
        <w:rPr>
          <w:noProof/>
        </w:rPr>
        <w:drawing>
          <wp:inline distT="0" distB="0" distL="0" distR="0" wp14:anchorId="65323F61" wp14:editId="7AB6CFE8">
            <wp:extent cx="5731510" cy="570293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2930E" w14:textId="13804972" w:rsidR="00247369" w:rsidRPr="00DC72D1" w:rsidRDefault="00247369" w:rsidP="00247369">
      <w:pPr>
        <w:pStyle w:val="BodyText"/>
      </w:pPr>
    </w:p>
    <w:p w14:paraId="3B8E4739" w14:textId="289BDFAC" w:rsidR="00247369" w:rsidRPr="00DC72D1" w:rsidRDefault="00247369" w:rsidP="00247369">
      <w:pPr>
        <w:pStyle w:val="BodyText"/>
        <w:rPr>
          <w:rFonts w:ascii="Arial" w:hAnsi="Arial" w:cs="Arial"/>
          <w:sz w:val="20"/>
          <w:szCs w:val="20"/>
        </w:rPr>
      </w:pPr>
      <w:r w:rsidRPr="00DC72D1">
        <w:rPr>
          <w:rFonts w:ascii="Arial" w:hAnsi="Arial" w:cs="Arial"/>
          <w:sz w:val="20"/>
          <w:szCs w:val="20"/>
        </w:rPr>
        <w:t xml:space="preserve">* Percentage indicates those with a response who reported international travel during their incubation period. </w:t>
      </w:r>
    </w:p>
    <w:p w14:paraId="33BA3A50" w14:textId="4B004F14" w:rsidR="0067222A" w:rsidRPr="00DC72D1" w:rsidRDefault="00247369" w:rsidP="0067222A">
      <w:pPr>
        <w:pStyle w:val="BodyText"/>
        <w:rPr>
          <w:rFonts w:ascii="Arial" w:hAnsi="Arial" w:cs="Arial"/>
          <w:b/>
          <w:bCs/>
          <w:sz w:val="20"/>
          <w:szCs w:val="20"/>
          <w:highlight w:val="yellow"/>
        </w:rPr>
      </w:pPr>
      <w:r w:rsidRPr="00DC72D1">
        <w:rPr>
          <w:rFonts w:ascii="Arial" w:hAnsi="Arial" w:cs="Arial"/>
          <w:sz w:val="20"/>
          <w:szCs w:val="20"/>
          <w:highlight w:val="yellow"/>
        </w:rPr>
        <w:br w:type="page"/>
      </w:r>
      <w:r w:rsidR="0067222A" w:rsidRPr="00FE330F">
        <w:rPr>
          <w:rFonts w:ascii="Arial" w:hAnsi="Arial" w:cs="Arial"/>
          <w:b/>
          <w:bCs/>
          <w:sz w:val="20"/>
          <w:szCs w:val="20"/>
        </w:rPr>
        <w:lastRenderedPageBreak/>
        <w:t>Supplementary Figure 2 – Percentage of cases with international travel acquired or UK acquired infections</w:t>
      </w:r>
      <w:r w:rsidR="00FE330F" w:rsidRPr="00FE330F">
        <w:rPr>
          <w:rFonts w:ascii="Arial" w:hAnsi="Arial" w:cs="Arial"/>
          <w:b/>
          <w:bCs/>
          <w:sz w:val="20"/>
          <w:szCs w:val="20"/>
        </w:rPr>
        <w:t>*</w:t>
      </w:r>
      <w:r w:rsidR="0067222A" w:rsidRPr="00FE330F">
        <w:rPr>
          <w:rFonts w:ascii="Arial" w:hAnsi="Arial" w:cs="Arial"/>
          <w:b/>
          <w:bCs/>
          <w:sz w:val="20"/>
          <w:szCs w:val="20"/>
        </w:rPr>
        <w:t xml:space="preserve"> by pathogen and year (2013-2022).</w:t>
      </w:r>
      <w:r w:rsidR="0067222A" w:rsidRPr="00DC72D1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</w:p>
    <w:p w14:paraId="06677EDB" w14:textId="749365FE" w:rsidR="0067222A" w:rsidRPr="00DC72D1" w:rsidRDefault="00FE330F" w:rsidP="0067222A">
      <w:pPr>
        <w:pStyle w:val="BodyText"/>
        <w:rPr>
          <w:rFonts w:ascii="Arial" w:hAnsi="Arial" w:cs="Arial"/>
          <w:sz w:val="20"/>
          <w:szCs w:val="20"/>
          <w:highlight w:val="yellow"/>
        </w:rPr>
      </w:pPr>
      <w:r w:rsidRPr="00FE330F">
        <w:rPr>
          <w:noProof/>
        </w:rPr>
        <w:drawing>
          <wp:inline distT="0" distB="0" distL="0" distR="0" wp14:anchorId="55BCAD52" wp14:editId="724000A0">
            <wp:extent cx="6030817" cy="600075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3405" cy="60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DFEA" w14:textId="3C2B7AC5" w:rsidR="0067222A" w:rsidRDefault="0067222A" w:rsidP="0067222A">
      <w:pPr>
        <w:pStyle w:val="BodyText"/>
        <w:rPr>
          <w:highlight w:val="yellow"/>
        </w:rPr>
      </w:pPr>
    </w:p>
    <w:p w14:paraId="6B11A2DE" w14:textId="1DF0236C" w:rsidR="00FE330F" w:rsidRPr="00FE330F" w:rsidRDefault="00FE330F" w:rsidP="0067222A">
      <w:pPr>
        <w:pStyle w:val="BodyText"/>
        <w:rPr>
          <w:rFonts w:ascii="Arial" w:hAnsi="Arial" w:cs="Arial"/>
          <w:sz w:val="20"/>
          <w:szCs w:val="20"/>
        </w:rPr>
      </w:pPr>
      <w:r w:rsidRPr="00FE330F">
        <w:rPr>
          <w:rFonts w:ascii="Arial" w:hAnsi="Arial" w:cs="Arial"/>
          <w:sz w:val="20"/>
          <w:szCs w:val="20"/>
        </w:rPr>
        <w:t xml:space="preserve">* Excludes those where travel exposure status is not recorded. Hepatitis A, </w:t>
      </w:r>
      <w:r w:rsidRPr="00FE330F">
        <w:rPr>
          <w:rFonts w:ascii="Arial" w:hAnsi="Arial" w:cs="Arial"/>
          <w:i/>
          <w:iCs/>
          <w:sz w:val="20"/>
          <w:szCs w:val="20"/>
        </w:rPr>
        <w:t>Yersinia</w:t>
      </w:r>
      <w:r w:rsidRPr="00FE33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30F">
        <w:rPr>
          <w:rFonts w:ascii="Arial" w:hAnsi="Arial" w:cs="Arial"/>
          <w:sz w:val="20"/>
          <w:szCs w:val="20"/>
        </w:rPr>
        <w:t>spp</w:t>
      </w:r>
      <w:proofErr w:type="spellEnd"/>
      <w:r w:rsidRPr="00FE330F">
        <w:rPr>
          <w:rFonts w:ascii="Arial" w:hAnsi="Arial" w:cs="Arial"/>
          <w:sz w:val="20"/>
          <w:szCs w:val="20"/>
        </w:rPr>
        <w:t xml:space="preserve"> and </w:t>
      </w:r>
      <w:r w:rsidRPr="00FE330F">
        <w:rPr>
          <w:rFonts w:ascii="Arial" w:hAnsi="Arial" w:cs="Arial"/>
          <w:i/>
          <w:iCs/>
          <w:sz w:val="20"/>
          <w:szCs w:val="20"/>
        </w:rPr>
        <w:t>Vibrio</w:t>
      </w:r>
      <w:r w:rsidRPr="00FE33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30F">
        <w:rPr>
          <w:rFonts w:ascii="Arial" w:hAnsi="Arial" w:cs="Arial"/>
          <w:sz w:val="20"/>
          <w:szCs w:val="20"/>
        </w:rPr>
        <w:t>spp</w:t>
      </w:r>
      <w:proofErr w:type="spellEnd"/>
      <w:r w:rsidRPr="00FE330F">
        <w:rPr>
          <w:rFonts w:ascii="Arial" w:hAnsi="Arial" w:cs="Arial"/>
          <w:sz w:val="20"/>
          <w:szCs w:val="20"/>
        </w:rPr>
        <w:t xml:space="preserve"> excluded due to small numbers</w:t>
      </w:r>
    </w:p>
    <w:p w14:paraId="46003D70" w14:textId="23474A61" w:rsidR="00FE330F" w:rsidRPr="00F15BCE" w:rsidRDefault="00F15BCE" w:rsidP="0067222A">
      <w:pPr>
        <w:pStyle w:val="BodyText"/>
        <w:rPr>
          <w:rFonts w:ascii="Arial" w:hAnsi="Arial" w:cs="Arial"/>
          <w:sz w:val="20"/>
          <w:szCs w:val="20"/>
        </w:rPr>
      </w:pPr>
      <w:r w:rsidRPr="00F15BCE">
        <w:rPr>
          <w:rFonts w:ascii="Arial" w:hAnsi="Arial" w:cs="Arial"/>
          <w:sz w:val="20"/>
          <w:szCs w:val="20"/>
        </w:rPr>
        <w:t xml:space="preserve">Chi2 for 2013-2019. Cryptosporidium </w:t>
      </w:r>
      <w:r w:rsidR="00992BB0" w:rsidRPr="00F15BCE">
        <w:rPr>
          <w:rFonts w:ascii="Arial" w:hAnsi="Arial" w:cs="Arial"/>
          <w:sz w:val="20"/>
          <w:szCs w:val="20"/>
        </w:rPr>
        <w:t>p=0.67</w:t>
      </w:r>
      <w:r w:rsidRPr="00F15BCE">
        <w:rPr>
          <w:rFonts w:ascii="Arial" w:hAnsi="Arial" w:cs="Arial"/>
          <w:sz w:val="20"/>
          <w:szCs w:val="20"/>
        </w:rPr>
        <w:t>;</w:t>
      </w:r>
      <w:r w:rsidR="00992BB0" w:rsidRPr="00F15BCE">
        <w:rPr>
          <w:rFonts w:ascii="Arial" w:hAnsi="Arial" w:cs="Arial"/>
          <w:sz w:val="20"/>
          <w:szCs w:val="20"/>
        </w:rPr>
        <w:t xml:space="preserve"> Giardia p=0.69</w:t>
      </w:r>
      <w:r w:rsidRPr="00F15BCE">
        <w:rPr>
          <w:rFonts w:ascii="Arial" w:hAnsi="Arial" w:cs="Arial"/>
          <w:sz w:val="20"/>
          <w:szCs w:val="20"/>
        </w:rPr>
        <w:t>;</w:t>
      </w:r>
      <w:r w:rsidR="00992BB0" w:rsidRPr="00F15B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992BB0" w:rsidRPr="00F15BCE">
        <w:rPr>
          <w:rFonts w:ascii="Arial" w:hAnsi="Arial" w:cs="Arial"/>
          <w:sz w:val="20"/>
          <w:szCs w:val="20"/>
        </w:rPr>
        <w:t>almonella p=0.83</w:t>
      </w:r>
      <w:r w:rsidRPr="00F15BCE">
        <w:rPr>
          <w:rFonts w:ascii="Arial" w:hAnsi="Arial" w:cs="Arial"/>
          <w:sz w:val="20"/>
          <w:szCs w:val="20"/>
        </w:rPr>
        <w:t>;</w:t>
      </w:r>
      <w:r w:rsidR="00992BB0" w:rsidRPr="00F15BCE">
        <w:rPr>
          <w:rFonts w:ascii="Arial" w:hAnsi="Arial" w:cs="Arial"/>
          <w:sz w:val="20"/>
          <w:szCs w:val="20"/>
        </w:rPr>
        <w:t xml:space="preserve"> Shigella p=0.02 and </w:t>
      </w:r>
      <w:r w:rsidRPr="00F15BCE">
        <w:rPr>
          <w:rFonts w:ascii="Arial" w:hAnsi="Arial" w:cs="Arial"/>
          <w:sz w:val="20"/>
          <w:szCs w:val="20"/>
        </w:rPr>
        <w:t>STEC</w:t>
      </w:r>
      <w:r w:rsidR="00992BB0" w:rsidRPr="00F15BCE">
        <w:rPr>
          <w:rFonts w:ascii="Arial" w:hAnsi="Arial" w:cs="Arial"/>
          <w:sz w:val="20"/>
          <w:szCs w:val="20"/>
        </w:rPr>
        <w:t xml:space="preserve"> </w:t>
      </w:r>
      <w:r w:rsidRPr="00F15BCE">
        <w:rPr>
          <w:rFonts w:ascii="Arial" w:hAnsi="Arial" w:cs="Arial"/>
          <w:sz w:val="20"/>
          <w:szCs w:val="20"/>
        </w:rPr>
        <w:t>O</w:t>
      </w:r>
      <w:r w:rsidR="00992BB0" w:rsidRPr="00F15BCE">
        <w:rPr>
          <w:rFonts w:ascii="Arial" w:hAnsi="Arial" w:cs="Arial"/>
          <w:sz w:val="20"/>
          <w:szCs w:val="20"/>
        </w:rPr>
        <w:t>157 p=&lt;0.0</w:t>
      </w:r>
      <w:r>
        <w:rPr>
          <w:rFonts w:ascii="Arial" w:hAnsi="Arial" w:cs="Arial"/>
          <w:sz w:val="20"/>
          <w:szCs w:val="20"/>
        </w:rPr>
        <w:t>01</w:t>
      </w:r>
    </w:p>
    <w:p w14:paraId="009CF20E" w14:textId="1FFEC03B" w:rsidR="00FE330F" w:rsidRDefault="00FE330F" w:rsidP="0067222A">
      <w:pPr>
        <w:pStyle w:val="BodyText"/>
        <w:rPr>
          <w:highlight w:val="yellow"/>
        </w:rPr>
      </w:pPr>
    </w:p>
    <w:p w14:paraId="0B21534E" w14:textId="066CCF1C" w:rsidR="00FE330F" w:rsidRDefault="00FE330F" w:rsidP="0067222A">
      <w:pPr>
        <w:pStyle w:val="BodyText"/>
        <w:rPr>
          <w:highlight w:val="yellow"/>
        </w:rPr>
      </w:pPr>
    </w:p>
    <w:p w14:paraId="22822049" w14:textId="77777777" w:rsidR="00992BB0" w:rsidRDefault="00992BB0" w:rsidP="0067222A">
      <w:pPr>
        <w:pStyle w:val="BodyText"/>
        <w:rPr>
          <w:highlight w:val="yellow"/>
        </w:rPr>
      </w:pPr>
    </w:p>
    <w:p w14:paraId="58A4F2B8" w14:textId="77777777" w:rsidR="00FE330F" w:rsidRPr="00DC72D1" w:rsidRDefault="00FE330F" w:rsidP="0067222A">
      <w:pPr>
        <w:pStyle w:val="BodyText"/>
        <w:rPr>
          <w:highlight w:val="yellow"/>
        </w:rPr>
      </w:pPr>
    </w:p>
    <w:p w14:paraId="12A2B3B7" w14:textId="259C1ABF" w:rsidR="009B5B59" w:rsidRPr="00714096" w:rsidRDefault="009B5B59" w:rsidP="009B5B59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714096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Figure 3 </w:t>
      </w:r>
      <w:r w:rsidR="00714096" w:rsidRPr="00714096">
        <w:rPr>
          <w:rFonts w:ascii="Arial" w:hAnsi="Arial" w:cs="Arial"/>
          <w:b/>
          <w:bCs/>
          <w:sz w:val="20"/>
          <w:szCs w:val="20"/>
        </w:rPr>
        <w:t>–</w:t>
      </w:r>
      <w:r w:rsidRPr="00714096">
        <w:rPr>
          <w:rFonts w:ascii="Arial" w:hAnsi="Arial" w:cs="Arial"/>
          <w:b/>
          <w:bCs/>
          <w:sz w:val="20"/>
          <w:szCs w:val="20"/>
        </w:rPr>
        <w:t xml:space="preserve"> </w:t>
      </w:r>
      <w:r w:rsidR="00714096" w:rsidRPr="00714096">
        <w:rPr>
          <w:rFonts w:ascii="Arial" w:hAnsi="Arial" w:cs="Arial"/>
          <w:b/>
          <w:bCs/>
          <w:sz w:val="20"/>
          <w:szCs w:val="20"/>
        </w:rPr>
        <w:t xml:space="preserve">Proportion of </w:t>
      </w:r>
      <w:proofErr w:type="gramStart"/>
      <w:r w:rsidR="00714096" w:rsidRPr="00714096">
        <w:rPr>
          <w:rFonts w:ascii="Arial" w:hAnsi="Arial" w:cs="Arial"/>
          <w:b/>
          <w:bCs/>
          <w:sz w:val="20"/>
          <w:szCs w:val="20"/>
        </w:rPr>
        <w:t>North East</w:t>
      </w:r>
      <w:proofErr w:type="gramEnd"/>
      <w:r w:rsidR="00714096" w:rsidRPr="00714096">
        <w:rPr>
          <w:rFonts w:ascii="Arial" w:hAnsi="Arial" w:cs="Arial"/>
          <w:b/>
          <w:bCs/>
          <w:sz w:val="20"/>
          <w:szCs w:val="20"/>
        </w:rPr>
        <w:t xml:space="preserve"> cases </w:t>
      </w:r>
      <w:r w:rsidR="00714096" w:rsidRPr="00B00A48">
        <w:rPr>
          <w:rFonts w:ascii="Arial" w:hAnsi="Arial" w:cs="Arial"/>
          <w:b/>
          <w:bCs/>
          <w:sz w:val="20"/>
          <w:szCs w:val="20"/>
        </w:rPr>
        <w:t>diagnosed with gastrointestinal illness</w:t>
      </w:r>
      <w:r w:rsidR="00714096" w:rsidRPr="00714096">
        <w:rPr>
          <w:rFonts w:ascii="Arial" w:hAnsi="Arial" w:cs="Arial"/>
          <w:b/>
          <w:bCs/>
          <w:sz w:val="20"/>
          <w:szCs w:val="20"/>
        </w:rPr>
        <w:t xml:space="preserve"> reported between 2013 and 2019 with known exposures by age group and travel status</w:t>
      </w:r>
    </w:p>
    <w:p w14:paraId="06D537BE" w14:textId="307529FB" w:rsidR="009B5B59" w:rsidRPr="00DC72D1" w:rsidRDefault="00714096" w:rsidP="009B5B59">
      <w:pPr>
        <w:pStyle w:val="BodyText"/>
        <w:rPr>
          <w:highlight w:val="yellow"/>
        </w:rPr>
      </w:pPr>
      <w:r w:rsidRPr="00714096">
        <w:rPr>
          <w:noProof/>
        </w:rPr>
        <w:drawing>
          <wp:inline distT="0" distB="0" distL="0" distR="0" wp14:anchorId="19D848D8" wp14:editId="668B15CB">
            <wp:extent cx="6222696" cy="39338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7842" cy="393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56761" w14:textId="30C1195B" w:rsidR="009B5B59" w:rsidRPr="00DC72D1" w:rsidRDefault="009B5B59">
      <w:pPr>
        <w:rPr>
          <w:highlight w:val="yellow"/>
        </w:rPr>
      </w:pPr>
    </w:p>
    <w:p w14:paraId="7AF68C80" w14:textId="5F78FF89" w:rsidR="009B5B59" w:rsidRPr="00DC72D1" w:rsidRDefault="009B5B59">
      <w:pPr>
        <w:rPr>
          <w:highlight w:val="yellow"/>
        </w:rPr>
      </w:pPr>
    </w:p>
    <w:p w14:paraId="3FF0207B" w14:textId="7A1AF63B" w:rsidR="009B5B59" w:rsidRPr="00DC72D1" w:rsidRDefault="009B5B59">
      <w:pPr>
        <w:rPr>
          <w:highlight w:val="yellow"/>
        </w:rPr>
      </w:pPr>
    </w:p>
    <w:p w14:paraId="776536AF" w14:textId="00EFBE28" w:rsidR="009B5B59" w:rsidRPr="00DC72D1" w:rsidRDefault="009B5B59">
      <w:pPr>
        <w:rPr>
          <w:highlight w:val="yellow"/>
        </w:rPr>
      </w:pPr>
    </w:p>
    <w:p w14:paraId="085EAB46" w14:textId="099450E6" w:rsidR="009B5B59" w:rsidRPr="00DC72D1" w:rsidRDefault="009B5B59">
      <w:pPr>
        <w:rPr>
          <w:highlight w:val="yellow"/>
        </w:rPr>
      </w:pPr>
    </w:p>
    <w:p w14:paraId="6EC83A88" w14:textId="68779C35" w:rsidR="009B5B59" w:rsidRPr="00DC72D1" w:rsidRDefault="009B5B59">
      <w:pPr>
        <w:rPr>
          <w:highlight w:val="yellow"/>
        </w:rPr>
      </w:pPr>
    </w:p>
    <w:p w14:paraId="7B5ACFDA" w14:textId="65E4DFD2" w:rsidR="009B5B59" w:rsidRPr="00DC72D1" w:rsidRDefault="009B5B59">
      <w:pPr>
        <w:rPr>
          <w:highlight w:val="yellow"/>
        </w:rPr>
      </w:pPr>
    </w:p>
    <w:p w14:paraId="186B5E6C" w14:textId="6A12149F" w:rsidR="009B5B59" w:rsidRPr="00DC72D1" w:rsidRDefault="009B5B59">
      <w:pPr>
        <w:rPr>
          <w:highlight w:val="yellow"/>
        </w:rPr>
      </w:pPr>
    </w:p>
    <w:p w14:paraId="52AE0B3A" w14:textId="79F18662" w:rsidR="009B5B59" w:rsidRPr="00DC72D1" w:rsidRDefault="009B5B59">
      <w:pPr>
        <w:rPr>
          <w:highlight w:val="yellow"/>
        </w:rPr>
      </w:pPr>
    </w:p>
    <w:p w14:paraId="41BD6765" w14:textId="1A346908" w:rsidR="009B5B59" w:rsidRPr="00DC72D1" w:rsidRDefault="009B5B59">
      <w:pPr>
        <w:rPr>
          <w:highlight w:val="yellow"/>
        </w:rPr>
      </w:pPr>
    </w:p>
    <w:p w14:paraId="67AE1B7D" w14:textId="1D618479" w:rsidR="009B5B59" w:rsidRPr="00DC72D1" w:rsidRDefault="009B5B59">
      <w:pPr>
        <w:rPr>
          <w:highlight w:val="yellow"/>
        </w:rPr>
      </w:pPr>
    </w:p>
    <w:p w14:paraId="4123C550" w14:textId="1455601D" w:rsidR="009B5B59" w:rsidRPr="00DC72D1" w:rsidRDefault="009B5B59">
      <w:pPr>
        <w:rPr>
          <w:highlight w:val="yellow"/>
        </w:rPr>
      </w:pPr>
    </w:p>
    <w:p w14:paraId="2A54E80B" w14:textId="1656A79E" w:rsidR="009B5B59" w:rsidRPr="00DC72D1" w:rsidRDefault="009B5B59">
      <w:pPr>
        <w:rPr>
          <w:highlight w:val="yellow"/>
        </w:rPr>
      </w:pPr>
    </w:p>
    <w:p w14:paraId="15692607" w14:textId="7DE494E9" w:rsidR="009B5B59" w:rsidRPr="00DC72D1" w:rsidRDefault="009B5B59">
      <w:pPr>
        <w:rPr>
          <w:highlight w:val="yellow"/>
        </w:rPr>
      </w:pPr>
    </w:p>
    <w:p w14:paraId="64EB59A2" w14:textId="6D70C80E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3C3DC5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Table 1 – </w:t>
      </w:r>
      <w:r w:rsidR="005F68F8" w:rsidRPr="003C3DC5">
        <w:rPr>
          <w:rFonts w:ascii="Arial" w:hAnsi="Arial" w:cs="Arial"/>
          <w:b/>
          <w:bCs/>
          <w:sz w:val="20"/>
          <w:szCs w:val="20"/>
        </w:rPr>
        <w:t xml:space="preserve">Direct </w:t>
      </w:r>
      <w:proofErr w:type="spellStart"/>
      <w:r w:rsidR="005F68F8" w:rsidRPr="003C3DC5">
        <w:rPr>
          <w:rFonts w:ascii="Arial" w:hAnsi="Arial" w:cs="Arial"/>
          <w:b/>
          <w:bCs/>
          <w:sz w:val="20"/>
          <w:szCs w:val="20"/>
        </w:rPr>
        <w:t>standardised</w:t>
      </w:r>
      <w:proofErr w:type="spellEnd"/>
      <w:r w:rsidR="005F68F8" w:rsidRPr="003C3DC5">
        <w:rPr>
          <w:rFonts w:ascii="Arial" w:hAnsi="Arial" w:cs="Arial"/>
          <w:b/>
          <w:bCs/>
          <w:sz w:val="20"/>
          <w:szCs w:val="20"/>
        </w:rPr>
        <w:t xml:space="preserve"> r</w:t>
      </w:r>
      <w:r w:rsidRPr="003C3DC5">
        <w:rPr>
          <w:rFonts w:ascii="Arial" w:hAnsi="Arial" w:cs="Arial"/>
          <w:b/>
          <w:bCs/>
          <w:sz w:val="20"/>
          <w:szCs w:val="20"/>
        </w:rPr>
        <w:t>ates</w:t>
      </w:r>
      <w:r w:rsidR="003C3DC5" w:rsidRPr="003C3DC5">
        <w:rPr>
          <w:rFonts w:ascii="Arial" w:hAnsi="Arial" w:cs="Arial"/>
          <w:b/>
          <w:bCs/>
          <w:sz w:val="20"/>
          <w:szCs w:val="20"/>
        </w:rPr>
        <w:t xml:space="preserve"> for age group and </w:t>
      </w:r>
      <w:r w:rsidR="003C3DC5">
        <w:rPr>
          <w:rFonts w:ascii="Arial" w:hAnsi="Arial" w:cs="Arial"/>
          <w:b/>
          <w:bCs/>
          <w:sz w:val="20"/>
          <w:szCs w:val="20"/>
        </w:rPr>
        <w:t>ethnicity group</w:t>
      </w:r>
      <w:r w:rsidRPr="003C3DC5">
        <w:rPr>
          <w:rFonts w:ascii="Arial" w:hAnsi="Arial" w:cs="Arial"/>
          <w:b/>
          <w:bCs/>
          <w:sz w:val="20"/>
          <w:szCs w:val="20"/>
        </w:rPr>
        <w:t xml:space="preserve"> per 100,000 North East residents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DECD97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"/>
        <w:tblpPr w:leftFromText="180" w:rightFromText="180" w:vertAnchor="text" w:tblpX="720" w:tblpY="1"/>
        <w:tblOverlap w:val="never"/>
        <w:tblW w:w="0" w:type="auto"/>
        <w:tblLook w:val="0420" w:firstRow="1" w:lastRow="0" w:firstColumn="0" w:lastColumn="0" w:noHBand="0" w:noVBand="1"/>
      </w:tblPr>
      <w:tblGrid>
        <w:gridCol w:w="2316"/>
        <w:gridCol w:w="94"/>
        <w:gridCol w:w="2835"/>
        <w:gridCol w:w="3433"/>
      </w:tblGrid>
      <w:tr w:rsidR="005F68F8" w:rsidRPr="00BA698F" w14:paraId="44356EA0" w14:textId="65282D79" w:rsidTr="005F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  <w:tblHeader/>
        </w:trPr>
        <w:tc>
          <w:tcPr>
            <w:tcW w:w="2316" w:type="dxa"/>
            <w:tcBorders>
              <w:top w:val="single" w:sz="16" w:space="0" w:color="666666"/>
              <w:left w:val="none" w:sz="0" w:space="0" w:color="000000"/>
              <w:bottom w:val="single" w:sz="1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6F94" w14:textId="77777777" w:rsidR="005F68F8" w:rsidRPr="00162C81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 w:rsidRPr="00162C81">
              <w:rPr>
                <w:rFonts w:ascii="Arial"/>
                <w:b/>
                <w:color w:val="000000"/>
                <w:sz w:val="18"/>
                <w:szCs w:val="18"/>
              </w:rPr>
              <w:t>Number of cases with travel exposure completed</w:t>
            </w:r>
          </w:p>
        </w:tc>
        <w:tc>
          <w:tcPr>
            <w:tcW w:w="2929" w:type="dxa"/>
            <w:gridSpan w:val="2"/>
            <w:tcBorders>
              <w:top w:val="single" w:sz="16" w:space="0" w:color="666666"/>
              <w:left w:val="none" w:sz="0" w:space="0" w:color="000000"/>
              <w:bottom w:val="single" w:sz="1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447" w14:textId="76F30B7D" w:rsidR="005F68F8" w:rsidRPr="00162C81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Arial"/>
                <w:b/>
                <w:color w:val="000000"/>
                <w:sz w:val="18"/>
                <w:szCs w:val="18"/>
              </w:rPr>
              <w:t>Rate of cases with reported travel per 100,000 population (95% CI)</w:t>
            </w:r>
          </w:p>
        </w:tc>
        <w:tc>
          <w:tcPr>
            <w:tcW w:w="3433" w:type="dxa"/>
            <w:tcBorders>
              <w:top w:val="single" w:sz="16" w:space="0" w:color="666666"/>
              <w:left w:val="none" w:sz="0" w:space="0" w:color="000000"/>
              <w:bottom w:val="single" w:sz="1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2486" w14:textId="1BADF2FB" w:rsidR="005F68F8" w:rsidRPr="00162C81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Arial"/>
                <w:b/>
                <w:color w:val="000000"/>
                <w:sz w:val="18"/>
                <w:szCs w:val="18"/>
              </w:rPr>
              <w:t xml:space="preserve">Rate </w:t>
            </w:r>
            <w:r w:rsidR="00E835B0">
              <w:rPr>
                <w:rFonts w:ascii="Arial"/>
                <w:b/>
                <w:color w:val="000000"/>
                <w:sz w:val="18"/>
                <w:szCs w:val="18"/>
              </w:rPr>
              <w:t xml:space="preserve">of </w:t>
            </w:r>
            <w:r w:rsidR="00E835B0" w:rsidRPr="00162C81">
              <w:rPr>
                <w:rFonts w:ascii="Arial"/>
                <w:b/>
                <w:color w:val="000000"/>
                <w:sz w:val="18"/>
                <w:szCs w:val="18"/>
              </w:rPr>
              <w:t>UK</w:t>
            </w:r>
            <w:r w:rsidRPr="00162C81">
              <w:rPr>
                <w:rFonts w:ascii="Arial"/>
                <w:b/>
                <w:color w:val="000000"/>
                <w:sz w:val="18"/>
                <w:szCs w:val="18"/>
              </w:rPr>
              <w:t xml:space="preserve"> acquired </w:t>
            </w:r>
            <w:r>
              <w:rPr>
                <w:rFonts w:ascii="Arial"/>
                <w:b/>
                <w:color w:val="000000"/>
                <w:sz w:val="18"/>
                <w:szCs w:val="18"/>
              </w:rPr>
              <w:t>cases</w:t>
            </w:r>
            <w:r w:rsidRPr="00162C81">
              <w:rPr>
                <w:rFonts w:ascii="Arial"/>
                <w:b/>
                <w:color w:val="000000"/>
                <w:sz w:val="18"/>
                <w:szCs w:val="18"/>
              </w:rPr>
              <w:t xml:space="preserve">, with travel exposure completed </w:t>
            </w:r>
            <w:r>
              <w:rPr>
                <w:rFonts w:ascii="Arial"/>
                <w:b/>
                <w:color w:val="000000"/>
                <w:sz w:val="18"/>
                <w:szCs w:val="18"/>
              </w:rPr>
              <w:t>per 100,000 population (95% CI)</w:t>
            </w:r>
          </w:p>
        </w:tc>
      </w:tr>
      <w:tr w:rsidR="005F68F8" w:rsidRPr="00E835B0" w14:paraId="415D3080" w14:textId="3B7239BE" w:rsidTr="003C3DC5">
        <w:trPr>
          <w:trHeight w:val="329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none" w:sz="0" w:space="0" w:color="000000"/>
              <w:bottom w:val="none" w:sz="0" w:space="0" w:color="000000"/>
              <w:right w:val="single" w:sz="4" w:space="0" w:color="BFBFBF" w:themeColor="background1" w:themeShade="BF"/>
            </w:tcBorders>
            <w:shd w:val="clear" w:color="auto" w:fill="FFFFFF"/>
          </w:tcPr>
          <w:p w14:paraId="7F5EB5F5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0 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>–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 9 years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6DDD" w14:textId="62D54ED7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18.8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14.2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24.5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top w:val="single" w:sz="4" w:space="0" w:color="BFBFBF" w:themeColor="background1" w:themeShade="BF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ACD9" w14:textId="420BFE14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49.2 (41.5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57.9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F68F8" w:rsidRPr="00E835B0" w14:paraId="621F0C28" w14:textId="21AACBC6" w:rsidTr="003C3DC5">
        <w:trPr>
          <w:trHeight w:val="344"/>
        </w:trPr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BFBFBF" w:themeColor="background1" w:themeShade="BF"/>
            </w:tcBorders>
            <w:shd w:val="clear" w:color="auto" w:fill="FFFFFF"/>
          </w:tcPr>
          <w:p w14:paraId="27114190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10 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>–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 19 years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BFBFBF" w:themeColor="background1" w:themeShade="BF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EF34" w14:textId="11219EB9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>9.99 (6.75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14.3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7913" w14:textId="76D227B7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>13.0 (9.26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 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17.8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F68F8" w:rsidRPr="00E835B0" w14:paraId="749C96DD" w14:textId="3F4E508F" w:rsidTr="003C3DC5">
        <w:trPr>
          <w:trHeight w:val="329"/>
        </w:trPr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BFBFBF" w:themeColor="background1" w:themeShade="BF"/>
            </w:tcBorders>
            <w:shd w:val="clear" w:color="auto" w:fill="FFFFFF"/>
          </w:tcPr>
          <w:p w14:paraId="2A145198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20 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>–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 29 years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BFBFBF" w:themeColor="background1" w:themeShade="BF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AE9" w14:textId="07F70334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>16.</w:t>
            </w:r>
            <w:r>
              <w:rPr>
                <w:rFonts w:ascii="Arial"/>
                <w:color w:val="000000"/>
                <w:sz w:val="16"/>
                <w:szCs w:val="16"/>
              </w:rPr>
              <w:t>1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(12.2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20.9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6C8E" w14:textId="51B59B2F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>21.3 (16.8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26.7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F68F8" w:rsidRPr="00E835B0" w14:paraId="10C71F64" w14:textId="40378EC4" w:rsidTr="003C3DC5">
        <w:trPr>
          <w:trHeight w:val="479"/>
        </w:trPr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BFBFBF" w:themeColor="background1" w:themeShade="BF"/>
            </w:tcBorders>
            <w:shd w:val="clear" w:color="auto" w:fill="FFFFFF"/>
          </w:tcPr>
          <w:p w14:paraId="65384DD9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30 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>–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 39 years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BFBFBF" w:themeColor="background1" w:themeShade="BF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6562" w14:textId="21A60352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>16.8 (12.7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21.8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3B7E" w14:textId="1DF4AC1B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25.4 (20.3 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- 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31.4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F68F8" w:rsidRPr="00E835B0" w14:paraId="2C22EAA4" w14:textId="1E5E3589" w:rsidTr="003C3DC5">
        <w:trPr>
          <w:trHeight w:val="329"/>
        </w:trPr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BFBFBF" w:themeColor="background1" w:themeShade="BF"/>
            </w:tcBorders>
            <w:shd w:val="clear" w:color="auto" w:fill="FFFFFF"/>
          </w:tcPr>
          <w:p w14:paraId="602C51F8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40 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>–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 49 years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BFBFBF" w:themeColor="background1" w:themeShade="BF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9367" w14:textId="26FE0367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14.4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10.5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19.3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9702" w14:textId="255E5F95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19.5 (14.9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25.0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F68F8" w:rsidRPr="00E835B0" w14:paraId="5F04C3B9" w14:textId="55148DC8" w:rsidTr="003C3DC5">
        <w:trPr>
          <w:trHeight w:val="479"/>
        </w:trPr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right w:val="single" w:sz="4" w:space="0" w:color="BFBFBF" w:themeColor="background1" w:themeShade="BF"/>
            </w:tcBorders>
            <w:shd w:val="clear" w:color="auto" w:fill="FFFFFF"/>
          </w:tcPr>
          <w:p w14:paraId="0768CC11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50 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>–</w:t>
            </w:r>
            <w:r w:rsidRPr="00243A04">
              <w:rPr>
                <w:rFonts w:ascii="Arial"/>
                <w:color w:val="000000"/>
                <w:sz w:val="16"/>
                <w:szCs w:val="16"/>
              </w:rPr>
              <w:t xml:space="preserve"> 59 years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68B0" w14:textId="01AE76A6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12.2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8.90 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- 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16.3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3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10D7" w14:textId="49177E8A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15.1 (11.4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19.6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F68F8" w:rsidRPr="00E835B0" w14:paraId="36F5DAC1" w14:textId="030FC20D" w:rsidTr="003C3DC5">
        <w:trPr>
          <w:trHeight w:val="344"/>
        </w:trPr>
        <w:tc>
          <w:tcPr>
            <w:tcW w:w="2410" w:type="dxa"/>
            <w:gridSpan w:val="2"/>
            <w:tcBorders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/>
          </w:tcPr>
          <w:p w14:paraId="1DD2F7AF" w14:textId="77777777" w:rsidR="005F68F8" w:rsidRPr="00243A04" w:rsidRDefault="005F68F8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243A04">
              <w:rPr>
                <w:rFonts w:ascii="Arial"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BA2F" w14:textId="334EC7C2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6.07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4.39 -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8.17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33" w:type="dxa"/>
            <w:tcBorders>
              <w:left w:val="none" w:sz="0" w:space="0" w:color="000000"/>
              <w:bottom w:val="single" w:sz="4" w:space="0" w:color="808080" w:themeColor="background1" w:themeShade="8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6D19" w14:textId="650A6B89" w:rsidR="005F68F8" w:rsidRPr="00E835B0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E835B0">
              <w:rPr>
                <w:rFonts w:ascii="Arial"/>
                <w:color w:val="000000"/>
                <w:sz w:val="16"/>
                <w:szCs w:val="16"/>
              </w:rPr>
              <w:t>11.8 (9.44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 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>14.7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E835B0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835B0" w:rsidRPr="00E835B0" w14:paraId="13B01A3D" w14:textId="77777777" w:rsidTr="003C3DC5">
        <w:trPr>
          <w:trHeight w:val="344"/>
        </w:trPr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/>
          </w:tcPr>
          <w:p w14:paraId="0F7420C5" w14:textId="5DF64146" w:rsidR="00E835B0" w:rsidRPr="00243A04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>
              <w:rPr>
                <w:rFonts w:ascii="Arial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F151" w14:textId="24098055" w:rsidR="00E835B0" w:rsidRPr="00E835B0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>153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126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 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184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top w:val="single" w:sz="4" w:space="0" w:color="808080" w:themeColor="background1" w:themeShade="80"/>
              <w:lef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A2C3" w14:textId="7B4B5F16" w:rsidR="00E835B0" w:rsidRPr="00E835B0" w:rsidRDefault="003C3DC5" w:rsidP="003C3DC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76.4 (57.9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99.0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</w:tr>
      <w:tr w:rsidR="00E835B0" w:rsidRPr="00E835B0" w14:paraId="33EEA9D9" w14:textId="77777777" w:rsidTr="003C3DC5">
        <w:trPr>
          <w:trHeight w:val="344"/>
        </w:trPr>
        <w:tc>
          <w:tcPr>
            <w:tcW w:w="24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FFFFF"/>
          </w:tcPr>
          <w:p w14:paraId="4A7CCF63" w14:textId="472EEDC3" w:rsidR="00E835B0" w:rsidRPr="00243A04" w:rsidRDefault="00E835B0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>
              <w:rPr>
                <w:rFonts w:ascii="Arial"/>
                <w:color w:val="000000"/>
                <w:sz w:val="16"/>
                <w:szCs w:val="16"/>
              </w:rPr>
              <w:t xml:space="preserve">Black 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D9BD" w14:textId="76450984" w:rsidR="00E835B0" w:rsidRPr="00E835B0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75.6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36.2 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- 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139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33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FA29" w14:textId="2581FEC5" w:rsidR="00E835B0" w:rsidRPr="00E835B0" w:rsidRDefault="003C3DC5" w:rsidP="003C3DC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>
              <w:rPr>
                <w:rFonts w:ascii="Arial"/>
                <w:color w:val="000000"/>
                <w:sz w:val="16"/>
                <w:szCs w:val="16"/>
              </w:rPr>
              <w:t xml:space="preserve">                                 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98.3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52.3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- 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168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</w:tr>
      <w:tr w:rsidR="00E835B0" w:rsidRPr="00E835B0" w14:paraId="1C29BDBD" w14:textId="77777777" w:rsidTr="003C3DC5">
        <w:trPr>
          <w:trHeight w:val="344"/>
        </w:trPr>
        <w:tc>
          <w:tcPr>
            <w:tcW w:w="24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FFFFF"/>
          </w:tcPr>
          <w:p w14:paraId="41B3BBAC" w14:textId="147CF4D7" w:rsidR="00E835B0" w:rsidRPr="00243A04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>
              <w:rPr>
                <w:rFonts w:ascii="Arial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9E9C" w14:textId="4AC18BB0" w:rsidR="00E835B0" w:rsidRPr="00E835B0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80.2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47.5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127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A72" w14:textId="2EDE533A" w:rsidR="00E835B0" w:rsidRPr="00E835B0" w:rsidRDefault="003C3DC5" w:rsidP="003C3DC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>107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 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68.5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159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</w:tr>
      <w:tr w:rsidR="00E835B0" w:rsidRPr="00E835B0" w14:paraId="76FEC576" w14:textId="77777777" w:rsidTr="003C3DC5">
        <w:trPr>
          <w:trHeight w:val="344"/>
        </w:trPr>
        <w:tc>
          <w:tcPr>
            <w:tcW w:w="24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FFFFF"/>
          </w:tcPr>
          <w:p w14:paraId="5168934B" w14:textId="55219BC7" w:rsidR="00E835B0" w:rsidRPr="00243A04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>
              <w:rPr>
                <w:rFonts w:ascii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86C7" w14:textId="74313686" w:rsidR="00E835B0" w:rsidRPr="00E835B0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>12</w:t>
            </w:r>
            <w:r>
              <w:rPr>
                <w:rFonts w:ascii="Arial"/>
                <w:color w:val="000000"/>
                <w:sz w:val="16"/>
                <w:szCs w:val="16"/>
              </w:rPr>
              <w:t>7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69.2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213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3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54A9" w14:textId="7CDFDCA8" w:rsidR="00E835B0" w:rsidRPr="00E835B0" w:rsidRDefault="003C3DC5" w:rsidP="003C3DC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145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82.7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235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835B0" w:rsidRPr="00E835B0" w14:paraId="36BA9AF4" w14:textId="77777777" w:rsidTr="003C3DC5">
        <w:trPr>
          <w:trHeight w:val="344"/>
        </w:trPr>
        <w:tc>
          <w:tcPr>
            <w:tcW w:w="2410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14:paraId="793A5B4D" w14:textId="33FD87D8" w:rsidR="00E835B0" w:rsidRPr="00243A04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>
              <w:rPr>
                <w:rFonts w:ascii="Arial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9893" w14:textId="4BE361FC" w:rsidR="00E835B0" w:rsidRPr="00E835B0" w:rsidRDefault="003C3DC5" w:rsidP="005F68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59.1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56.1 </w:t>
            </w:r>
            <w:r>
              <w:rPr>
                <w:rFonts w:ascii="Arial"/>
                <w:color w:val="000000"/>
                <w:sz w:val="16"/>
                <w:szCs w:val="16"/>
              </w:rPr>
              <w:t xml:space="preserve">- 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>62.2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33" w:type="dxa"/>
            <w:tcBorders>
              <w:left w:val="none" w:sz="0" w:space="0" w:color="000000"/>
              <w:bottom w:val="single" w:sz="4" w:space="0" w:color="BFBFBF" w:themeColor="background1" w:themeShade="BF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2621" w14:textId="15B85CA8" w:rsidR="00E835B0" w:rsidRPr="00E835B0" w:rsidRDefault="003C3DC5" w:rsidP="003C3DC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180" w:lineRule="auto"/>
              <w:ind w:left="100" w:right="100"/>
              <w:jc w:val="right"/>
              <w:rPr>
                <w:rFonts w:ascii="Arial"/>
                <w:color w:val="000000"/>
                <w:sz w:val="16"/>
                <w:szCs w:val="16"/>
              </w:rPr>
            </w:pP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92.5 </w:t>
            </w:r>
            <w:r>
              <w:rPr>
                <w:rFonts w:ascii="Arial"/>
                <w:color w:val="000000"/>
                <w:sz w:val="16"/>
                <w:szCs w:val="16"/>
              </w:rPr>
              <w:t>(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88.8 </w:t>
            </w:r>
            <w:r>
              <w:rPr>
                <w:rFonts w:ascii="Arial"/>
                <w:color w:val="000000"/>
                <w:sz w:val="16"/>
                <w:szCs w:val="16"/>
              </w:rPr>
              <w:t>-</w:t>
            </w:r>
            <w:r w:rsidRPr="003C3DC5">
              <w:rPr>
                <w:rFonts w:ascii="Arial"/>
                <w:color w:val="000000"/>
                <w:sz w:val="16"/>
                <w:szCs w:val="16"/>
              </w:rPr>
              <w:t xml:space="preserve"> 96.4</w:t>
            </w:r>
            <w:r>
              <w:rPr>
                <w:rFonts w:ascii="Arial"/>
                <w:color w:val="000000"/>
                <w:sz w:val="16"/>
                <w:szCs w:val="16"/>
              </w:rPr>
              <w:t>)</w:t>
            </w:r>
          </w:p>
        </w:tc>
      </w:tr>
    </w:tbl>
    <w:p w14:paraId="4046CDAC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6452B101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3E4D8B38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5056DD6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CBB86BC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4C99E248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35CF4AC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2BF044F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7445284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ADBE453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F926677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62122C5D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DDDACA2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6E820F0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BC75F20" w14:textId="77777777" w:rsidR="00BD59CD" w:rsidRPr="00BD59CD" w:rsidRDefault="00BD59CD" w:rsidP="00830F53">
      <w:pPr>
        <w:pStyle w:val="BodyText"/>
        <w:rPr>
          <w:rFonts w:ascii="Arial" w:hAnsi="Arial" w:cs="Arial"/>
          <w:sz w:val="20"/>
          <w:szCs w:val="20"/>
        </w:rPr>
      </w:pPr>
    </w:p>
    <w:p w14:paraId="4B3873B8" w14:textId="6246B282" w:rsidR="005F68F8" w:rsidRPr="00BD59CD" w:rsidRDefault="00DE3FB3" w:rsidP="00830F53">
      <w:pPr>
        <w:pStyle w:val="BodyText"/>
        <w:rPr>
          <w:rFonts w:ascii="Arial" w:hAnsi="Arial" w:cs="Arial"/>
          <w:sz w:val="20"/>
          <w:szCs w:val="20"/>
        </w:rPr>
      </w:pPr>
      <w:r w:rsidRPr="00BD59CD">
        <w:rPr>
          <w:rFonts w:ascii="Arial" w:hAnsi="Arial" w:cs="Arial"/>
          <w:sz w:val="20"/>
          <w:szCs w:val="20"/>
        </w:rPr>
        <w:t xml:space="preserve">Data completeness for age: </w:t>
      </w:r>
      <w:r w:rsidR="00BD59CD" w:rsidRPr="00BD59CD">
        <w:rPr>
          <w:rFonts w:ascii="Arial" w:hAnsi="Arial" w:cs="Arial"/>
          <w:sz w:val="20"/>
          <w:szCs w:val="20"/>
        </w:rPr>
        <w:t>100%. Data completeness for ethnicity: 55% for UK acquired cases and 60.9% for travel associated cases</w:t>
      </w:r>
      <w:r w:rsidR="00BD59CD">
        <w:rPr>
          <w:rFonts w:ascii="Arial" w:hAnsi="Arial" w:cs="Arial"/>
          <w:sz w:val="20"/>
          <w:szCs w:val="20"/>
        </w:rPr>
        <w:t xml:space="preserve">. 1,966 unknown </w:t>
      </w:r>
      <w:proofErr w:type="gramStart"/>
      <w:r w:rsidR="00BD59CD">
        <w:rPr>
          <w:rFonts w:ascii="Arial" w:hAnsi="Arial" w:cs="Arial"/>
          <w:sz w:val="20"/>
          <w:szCs w:val="20"/>
        </w:rPr>
        <w:t>ethnicity</w:t>
      </w:r>
      <w:proofErr w:type="gramEnd"/>
      <w:r w:rsidR="00BD59CD">
        <w:rPr>
          <w:rFonts w:ascii="Arial" w:hAnsi="Arial" w:cs="Arial"/>
          <w:sz w:val="20"/>
          <w:szCs w:val="20"/>
        </w:rPr>
        <w:t xml:space="preserve"> in UK acquired and 1,041 unknown ethnicity in travel associated. </w:t>
      </w:r>
      <w:r w:rsidR="00BD59CD" w:rsidRPr="00BD59CD">
        <w:rPr>
          <w:rFonts w:ascii="Arial" w:hAnsi="Arial" w:cs="Arial"/>
          <w:sz w:val="20"/>
          <w:szCs w:val="20"/>
        </w:rPr>
        <w:t xml:space="preserve"> </w:t>
      </w:r>
    </w:p>
    <w:p w14:paraId="2884F703" w14:textId="1004F55A" w:rsidR="003C3DC5" w:rsidRDefault="003C3DC5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9452735" w14:textId="5CFDE7DB" w:rsidR="003C3DC5" w:rsidRDefault="003C3DC5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3B4A0F7" w14:textId="138FE67F" w:rsidR="003C3DC5" w:rsidRDefault="003C3DC5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28A438C" w14:textId="5D4E082E" w:rsidR="003C3DC5" w:rsidRDefault="003C3DC5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59CC101" w14:textId="39A4F33E" w:rsidR="003C3DC5" w:rsidRDefault="003C3DC5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8146DFD" w14:textId="77777777" w:rsidR="003C3DC5" w:rsidRDefault="003C3DC5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2510FAA" w14:textId="7AD29A16" w:rsidR="005F68F8" w:rsidRDefault="005F68F8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283CFA9" w14:textId="77777777" w:rsidR="005F68F8" w:rsidRDefault="005F68F8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549D43C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D9A9D08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092E181" w14:textId="71994B13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0E20D51" w14:textId="1B25A82E" w:rsidR="00E835B0" w:rsidRDefault="00E835B0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EB1B8B1" w14:textId="77777777" w:rsidR="00E835B0" w:rsidRDefault="00E835B0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397169C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1954AF4" w14:textId="77777777" w:rsidR="00905162" w:rsidRDefault="00905162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43F349A5" w14:textId="064B4B52" w:rsidR="00830F53" w:rsidRPr="00B00A48" w:rsidRDefault="00830F53" w:rsidP="00830F53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B00A48">
        <w:rPr>
          <w:rFonts w:ascii="Arial" w:hAnsi="Arial" w:cs="Arial"/>
          <w:b/>
          <w:bCs/>
          <w:sz w:val="20"/>
          <w:szCs w:val="20"/>
        </w:rPr>
        <w:t xml:space="preserve">Supplementary Figure 4 </w:t>
      </w:r>
      <w:r w:rsidR="00B00A48" w:rsidRPr="00B00A48">
        <w:rPr>
          <w:rFonts w:ascii="Arial" w:hAnsi="Arial" w:cs="Arial"/>
          <w:b/>
          <w:bCs/>
          <w:sz w:val="20"/>
          <w:szCs w:val="20"/>
        </w:rPr>
        <w:t xml:space="preserve">– </w:t>
      </w:r>
      <w:proofErr w:type="gramStart"/>
      <w:r w:rsidR="00714096" w:rsidRPr="00714096">
        <w:rPr>
          <w:rFonts w:ascii="Arial" w:hAnsi="Arial" w:cs="Arial"/>
          <w:b/>
          <w:bCs/>
          <w:sz w:val="20"/>
          <w:szCs w:val="20"/>
        </w:rPr>
        <w:t>North East</w:t>
      </w:r>
      <w:proofErr w:type="gramEnd"/>
      <w:r w:rsidR="00714096" w:rsidRPr="00714096">
        <w:rPr>
          <w:rFonts w:ascii="Arial" w:hAnsi="Arial" w:cs="Arial"/>
          <w:b/>
          <w:bCs/>
          <w:sz w:val="20"/>
          <w:szCs w:val="20"/>
        </w:rPr>
        <w:t xml:space="preserve"> cases </w:t>
      </w:r>
      <w:r w:rsidR="00714096" w:rsidRPr="00B00A48">
        <w:rPr>
          <w:rFonts w:ascii="Arial" w:hAnsi="Arial" w:cs="Arial"/>
          <w:b/>
          <w:bCs/>
          <w:sz w:val="20"/>
          <w:szCs w:val="20"/>
        </w:rPr>
        <w:t>diagnosed with gastrointestinal illness</w:t>
      </w:r>
      <w:r w:rsidR="00714096" w:rsidRPr="00714096">
        <w:rPr>
          <w:rFonts w:ascii="Arial" w:hAnsi="Arial" w:cs="Arial"/>
          <w:b/>
          <w:bCs/>
          <w:sz w:val="20"/>
          <w:szCs w:val="20"/>
        </w:rPr>
        <w:t xml:space="preserve"> reported between 2013 and 2019 with</w:t>
      </w:r>
      <w:r w:rsidR="00714096">
        <w:rPr>
          <w:rFonts w:ascii="Arial" w:hAnsi="Arial" w:cs="Arial"/>
          <w:b/>
          <w:bCs/>
          <w:sz w:val="20"/>
          <w:szCs w:val="20"/>
        </w:rPr>
        <w:t xml:space="preserve"> travel exposures </w:t>
      </w:r>
      <w:r w:rsidR="00B00A48" w:rsidRPr="00B00A48">
        <w:rPr>
          <w:rFonts w:ascii="Arial" w:hAnsi="Arial" w:cs="Arial"/>
          <w:b/>
          <w:bCs/>
          <w:sz w:val="20"/>
          <w:szCs w:val="20"/>
        </w:rPr>
        <w:t>by month of report and geographical area of travel</w:t>
      </w:r>
    </w:p>
    <w:p w14:paraId="3BE8723A" w14:textId="675D067F" w:rsidR="00487F78" w:rsidRPr="00DC72D1" w:rsidRDefault="00487F78">
      <w:pPr>
        <w:rPr>
          <w:highlight w:val="yellow"/>
        </w:rPr>
      </w:pPr>
      <w:r w:rsidRPr="00714096">
        <w:rPr>
          <w:noProof/>
        </w:rPr>
        <w:drawing>
          <wp:inline distT="0" distB="0" distL="0" distR="0" wp14:anchorId="663985E1" wp14:editId="4E741E1B">
            <wp:extent cx="6213346" cy="5438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9642"/>
                    <a:stretch/>
                  </pic:blipFill>
                  <pic:spPr bwMode="auto">
                    <a:xfrm>
                      <a:off x="0" y="0"/>
                      <a:ext cx="6231796" cy="545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D6BB2" w14:textId="04897671" w:rsidR="00487F78" w:rsidRPr="00DC72D1" w:rsidRDefault="00487F78">
      <w:pPr>
        <w:rPr>
          <w:highlight w:val="yellow"/>
        </w:rPr>
      </w:pPr>
    </w:p>
    <w:p w14:paraId="28917A4F" w14:textId="700DF772" w:rsidR="00487F78" w:rsidRPr="00DC72D1" w:rsidRDefault="00487F78">
      <w:pPr>
        <w:rPr>
          <w:highlight w:val="yellow"/>
        </w:rPr>
      </w:pPr>
    </w:p>
    <w:p w14:paraId="62DACCF1" w14:textId="3394C04F" w:rsidR="00487F78" w:rsidRPr="00DC72D1" w:rsidRDefault="00487F78">
      <w:pPr>
        <w:rPr>
          <w:highlight w:val="yellow"/>
        </w:rPr>
      </w:pPr>
    </w:p>
    <w:p w14:paraId="6CA25B68" w14:textId="29C25020" w:rsidR="00487F78" w:rsidRPr="00DC72D1" w:rsidRDefault="00487F78">
      <w:pPr>
        <w:rPr>
          <w:highlight w:val="yellow"/>
        </w:rPr>
      </w:pPr>
    </w:p>
    <w:p w14:paraId="1E889E3D" w14:textId="7A2B4FFD" w:rsidR="00487F78" w:rsidRPr="00DC72D1" w:rsidRDefault="00487F78">
      <w:pPr>
        <w:rPr>
          <w:highlight w:val="yellow"/>
        </w:rPr>
      </w:pPr>
    </w:p>
    <w:p w14:paraId="6AA8A833" w14:textId="6349A024" w:rsidR="00487F78" w:rsidRPr="00DC72D1" w:rsidRDefault="00487F78">
      <w:pPr>
        <w:rPr>
          <w:highlight w:val="yellow"/>
        </w:rPr>
      </w:pPr>
    </w:p>
    <w:p w14:paraId="1A916956" w14:textId="57B3C44E" w:rsidR="00487F78" w:rsidRPr="00DC72D1" w:rsidRDefault="00487F78">
      <w:pPr>
        <w:rPr>
          <w:highlight w:val="yellow"/>
        </w:rPr>
      </w:pPr>
    </w:p>
    <w:p w14:paraId="267EBDA7" w14:textId="77777777" w:rsidR="00487F78" w:rsidRPr="00DC72D1" w:rsidRDefault="00487F78">
      <w:pPr>
        <w:rPr>
          <w:highlight w:val="yellow"/>
        </w:rPr>
      </w:pPr>
    </w:p>
    <w:p w14:paraId="49855268" w14:textId="77777777" w:rsidR="00487F78" w:rsidRPr="00DC72D1" w:rsidRDefault="00487F78">
      <w:pPr>
        <w:rPr>
          <w:highlight w:val="yellow"/>
        </w:rPr>
      </w:pPr>
    </w:p>
    <w:p w14:paraId="626531F8" w14:textId="77777777" w:rsidR="00487F78" w:rsidRPr="00714096" w:rsidRDefault="00487F78" w:rsidP="00487F78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19FDC76F" w14:textId="62C26E6D" w:rsidR="009B5B59" w:rsidRPr="00714096" w:rsidRDefault="009B5B59" w:rsidP="00487F78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714096">
        <w:rPr>
          <w:rFonts w:ascii="Arial" w:hAnsi="Arial" w:cs="Arial"/>
          <w:b/>
          <w:bCs/>
          <w:sz w:val="20"/>
          <w:szCs w:val="20"/>
        </w:rPr>
        <w:t>Supplementary Figure</w:t>
      </w:r>
      <w:r w:rsidR="00830F53" w:rsidRPr="00714096">
        <w:rPr>
          <w:rFonts w:ascii="Arial" w:hAnsi="Arial" w:cs="Arial"/>
          <w:b/>
          <w:bCs/>
          <w:sz w:val="20"/>
          <w:szCs w:val="20"/>
        </w:rPr>
        <w:t xml:space="preserve"> 5</w:t>
      </w:r>
      <w:r w:rsidRPr="00714096">
        <w:rPr>
          <w:rFonts w:ascii="Arial" w:hAnsi="Arial" w:cs="Arial"/>
          <w:b/>
          <w:bCs/>
          <w:sz w:val="20"/>
          <w:szCs w:val="20"/>
        </w:rPr>
        <w:t xml:space="preserve"> </w:t>
      </w:r>
      <w:r w:rsidR="00714096">
        <w:rPr>
          <w:rFonts w:ascii="Arial" w:hAnsi="Arial" w:cs="Arial"/>
          <w:b/>
          <w:bCs/>
          <w:sz w:val="20"/>
          <w:szCs w:val="20"/>
        </w:rPr>
        <w:t>–</w:t>
      </w:r>
      <w:r w:rsidRPr="00714096">
        <w:rPr>
          <w:rFonts w:ascii="Arial" w:hAnsi="Arial" w:cs="Arial"/>
          <w:b/>
          <w:bCs/>
          <w:sz w:val="20"/>
          <w:szCs w:val="20"/>
        </w:rPr>
        <w:t xml:space="preserve"> </w:t>
      </w:r>
      <w:r w:rsidR="00714096">
        <w:rPr>
          <w:rFonts w:ascii="Arial" w:hAnsi="Arial" w:cs="Arial"/>
          <w:b/>
          <w:bCs/>
          <w:sz w:val="20"/>
          <w:szCs w:val="20"/>
        </w:rPr>
        <w:t xml:space="preserve">Frequency of visits by </w:t>
      </w:r>
      <w:proofErr w:type="gramStart"/>
      <w:r w:rsidR="00714096">
        <w:rPr>
          <w:rFonts w:ascii="Arial" w:hAnsi="Arial" w:cs="Arial"/>
          <w:b/>
          <w:bCs/>
          <w:sz w:val="20"/>
          <w:szCs w:val="20"/>
        </w:rPr>
        <w:t>North East</w:t>
      </w:r>
      <w:proofErr w:type="gramEnd"/>
      <w:r w:rsidR="00714096">
        <w:rPr>
          <w:rFonts w:ascii="Arial" w:hAnsi="Arial" w:cs="Arial"/>
          <w:b/>
          <w:bCs/>
          <w:sz w:val="20"/>
          <w:szCs w:val="20"/>
        </w:rPr>
        <w:t xml:space="preserve"> residents estimated using the ONS passenger survey showing destinations with a) &lt;10,000 annual visits, b) 10</w:t>
      </w:r>
      <w:r w:rsidR="006E12FF">
        <w:rPr>
          <w:rFonts w:ascii="Arial" w:hAnsi="Arial" w:cs="Arial"/>
          <w:b/>
          <w:bCs/>
          <w:sz w:val="20"/>
          <w:szCs w:val="20"/>
        </w:rPr>
        <w:t xml:space="preserve">,000 to </w:t>
      </w:r>
      <w:r w:rsidR="00714096">
        <w:rPr>
          <w:rFonts w:ascii="Arial" w:hAnsi="Arial" w:cs="Arial"/>
          <w:b/>
          <w:bCs/>
          <w:sz w:val="20"/>
          <w:szCs w:val="20"/>
        </w:rPr>
        <w:t xml:space="preserve">50,000 annual visits </w:t>
      </w:r>
      <w:r w:rsidR="006E12FF">
        <w:rPr>
          <w:rFonts w:ascii="Arial" w:hAnsi="Arial" w:cs="Arial"/>
          <w:b/>
          <w:bCs/>
          <w:sz w:val="20"/>
          <w:szCs w:val="20"/>
        </w:rPr>
        <w:t xml:space="preserve">and c) &gt; 50,000 visits </w:t>
      </w:r>
    </w:p>
    <w:p w14:paraId="44A8853C" w14:textId="362D6C54" w:rsidR="00420AAB" w:rsidRPr="00714096" w:rsidRDefault="00420AAB" w:rsidP="00420AAB">
      <w:pPr>
        <w:jc w:val="right"/>
      </w:pPr>
      <w:r w:rsidRPr="00714096">
        <w:rPr>
          <w:noProof/>
        </w:rPr>
        <w:drawing>
          <wp:anchor distT="0" distB="0" distL="114300" distR="114300" simplePos="0" relativeHeight="251658240" behindDoc="0" locked="0" layoutInCell="1" allowOverlap="1" wp14:anchorId="57155ACA" wp14:editId="71698FC2">
            <wp:simplePos x="0" y="0"/>
            <wp:positionH relativeFrom="column">
              <wp:posOffset>190500</wp:posOffset>
            </wp:positionH>
            <wp:positionV relativeFrom="paragraph">
              <wp:posOffset>1578610</wp:posOffset>
            </wp:positionV>
            <wp:extent cx="754275" cy="130492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F78" w:rsidRPr="00714096">
        <w:rPr>
          <w:noProof/>
        </w:rPr>
        <w:t xml:space="preserve"> </w:t>
      </w:r>
      <w:r w:rsidR="00487F78" w:rsidRPr="00714096">
        <w:rPr>
          <w:noProof/>
        </w:rPr>
        <w:drawing>
          <wp:inline distT="0" distB="0" distL="0" distR="0" wp14:anchorId="5FDC22D8" wp14:editId="0AFAB421">
            <wp:extent cx="6515100" cy="3289309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6269" cy="33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F78" w:rsidRPr="00714096">
        <w:rPr>
          <w:noProof/>
        </w:rPr>
        <w:t xml:space="preserve"> </w:t>
      </w:r>
    </w:p>
    <w:p w14:paraId="3E5FFCCD" w14:textId="73E1B521" w:rsidR="00420AAB" w:rsidRPr="00714096" w:rsidRDefault="00487F78" w:rsidP="00420AAB">
      <w:pPr>
        <w:jc w:val="right"/>
      </w:pPr>
      <w:r w:rsidRPr="00714096">
        <w:t xml:space="preserve"> </w:t>
      </w:r>
    </w:p>
    <w:p w14:paraId="6B866AA1" w14:textId="27AB4B02" w:rsidR="00420AAB" w:rsidRPr="00714096" w:rsidRDefault="00487F78" w:rsidP="00487F78">
      <w:pPr>
        <w:jc w:val="right"/>
      </w:pPr>
      <w:r w:rsidRPr="00714096">
        <w:rPr>
          <w:noProof/>
        </w:rPr>
        <w:drawing>
          <wp:anchor distT="0" distB="0" distL="114300" distR="114300" simplePos="0" relativeHeight="251660288" behindDoc="0" locked="0" layoutInCell="1" allowOverlap="1" wp14:anchorId="0B18A12D" wp14:editId="6EA1B470">
            <wp:simplePos x="0" y="0"/>
            <wp:positionH relativeFrom="column">
              <wp:posOffset>276225</wp:posOffset>
            </wp:positionH>
            <wp:positionV relativeFrom="paragraph">
              <wp:posOffset>1350645</wp:posOffset>
            </wp:positionV>
            <wp:extent cx="762495" cy="1314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96">
        <w:rPr>
          <w:noProof/>
        </w:rPr>
        <w:drawing>
          <wp:inline distT="0" distB="0" distL="0" distR="0" wp14:anchorId="3219820C" wp14:editId="5C37AC88">
            <wp:extent cx="6505129" cy="3305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0251" cy="332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4F5F" w14:textId="304CA77C" w:rsidR="00A27C36" w:rsidRPr="00714096" w:rsidRDefault="00A27C36" w:rsidP="00487F78">
      <w:pPr>
        <w:jc w:val="right"/>
      </w:pPr>
    </w:p>
    <w:p w14:paraId="07C20DD4" w14:textId="34EEB630" w:rsidR="00A27C36" w:rsidRDefault="002758BF" w:rsidP="00487F78">
      <w:pPr>
        <w:jc w:val="right"/>
      </w:pPr>
      <w:r w:rsidRPr="00714096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D00DE1A" wp14:editId="1D1C581E">
            <wp:simplePos x="0" y="0"/>
            <wp:positionH relativeFrom="column">
              <wp:posOffset>277495</wp:posOffset>
            </wp:positionH>
            <wp:positionV relativeFrom="paragraph">
              <wp:posOffset>1191895</wp:posOffset>
            </wp:positionV>
            <wp:extent cx="686005" cy="1295177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05" cy="129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96">
        <w:rPr>
          <w:noProof/>
        </w:rPr>
        <w:drawing>
          <wp:inline distT="0" distB="0" distL="0" distR="0" wp14:anchorId="04F04565" wp14:editId="586C480E">
            <wp:extent cx="6505575" cy="328461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2011" cy="32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C36" w:rsidRPr="00714096">
        <w:rPr>
          <w:noProof/>
        </w:rPr>
        <mc:AlternateContent>
          <mc:Choice Requires="wps">
            <w:drawing>
              <wp:inline distT="0" distB="0" distL="0" distR="0" wp14:anchorId="7370BBE8" wp14:editId="4997FDFE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54035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27C36" w:rsidSect="0072179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2E"/>
    <w:rsid w:val="0022794C"/>
    <w:rsid w:val="00247369"/>
    <w:rsid w:val="002758BF"/>
    <w:rsid w:val="003C3DC5"/>
    <w:rsid w:val="00420AAB"/>
    <w:rsid w:val="00487F78"/>
    <w:rsid w:val="005445CE"/>
    <w:rsid w:val="005F68F8"/>
    <w:rsid w:val="00606F83"/>
    <w:rsid w:val="0067222A"/>
    <w:rsid w:val="006A0423"/>
    <w:rsid w:val="006E12FF"/>
    <w:rsid w:val="00714096"/>
    <w:rsid w:val="0072179A"/>
    <w:rsid w:val="00766294"/>
    <w:rsid w:val="0081111A"/>
    <w:rsid w:val="00830F53"/>
    <w:rsid w:val="00875D1A"/>
    <w:rsid w:val="008A66CF"/>
    <w:rsid w:val="008D4219"/>
    <w:rsid w:val="00905162"/>
    <w:rsid w:val="0093093F"/>
    <w:rsid w:val="0093218A"/>
    <w:rsid w:val="00992BB0"/>
    <w:rsid w:val="009B5B59"/>
    <w:rsid w:val="00A27C36"/>
    <w:rsid w:val="00AD372E"/>
    <w:rsid w:val="00B00A48"/>
    <w:rsid w:val="00BD59CD"/>
    <w:rsid w:val="00D92526"/>
    <w:rsid w:val="00DC72D1"/>
    <w:rsid w:val="00DE3FB3"/>
    <w:rsid w:val="00E835B0"/>
    <w:rsid w:val="00F158B8"/>
    <w:rsid w:val="00F15BCE"/>
    <w:rsid w:val="00FC5513"/>
    <w:rsid w:val="00FD2318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74EF"/>
  <w15:chartTrackingRefBased/>
  <w15:docId w15:val="{5D0F1CF1-8F96-45D2-9422-2EDB5B74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69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47369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24736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55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5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551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513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FD2318"/>
    <w:pPr>
      <w:spacing w:after="0" w:line="240" w:lineRule="auto"/>
    </w:pPr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5F68F8"/>
    <w:pPr>
      <w:spacing w:after="200" w:line="240" w:lineRule="auto"/>
    </w:pPr>
    <w:rPr>
      <w:sz w:val="24"/>
      <w:szCs w:val="24"/>
      <w:lang w:val="en-US" w:eastAsia="en-I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Love</dc:creator>
  <cp:keywords/>
  <dc:description/>
  <cp:lastModifiedBy>Nicola Love</cp:lastModifiedBy>
  <cp:revision>5</cp:revision>
  <dcterms:created xsi:type="dcterms:W3CDTF">2024-02-01T19:52:00Z</dcterms:created>
  <dcterms:modified xsi:type="dcterms:W3CDTF">2024-02-02T14:03:00Z</dcterms:modified>
</cp:coreProperties>
</file>