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F65C1" w:rsidRDefault="009607EC">
      <w:pPr>
        <w:rPr>
          <w:rFonts w:ascii="Arial" w:eastAsia="Arial" w:hAnsi="Arial" w:cs="Arial"/>
          <w:b/>
        </w:rPr>
      </w:pPr>
      <w:r>
        <w:rPr>
          <w:rFonts w:ascii="Arial" w:eastAsia="Arial" w:hAnsi="Arial" w:cs="Arial"/>
          <w:b/>
        </w:rPr>
        <w:t>Supplementary Material</w:t>
      </w:r>
    </w:p>
    <w:p w14:paraId="00000002" w14:textId="77777777" w:rsidR="003F65C1" w:rsidRDefault="003F65C1">
      <w:pPr>
        <w:rPr>
          <w:rFonts w:ascii="Arial" w:eastAsia="Arial" w:hAnsi="Arial" w:cs="Arial"/>
          <w:b/>
        </w:rPr>
      </w:pPr>
    </w:p>
    <w:p w14:paraId="00000003" w14:textId="77777777" w:rsidR="003F65C1" w:rsidRDefault="009607EC">
      <w:pPr>
        <w:rPr>
          <w:rFonts w:ascii="Arial" w:eastAsia="Arial" w:hAnsi="Arial" w:cs="Arial"/>
          <w:b/>
        </w:rPr>
      </w:pPr>
      <w:r>
        <w:rPr>
          <w:rFonts w:ascii="Arial" w:eastAsia="Arial" w:hAnsi="Arial" w:cs="Arial"/>
          <w:b/>
        </w:rPr>
        <w:t>Methods</w:t>
      </w:r>
    </w:p>
    <w:p w14:paraId="00000004" w14:textId="77777777" w:rsidR="003F65C1" w:rsidRDefault="009607EC">
      <w:pPr>
        <w:rPr>
          <w:rFonts w:ascii="Arial" w:eastAsia="Arial" w:hAnsi="Arial" w:cs="Arial"/>
        </w:rPr>
      </w:pPr>
      <w:r>
        <w:rPr>
          <w:rFonts w:ascii="Arial" w:eastAsia="Arial" w:hAnsi="Arial" w:cs="Arial"/>
        </w:rPr>
        <w:t xml:space="preserve">We imputed 40 datasets, 5 iterations each, to reduce the loss of efficiency to &lt;1%, having confirmed that </w:t>
      </w:r>
      <w:r>
        <w:rPr>
          <w:rFonts w:ascii="Arial" w:eastAsia="Arial" w:hAnsi="Arial" w:cs="Arial"/>
          <w:highlight w:val="white"/>
        </w:rPr>
        <w:t>≤40% of data was missing for any given variable [1]. The success of the imputation was determined by assessing diagnostic boxplots (continuous variables) and density plots (categorical variables).</w:t>
      </w:r>
      <w:r>
        <w:rPr>
          <w:rFonts w:ascii="Arial" w:eastAsia="Arial" w:hAnsi="Arial" w:cs="Arial"/>
        </w:rPr>
        <w:t xml:space="preserve"> </w:t>
      </w:r>
    </w:p>
    <w:p w14:paraId="00000005" w14:textId="77777777" w:rsidR="003F65C1" w:rsidRDefault="003F65C1">
      <w:pPr>
        <w:rPr>
          <w:rFonts w:ascii="Arial" w:eastAsia="Arial" w:hAnsi="Arial" w:cs="Arial"/>
          <w:b/>
        </w:rPr>
      </w:pPr>
    </w:p>
    <w:p w14:paraId="00000006" w14:textId="39F5C867" w:rsidR="003F65C1" w:rsidRDefault="009607EC">
      <w:pPr>
        <w:rPr>
          <w:rFonts w:ascii="Arial" w:eastAsia="Arial" w:hAnsi="Arial" w:cs="Arial"/>
          <w:b/>
        </w:rPr>
      </w:pPr>
      <w:r>
        <w:rPr>
          <w:rFonts w:ascii="Arial" w:eastAsia="Arial" w:hAnsi="Arial" w:cs="Arial"/>
          <w:b/>
        </w:rPr>
        <w:t>Council of State and Territorial Epidemiologists Case Def</w:t>
      </w:r>
      <w:r>
        <w:rPr>
          <w:rFonts w:ascii="Arial" w:eastAsia="Arial" w:hAnsi="Arial" w:cs="Arial"/>
          <w:b/>
        </w:rPr>
        <w:t>initions (Taken directly from the Centers from Disease Control and Prevention Website) [2</w:t>
      </w:r>
      <w:r>
        <w:rPr>
          <w:rFonts w:ascii="Arial" w:eastAsia="Arial" w:hAnsi="Arial" w:cs="Arial"/>
          <w:b/>
        </w:rPr>
        <w:t>-3</w:t>
      </w:r>
      <w:bookmarkStart w:id="0" w:name="_GoBack"/>
      <w:bookmarkEnd w:id="0"/>
      <w:r>
        <w:rPr>
          <w:rFonts w:ascii="Arial" w:eastAsia="Arial" w:hAnsi="Arial" w:cs="Arial"/>
          <w:b/>
        </w:rPr>
        <w:t>]</w:t>
      </w:r>
    </w:p>
    <w:p w14:paraId="00000007" w14:textId="77777777" w:rsidR="003F65C1" w:rsidRDefault="009607EC">
      <w:pPr>
        <w:shd w:val="clear" w:color="auto" w:fill="FFFFFF"/>
        <w:rPr>
          <w:rFonts w:ascii="Arial" w:eastAsia="Arial" w:hAnsi="Arial" w:cs="Arial"/>
          <w:b/>
          <w:color w:val="222222"/>
        </w:rPr>
      </w:pPr>
      <w:r>
        <w:rPr>
          <w:rFonts w:ascii="Arial" w:eastAsia="Arial" w:hAnsi="Arial" w:cs="Arial"/>
          <w:b/>
          <w:color w:val="222222"/>
        </w:rPr>
        <w:t>Shiga Toxin-producing </w:t>
      </w:r>
      <w:r>
        <w:rPr>
          <w:rFonts w:ascii="Arial" w:eastAsia="Arial" w:hAnsi="Arial" w:cs="Arial"/>
          <w:b/>
          <w:i/>
          <w:color w:val="222222"/>
        </w:rPr>
        <w:t>Escherichia coli</w:t>
      </w:r>
      <w:r>
        <w:rPr>
          <w:rFonts w:ascii="Arial" w:eastAsia="Arial" w:hAnsi="Arial" w:cs="Arial"/>
          <w:b/>
          <w:color w:val="222222"/>
        </w:rPr>
        <w:t> (STEC)</w:t>
      </w:r>
    </w:p>
    <w:p w14:paraId="00000008" w14:textId="77777777" w:rsidR="003F65C1" w:rsidRDefault="009607EC">
      <w:pPr>
        <w:shd w:val="clear" w:color="auto" w:fill="FFFFFF"/>
        <w:rPr>
          <w:rFonts w:ascii="Arial" w:eastAsia="Arial" w:hAnsi="Arial" w:cs="Arial"/>
          <w:b/>
          <w:color w:val="222222"/>
        </w:rPr>
      </w:pPr>
      <w:r>
        <w:rPr>
          <w:rFonts w:ascii="Arial" w:eastAsia="Arial" w:hAnsi="Arial" w:cs="Arial"/>
          <w:b/>
          <w:color w:val="222222"/>
        </w:rPr>
        <w:br/>
        <w:t>2018 Case Definition</w:t>
      </w:r>
    </w:p>
    <w:p w14:paraId="00000009" w14:textId="77777777" w:rsidR="003F65C1" w:rsidRDefault="003F65C1">
      <w:pPr>
        <w:pStyle w:val="Heading2"/>
        <w:spacing w:before="0"/>
        <w:rPr>
          <w:rFonts w:ascii="Arial" w:eastAsia="Arial" w:hAnsi="Arial" w:cs="Arial"/>
          <w:color w:val="333333"/>
          <w:sz w:val="24"/>
          <w:szCs w:val="24"/>
          <w:highlight w:val="white"/>
        </w:rPr>
      </w:pPr>
    </w:p>
    <w:p w14:paraId="0000000A"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Background</w:t>
      </w:r>
    </w:p>
    <w:p w14:paraId="0000000B" w14:textId="77777777" w:rsidR="003F65C1" w:rsidRDefault="003F65C1">
      <w:pPr>
        <w:pBdr>
          <w:top w:val="nil"/>
          <w:left w:val="nil"/>
          <w:bottom w:val="nil"/>
          <w:right w:val="nil"/>
          <w:between w:val="nil"/>
        </w:pBdr>
        <w:rPr>
          <w:rFonts w:ascii="Arial" w:eastAsia="Arial" w:hAnsi="Arial" w:cs="Arial"/>
          <w:color w:val="000000"/>
          <w:highlight w:val="white"/>
        </w:rPr>
      </w:pPr>
    </w:p>
    <w:p w14:paraId="0000000C"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Shiga toxin-producing </w:t>
      </w:r>
      <w:r>
        <w:rPr>
          <w:rFonts w:ascii="Arial" w:eastAsia="Arial" w:hAnsi="Arial" w:cs="Arial"/>
          <w:i/>
          <w:color w:val="000000"/>
          <w:highlight w:val="white"/>
        </w:rPr>
        <w:t>Escherichia coli</w:t>
      </w:r>
      <w:r>
        <w:rPr>
          <w:rFonts w:ascii="Arial" w:eastAsia="Arial" w:hAnsi="Arial" w:cs="Arial"/>
          <w:color w:val="000000"/>
          <w:highlight w:val="white"/>
        </w:rPr>
        <w:t xml:space="preserve"> (STEC) are estimated to cause more than 265,000 illnesses each year in the United States. STEC can cause illness that ranges from mild diarrhea to bloody diarrhea and life-threatening hemolytic uremic syndrome (HUS). STEC are categorized into </w:t>
      </w:r>
      <w:proofErr w:type="spellStart"/>
      <w:r>
        <w:rPr>
          <w:rFonts w:ascii="Arial" w:eastAsia="Arial" w:hAnsi="Arial" w:cs="Arial"/>
          <w:color w:val="000000"/>
          <w:highlight w:val="white"/>
        </w:rPr>
        <w:t>serogroups</w:t>
      </w:r>
      <w:proofErr w:type="spellEnd"/>
      <w:r>
        <w:rPr>
          <w:rFonts w:ascii="Arial" w:eastAsia="Arial" w:hAnsi="Arial" w:cs="Arial"/>
          <w:color w:val="000000"/>
          <w:highlight w:val="white"/>
        </w:rPr>
        <w:t xml:space="preserve"> b</w:t>
      </w:r>
      <w:r>
        <w:rPr>
          <w:rFonts w:ascii="Arial" w:eastAsia="Arial" w:hAnsi="Arial" w:cs="Arial"/>
          <w:color w:val="000000"/>
          <w:highlight w:val="white"/>
        </w:rPr>
        <w:t xml:space="preserve">y their somatic O antigen. The STEC </w:t>
      </w:r>
      <w:proofErr w:type="spellStart"/>
      <w:r>
        <w:rPr>
          <w:rFonts w:ascii="Arial" w:eastAsia="Arial" w:hAnsi="Arial" w:cs="Arial"/>
          <w:color w:val="000000"/>
          <w:highlight w:val="white"/>
        </w:rPr>
        <w:t>serogroup</w:t>
      </w:r>
      <w:proofErr w:type="spellEnd"/>
      <w:r>
        <w:rPr>
          <w:rFonts w:ascii="Arial" w:eastAsia="Arial" w:hAnsi="Arial" w:cs="Arial"/>
          <w:color w:val="000000"/>
          <w:highlight w:val="white"/>
        </w:rPr>
        <w:t xml:space="preserve"> most commonly identified and associated with severe illness and hospitalization in the United States is </w:t>
      </w:r>
      <w:r>
        <w:rPr>
          <w:rFonts w:ascii="Arial" w:eastAsia="Arial" w:hAnsi="Arial" w:cs="Arial"/>
          <w:i/>
          <w:color w:val="000000"/>
          <w:highlight w:val="white"/>
        </w:rPr>
        <w:t>E. coli</w:t>
      </w:r>
      <w:r>
        <w:rPr>
          <w:rFonts w:ascii="Arial" w:eastAsia="Arial" w:hAnsi="Arial" w:cs="Arial"/>
          <w:color w:val="000000"/>
          <w:highlight w:val="white"/>
        </w:rPr>
        <w:t xml:space="preserve"> O157; however, there are over 50 other </w:t>
      </w:r>
      <w:proofErr w:type="spellStart"/>
      <w:r>
        <w:rPr>
          <w:rFonts w:ascii="Arial" w:eastAsia="Arial" w:hAnsi="Arial" w:cs="Arial"/>
          <w:color w:val="000000"/>
          <w:highlight w:val="white"/>
        </w:rPr>
        <w:t>serogroups</w:t>
      </w:r>
      <w:proofErr w:type="spellEnd"/>
      <w:r>
        <w:rPr>
          <w:rFonts w:ascii="Arial" w:eastAsia="Arial" w:hAnsi="Arial" w:cs="Arial"/>
          <w:color w:val="000000"/>
          <w:highlight w:val="white"/>
        </w:rPr>
        <w:t xml:space="preserve"> that can also cause illness. The majority of inf</w:t>
      </w:r>
      <w:r>
        <w:rPr>
          <w:rFonts w:ascii="Arial" w:eastAsia="Arial" w:hAnsi="Arial" w:cs="Arial"/>
          <w:color w:val="000000"/>
          <w:highlight w:val="white"/>
        </w:rPr>
        <w:t xml:space="preserve">ections are not reported to </w:t>
      </w:r>
      <w:r>
        <w:rPr>
          <w:rFonts w:ascii="Arial" w:eastAsia="Arial" w:hAnsi="Arial" w:cs="Arial"/>
          <w:color w:val="000000"/>
          <w:highlight w:val="white"/>
        </w:rPr>
        <w:lastRenderedPageBreak/>
        <w:t>public health, because many individuals do not seek health care or are not tested. In recent years, the number of clinical laboratories that use tests that detect Shiga toxin or Shiga toxin genes has increased, resulting in incr</w:t>
      </w:r>
      <w:r>
        <w:rPr>
          <w:rFonts w:ascii="Arial" w:eastAsia="Arial" w:hAnsi="Arial" w:cs="Arial"/>
          <w:color w:val="000000"/>
          <w:highlight w:val="white"/>
        </w:rPr>
        <w:t>eased detection of both O157 and non-O157 STEC infections.</w:t>
      </w:r>
    </w:p>
    <w:p w14:paraId="0000000D"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Ongoing surveillance of STEC infections is essential to detect and control outbreaks, to determine public health priorities, to monitor trends in illness, and to assess effectiveness of public heal</w:t>
      </w:r>
      <w:r>
        <w:rPr>
          <w:rFonts w:ascii="Arial" w:eastAsia="Arial" w:hAnsi="Arial" w:cs="Arial"/>
          <w:color w:val="000000"/>
          <w:highlight w:val="white"/>
        </w:rPr>
        <w:t>th interventions. Methods for surveillance must keep pace with changing laboratory diagnostic methods.</w:t>
      </w:r>
    </w:p>
    <w:p w14:paraId="0000000E" w14:textId="77777777" w:rsidR="003F65C1" w:rsidRDefault="003F65C1">
      <w:pPr>
        <w:pBdr>
          <w:top w:val="nil"/>
          <w:left w:val="nil"/>
          <w:bottom w:val="nil"/>
          <w:right w:val="nil"/>
          <w:between w:val="nil"/>
        </w:pBdr>
        <w:rPr>
          <w:rFonts w:ascii="Arial" w:eastAsia="Arial" w:hAnsi="Arial" w:cs="Arial"/>
          <w:color w:val="000000"/>
          <w:highlight w:val="white"/>
        </w:rPr>
      </w:pPr>
    </w:p>
    <w:p w14:paraId="0000000F"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Clinical Criteria</w:t>
      </w:r>
    </w:p>
    <w:p w14:paraId="00000010"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 xml:space="preserve">An infection of variable severity characterized by diarrhea (often bloody) and/or abdominal cramps. Illness may be complicated by HUS </w:t>
      </w:r>
      <w:r>
        <w:rPr>
          <w:rFonts w:ascii="Arial" w:eastAsia="Arial" w:hAnsi="Arial" w:cs="Arial"/>
          <w:color w:val="000000"/>
          <w:highlight w:val="white"/>
        </w:rPr>
        <w:t>(note that some clinicians still use the term thrombotic thrombocytopenic purpura [TTP] for adults with post-diarrheal HUS).</w:t>
      </w:r>
    </w:p>
    <w:p w14:paraId="00000011" w14:textId="77777777" w:rsidR="003F65C1" w:rsidRDefault="003F65C1">
      <w:pPr>
        <w:pStyle w:val="Heading2"/>
        <w:spacing w:before="0"/>
        <w:rPr>
          <w:rFonts w:ascii="Arial" w:eastAsia="Arial" w:hAnsi="Arial" w:cs="Arial"/>
          <w:color w:val="333333"/>
          <w:sz w:val="24"/>
          <w:szCs w:val="24"/>
          <w:highlight w:val="white"/>
        </w:rPr>
      </w:pPr>
    </w:p>
    <w:p w14:paraId="00000012"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Laboratory Criteria </w:t>
      </w:r>
      <w:proofErr w:type="gramStart"/>
      <w:r>
        <w:rPr>
          <w:rFonts w:ascii="Arial" w:eastAsia="Arial" w:hAnsi="Arial" w:cs="Arial"/>
          <w:color w:val="333333"/>
          <w:sz w:val="24"/>
          <w:szCs w:val="24"/>
          <w:highlight w:val="white"/>
        </w:rPr>
        <w:t>For</w:t>
      </w:r>
      <w:proofErr w:type="gramEnd"/>
      <w:r>
        <w:rPr>
          <w:rFonts w:ascii="Arial" w:eastAsia="Arial" w:hAnsi="Arial" w:cs="Arial"/>
          <w:color w:val="333333"/>
          <w:sz w:val="24"/>
          <w:szCs w:val="24"/>
          <w:highlight w:val="white"/>
        </w:rPr>
        <w:t xml:space="preserve"> Diagnosis</w:t>
      </w:r>
    </w:p>
    <w:p w14:paraId="00000013" w14:textId="77777777" w:rsidR="003F65C1" w:rsidRDefault="003F65C1"/>
    <w:p w14:paraId="00000014"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i/>
          <w:color w:val="000000"/>
          <w:highlight w:val="white"/>
        </w:rPr>
        <w:t>Confirmatory laboratory evidence</w:t>
      </w:r>
    </w:p>
    <w:p w14:paraId="00000015" w14:textId="77777777" w:rsidR="003F65C1" w:rsidRDefault="009607EC">
      <w:pPr>
        <w:numPr>
          <w:ilvl w:val="0"/>
          <w:numId w:val="11"/>
        </w:numPr>
        <w:rPr>
          <w:color w:val="000000"/>
          <w:highlight w:val="white"/>
        </w:rPr>
      </w:pPr>
      <w:r>
        <w:rPr>
          <w:rFonts w:ascii="Arial" w:eastAsia="Arial" w:hAnsi="Arial" w:cs="Arial"/>
          <w:color w:val="000000"/>
          <w:highlight w:val="white"/>
        </w:rPr>
        <w:t>Isolation of </w:t>
      </w:r>
      <w:r>
        <w:rPr>
          <w:rFonts w:ascii="Arial" w:eastAsia="Arial" w:hAnsi="Arial" w:cs="Arial"/>
          <w:i/>
          <w:color w:val="000000"/>
          <w:highlight w:val="white"/>
        </w:rPr>
        <w:t>E. coli</w:t>
      </w:r>
      <w:r>
        <w:rPr>
          <w:rFonts w:ascii="Arial" w:eastAsia="Arial" w:hAnsi="Arial" w:cs="Arial"/>
          <w:color w:val="000000"/>
          <w:highlight w:val="white"/>
        </w:rPr>
        <w:t> O157:H7 from a clinical specimen </w:t>
      </w:r>
      <w:r>
        <w:rPr>
          <w:rFonts w:ascii="Arial" w:eastAsia="Arial" w:hAnsi="Arial" w:cs="Arial"/>
          <w:b/>
          <w:color w:val="000000"/>
          <w:highlight w:val="white"/>
        </w:rPr>
        <w:t>OR</w:t>
      </w:r>
    </w:p>
    <w:p w14:paraId="00000016" w14:textId="77777777" w:rsidR="003F65C1" w:rsidRDefault="009607EC">
      <w:pPr>
        <w:numPr>
          <w:ilvl w:val="0"/>
          <w:numId w:val="11"/>
        </w:numPr>
        <w:rPr>
          <w:color w:val="000000"/>
          <w:highlight w:val="white"/>
        </w:rPr>
      </w:pPr>
      <w:r>
        <w:rPr>
          <w:rFonts w:ascii="Arial" w:eastAsia="Arial" w:hAnsi="Arial" w:cs="Arial"/>
          <w:color w:val="000000"/>
          <w:highlight w:val="white"/>
        </w:rPr>
        <w:t>Isola</w:t>
      </w:r>
      <w:r>
        <w:rPr>
          <w:rFonts w:ascii="Arial" w:eastAsia="Arial" w:hAnsi="Arial" w:cs="Arial"/>
          <w:color w:val="000000"/>
          <w:highlight w:val="white"/>
        </w:rPr>
        <w:t>tion of </w:t>
      </w:r>
      <w:r>
        <w:rPr>
          <w:rFonts w:ascii="Arial" w:eastAsia="Arial" w:hAnsi="Arial" w:cs="Arial"/>
          <w:i/>
          <w:color w:val="000000"/>
          <w:highlight w:val="white"/>
        </w:rPr>
        <w:t>E. coli</w:t>
      </w:r>
      <w:r>
        <w:rPr>
          <w:rFonts w:ascii="Arial" w:eastAsia="Arial" w:hAnsi="Arial" w:cs="Arial"/>
          <w:color w:val="000000"/>
          <w:highlight w:val="white"/>
        </w:rPr>
        <w:t> from a clinical specimen with detection of Shiga toxin or Shiga toxin genes.</w:t>
      </w:r>
    </w:p>
    <w:p w14:paraId="00000017" w14:textId="77777777" w:rsidR="003F65C1" w:rsidRDefault="003F65C1">
      <w:pPr>
        <w:ind w:left="360"/>
        <w:rPr>
          <w:rFonts w:ascii="Arial" w:eastAsia="Arial" w:hAnsi="Arial" w:cs="Arial"/>
          <w:color w:val="000000"/>
          <w:highlight w:val="white"/>
        </w:rPr>
      </w:pPr>
    </w:p>
    <w:p w14:paraId="00000018"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i/>
          <w:color w:val="000000"/>
          <w:highlight w:val="white"/>
        </w:rPr>
        <w:t>Supportive laboratory evidence</w:t>
      </w:r>
    </w:p>
    <w:p w14:paraId="00000019" w14:textId="77777777" w:rsidR="003F65C1" w:rsidRDefault="009607EC">
      <w:pPr>
        <w:numPr>
          <w:ilvl w:val="0"/>
          <w:numId w:val="12"/>
        </w:numPr>
        <w:rPr>
          <w:color w:val="000000"/>
          <w:highlight w:val="white"/>
        </w:rPr>
      </w:pPr>
      <w:r>
        <w:rPr>
          <w:rFonts w:ascii="Arial" w:eastAsia="Arial" w:hAnsi="Arial" w:cs="Arial"/>
          <w:color w:val="000000"/>
          <w:highlight w:val="white"/>
        </w:rPr>
        <w:lastRenderedPageBreak/>
        <w:t>Isolation of </w:t>
      </w:r>
      <w:r>
        <w:rPr>
          <w:rFonts w:ascii="Arial" w:eastAsia="Arial" w:hAnsi="Arial" w:cs="Arial"/>
          <w:i/>
          <w:color w:val="000000"/>
          <w:highlight w:val="white"/>
        </w:rPr>
        <w:t>E. coli</w:t>
      </w:r>
      <w:r>
        <w:rPr>
          <w:rFonts w:ascii="Arial" w:eastAsia="Arial" w:hAnsi="Arial" w:cs="Arial"/>
          <w:color w:val="000000"/>
          <w:highlight w:val="white"/>
        </w:rPr>
        <w:t> O157 from a clinical specimen without confirmation of H antigen, detection of Shiga toxin, or detection of Shiga toxin genes, </w:t>
      </w:r>
      <w:r>
        <w:rPr>
          <w:rFonts w:ascii="Arial" w:eastAsia="Arial" w:hAnsi="Arial" w:cs="Arial"/>
          <w:b/>
          <w:color w:val="000000"/>
          <w:highlight w:val="white"/>
        </w:rPr>
        <w:t>OR</w:t>
      </w:r>
    </w:p>
    <w:p w14:paraId="0000001A" w14:textId="77777777" w:rsidR="003F65C1" w:rsidRDefault="009607EC">
      <w:pPr>
        <w:numPr>
          <w:ilvl w:val="0"/>
          <w:numId w:val="12"/>
        </w:numPr>
        <w:rPr>
          <w:color w:val="000000"/>
          <w:highlight w:val="white"/>
        </w:rPr>
      </w:pPr>
      <w:r>
        <w:rPr>
          <w:rFonts w:ascii="Arial" w:eastAsia="Arial" w:hAnsi="Arial" w:cs="Arial"/>
          <w:color w:val="000000"/>
          <w:highlight w:val="white"/>
        </w:rPr>
        <w:t xml:space="preserve">Identification of an elevated antibody titer against a known Shiga toxin-producing </w:t>
      </w:r>
      <w:proofErr w:type="spellStart"/>
      <w:r>
        <w:rPr>
          <w:rFonts w:ascii="Arial" w:eastAsia="Arial" w:hAnsi="Arial" w:cs="Arial"/>
          <w:color w:val="000000"/>
          <w:highlight w:val="white"/>
        </w:rPr>
        <w:t>serogroup</w:t>
      </w:r>
      <w:proofErr w:type="spellEnd"/>
      <w:r>
        <w:rPr>
          <w:rFonts w:ascii="Arial" w:eastAsia="Arial" w:hAnsi="Arial" w:cs="Arial"/>
          <w:color w:val="000000"/>
          <w:highlight w:val="white"/>
        </w:rPr>
        <w:t xml:space="preserve"> of </w:t>
      </w:r>
      <w:r>
        <w:rPr>
          <w:rFonts w:ascii="Arial" w:eastAsia="Arial" w:hAnsi="Arial" w:cs="Arial"/>
          <w:i/>
          <w:color w:val="000000"/>
          <w:highlight w:val="white"/>
        </w:rPr>
        <w:t>E. coli</w:t>
      </w:r>
      <w:r>
        <w:rPr>
          <w:rFonts w:ascii="Arial" w:eastAsia="Arial" w:hAnsi="Arial" w:cs="Arial"/>
          <w:color w:val="000000"/>
          <w:highlight w:val="white"/>
        </w:rPr>
        <w:t>, </w:t>
      </w:r>
      <w:r>
        <w:rPr>
          <w:rFonts w:ascii="Arial" w:eastAsia="Arial" w:hAnsi="Arial" w:cs="Arial"/>
          <w:b/>
          <w:color w:val="000000"/>
          <w:highlight w:val="white"/>
        </w:rPr>
        <w:t>OR</w:t>
      </w:r>
    </w:p>
    <w:p w14:paraId="0000001B" w14:textId="77777777" w:rsidR="003F65C1" w:rsidRDefault="009607EC">
      <w:pPr>
        <w:numPr>
          <w:ilvl w:val="0"/>
          <w:numId w:val="12"/>
        </w:numPr>
        <w:rPr>
          <w:color w:val="000000"/>
          <w:highlight w:val="white"/>
        </w:rPr>
      </w:pPr>
      <w:r>
        <w:rPr>
          <w:rFonts w:ascii="Arial" w:eastAsia="Arial" w:hAnsi="Arial" w:cs="Arial"/>
          <w:color w:val="000000"/>
          <w:highlight w:val="white"/>
        </w:rPr>
        <w:t>Detection of Shiga</w:t>
      </w:r>
      <w:r>
        <w:rPr>
          <w:rFonts w:ascii="Arial" w:eastAsia="Arial" w:hAnsi="Arial" w:cs="Arial"/>
          <w:color w:val="000000"/>
          <w:highlight w:val="white"/>
        </w:rPr>
        <w:t xml:space="preserve"> toxin or Shiga toxin genes in a clinical specimen using a culture-independent diagnostic test (CIDT) and no known isolation of </w:t>
      </w:r>
      <w:proofErr w:type="spellStart"/>
      <w:r>
        <w:rPr>
          <w:rFonts w:ascii="Arial" w:eastAsia="Arial" w:hAnsi="Arial" w:cs="Arial"/>
          <w:i/>
          <w:color w:val="000000"/>
          <w:highlight w:val="white"/>
        </w:rPr>
        <w:t>Shigella</w:t>
      </w:r>
      <w:proofErr w:type="spellEnd"/>
      <w:r>
        <w:rPr>
          <w:rFonts w:ascii="Arial" w:eastAsia="Arial" w:hAnsi="Arial" w:cs="Arial"/>
          <w:color w:val="000000"/>
          <w:highlight w:val="white"/>
        </w:rPr>
        <w:t> from a clinical specimen. </w:t>
      </w:r>
      <w:r>
        <w:rPr>
          <w:rFonts w:ascii="Arial" w:eastAsia="Arial" w:hAnsi="Arial" w:cs="Arial"/>
          <w:b/>
          <w:color w:val="000000"/>
          <w:highlight w:val="white"/>
        </w:rPr>
        <w:t>OR</w:t>
      </w:r>
    </w:p>
    <w:p w14:paraId="0000001C" w14:textId="77777777" w:rsidR="003F65C1" w:rsidRDefault="009607EC">
      <w:pPr>
        <w:numPr>
          <w:ilvl w:val="0"/>
          <w:numId w:val="12"/>
        </w:numPr>
        <w:rPr>
          <w:color w:val="000000"/>
          <w:highlight w:val="white"/>
        </w:rPr>
      </w:pPr>
      <w:r>
        <w:rPr>
          <w:rFonts w:ascii="Arial" w:eastAsia="Arial" w:hAnsi="Arial" w:cs="Arial"/>
          <w:color w:val="000000"/>
          <w:highlight w:val="white"/>
        </w:rPr>
        <w:t>Detection of </w:t>
      </w:r>
      <w:r>
        <w:rPr>
          <w:rFonts w:ascii="Arial" w:eastAsia="Arial" w:hAnsi="Arial" w:cs="Arial"/>
          <w:i/>
          <w:color w:val="000000"/>
          <w:highlight w:val="white"/>
        </w:rPr>
        <w:t>E. coli</w:t>
      </w:r>
      <w:r>
        <w:rPr>
          <w:rFonts w:ascii="Arial" w:eastAsia="Arial" w:hAnsi="Arial" w:cs="Arial"/>
          <w:color w:val="000000"/>
          <w:highlight w:val="white"/>
        </w:rPr>
        <w:t xml:space="preserve"> O157 or STEC/ </w:t>
      </w:r>
      <w:proofErr w:type="spellStart"/>
      <w:r>
        <w:rPr>
          <w:rFonts w:ascii="Arial" w:eastAsia="Arial" w:hAnsi="Arial" w:cs="Arial"/>
          <w:color w:val="000000"/>
          <w:highlight w:val="white"/>
        </w:rPr>
        <w:t>Enterohemorrhagic</w:t>
      </w:r>
      <w:proofErr w:type="spellEnd"/>
      <w:r>
        <w:rPr>
          <w:rFonts w:ascii="Arial" w:eastAsia="Arial" w:hAnsi="Arial" w:cs="Arial"/>
          <w:color w:val="000000"/>
          <w:highlight w:val="white"/>
        </w:rPr>
        <w:t> </w:t>
      </w:r>
      <w:r>
        <w:rPr>
          <w:rFonts w:ascii="Arial" w:eastAsia="Arial" w:hAnsi="Arial" w:cs="Arial"/>
          <w:i/>
          <w:color w:val="000000"/>
          <w:highlight w:val="white"/>
        </w:rPr>
        <w:t>E. coli</w:t>
      </w:r>
      <w:r>
        <w:rPr>
          <w:rFonts w:ascii="Arial" w:eastAsia="Arial" w:hAnsi="Arial" w:cs="Arial"/>
          <w:color w:val="000000"/>
          <w:highlight w:val="white"/>
        </w:rPr>
        <w:t> (EHEC) in a clinical specimen</w:t>
      </w:r>
      <w:r>
        <w:rPr>
          <w:rFonts w:ascii="Arial" w:eastAsia="Arial" w:hAnsi="Arial" w:cs="Arial"/>
          <w:color w:val="000000"/>
          <w:highlight w:val="white"/>
        </w:rPr>
        <w:t xml:space="preserve"> using a CIDT.</w:t>
      </w:r>
    </w:p>
    <w:p w14:paraId="0000001D" w14:textId="77777777" w:rsidR="003F65C1" w:rsidRDefault="003F65C1">
      <w:pPr>
        <w:pStyle w:val="Heading2"/>
        <w:spacing w:before="0"/>
        <w:rPr>
          <w:rFonts w:ascii="Arial" w:eastAsia="Arial" w:hAnsi="Arial" w:cs="Arial"/>
          <w:color w:val="333333"/>
          <w:sz w:val="24"/>
          <w:szCs w:val="24"/>
          <w:highlight w:val="white"/>
        </w:rPr>
      </w:pPr>
    </w:p>
    <w:p w14:paraId="0000001E"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Epidemiologic Linkage</w:t>
      </w:r>
    </w:p>
    <w:p w14:paraId="0000001F"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A clinically compatible illness in a person that is epidemiologically linked to a confirmed or probable case with laboratory evidence </w:t>
      </w:r>
      <w:r>
        <w:rPr>
          <w:rFonts w:ascii="Arial" w:eastAsia="Arial" w:hAnsi="Arial" w:cs="Arial"/>
          <w:b/>
          <w:color w:val="000000"/>
          <w:highlight w:val="white"/>
        </w:rPr>
        <w:t>OR</w:t>
      </w:r>
    </w:p>
    <w:p w14:paraId="00000020"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A clinically compatible illness in a person that is a member of a risk group as d</w:t>
      </w:r>
      <w:r>
        <w:rPr>
          <w:rFonts w:ascii="Arial" w:eastAsia="Arial" w:hAnsi="Arial" w:cs="Arial"/>
          <w:color w:val="000000"/>
          <w:highlight w:val="white"/>
        </w:rPr>
        <w:t>efined by public health authorities during an outbreak.</w:t>
      </w:r>
    </w:p>
    <w:p w14:paraId="00000021" w14:textId="77777777" w:rsidR="003F65C1" w:rsidRDefault="003F65C1">
      <w:pPr>
        <w:pStyle w:val="Heading2"/>
        <w:spacing w:before="0"/>
        <w:rPr>
          <w:rFonts w:ascii="Arial" w:eastAsia="Arial" w:hAnsi="Arial" w:cs="Arial"/>
          <w:color w:val="333333"/>
          <w:sz w:val="24"/>
          <w:szCs w:val="24"/>
          <w:highlight w:val="white"/>
        </w:rPr>
      </w:pPr>
    </w:p>
    <w:p w14:paraId="00000022"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Criteria to Distinguish a New Case from an Existing Case</w:t>
      </w:r>
    </w:p>
    <w:p w14:paraId="00000023" w14:textId="77777777" w:rsidR="003F65C1" w:rsidRDefault="003F65C1"/>
    <w:p w14:paraId="00000024" w14:textId="77777777" w:rsidR="003F65C1" w:rsidRDefault="009607EC">
      <w:pPr>
        <w:pBdr>
          <w:top w:val="nil"/>
          <w:left w:val="nil"/>
          <w:bottom w:val="nil"/>
          <w:right w:val="nil"/>
          <w:between w:val="nil"/>
        </w:pBdr>
        <w:rPr>
          <w:rFonts w:ascii="Arial" w:eastAsia="Arial" w:hAnsi="Arial" w:cs="Arial"/>
          <w:b/>
          <w:color w:val="000000"/>
          <w:highlight w:val="white"/>
        </w:rPr>
      </w:pPr>
      <w:r>
        <w:rPr>
          <w:rFonts w:ascii="Arial" w:eastAsia="Arial" w:hAnsi="Arial" w:cs="Arial"/>
          <w:color w:val="000000"/>
          <w:highlight w:val="white"/>
        </w:rPr>
        <w:t>A new case should be created when a positive laboratory result is received more than 180 days after the most recent positive laboratory result associated with a previously reported case in the same individual. (See formula referenced in Appendix B of the 2</w:t>
      </w:r>
      <w:r>
        <w:rPr>
          <w:rFonts w:ascii="Arial" w:eastAsia="Arial" w:hAnsi="Arial" w:cs="Arial"/>
          <w:color w:val="000000"/>
          <w:highlight w:val="white"/>
        </w:rPr>
        <w:t>017 CSTE Position Statement [17-ID-10] for details on time period calculation, hierarchy of dates and interpretation). </w:t>
      </w:r>
      <w:r>
        <w:rPr>
          <w:rFonts w:ascii="Arial" w:eastAsia="Arial" w:hAnsi="Arial" w:cs="Arial"/>
          <w:b/>
          <w:color w:val="000000"/>
          <w:highlight w:val="white"/>
        </w:rPr>
        <w:t>OR</w:t>
      </w:r>
    </w:p>
    <w:p w14:paraId="00000025" w14:textId="77777777" w:rsidR="003F65C1" w:rsidRDefault="003F65C1">
      <w:pPr>
        <w:pBdr>
          <w:top w:val="nil"/>
          <w:left w:val="nil"/>
          <w:bottom w:val="nil"/>
          <w:right w:val="nil"/>
          <w:between w:val="nil"/>
        </w:pBdr>
        <w:rPr>
          <w:rFonts w:ascii="Arial" w:eastAsia="Arial" w:hAnsi="Arial" w:cs="Arial"/>
          <w:color w:val="000000"/>
          <w:highlight w:val="white"/>
        </w:rPr>
      </w:pPr>
    </w:p>
    <w:p w14:paraId="00000026"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 xml:space="preserve">When two or more different </w:t>
      </w:r>
      <w:proofErr w:type="spellStart"/>
      <w:r>
        <w:rPr>
          <w:rFonts w:ascii="Arial" w:eastAsia="Arial" w:hAnsi="Arial" w:cs="Arial"/>
          <w:color w:val="000000"/>
          <w:highlight w:val="white"/>
        </w:rPr>
        <w:t>serogroups</w:t>
      </w:r>
      <w:proofErr w:type="spellEnd"/>
      <w:r>
        <w:rPr>
          <w:rFonts w:ascii="Arial" w:eastAsia="Arial" w:hAnsi="Arial" w:cs="Arial"/>
          <w:color w:val="000000"/>
          <w:highlight w:val="white"/>
        </w:rPr>
        <w:t xml:space="preserve">/serotypes are identified in one or more specimens from the same individual, each </w:t>
      </w:r>
      <w:proofErr w:type="spellStart"/>
      <w:r>
        <w:rPr>
          <w:rFonts w:ascii="Arial" w:eastAsia="Arial" w:hAnsi="Arial" w:cs="Arial"/>
          <w:color w:val="000000"/>
          <w:highlight w:val="white"/>
        </w:rPr>
        <w:t>serogroup</w:t>
      </w:r>
      <w:proofErr w:type="spellEnd"/>
      <w:r>
        <w:rPr>
          <w:rFonts w:ascii="Arial" w:eastAsia="Arial" w:hAnsi="Arial" w:cs="Arial"/>
          <w:color w:val="000000"/>
          <w:highlight w:val="white"/>
        </w:rPr>
        <w:t>/sero</w:t>
      </w:r>
      <w:r>
        <w:rPr>
          <w:rFonts w:ascii="Arial" w:eastAsia="Arial" w:hAnsi="Arial" w:cs="Arial"/>
          <w:color w:val="000000"/>
          <w:highlight w:val="white"/>
        </w:rPr>
        <w:t>type should be reported as a separate case.</w:t>
      </w:r>
    </w:p>
    <w:p w14:paraId="00000027" w14:textId="77777777" w:rsidR="003F65C1" w:rsidRDefault="003F65C1">
      <w:pPr>
        <w:pBdr>
          <w:top w:val="nil"/>
          <w:left w:val="nil"/>
          <w:bottom w:val="nil"/>
          <w:right w:val="nil"/>
          <w:between w:val="nil"/>
        </w:pBdr>
        <w:rPr>
          <w:rFonts w:ascii="Arial" w:eastAsia="Arial" w:hAnsi="Arial" w:cs="Arial"/>
          <w:color w:val="000000"/>
          <w:highlight w:val="white"/>
        </w:rPr>
      </w:pPr>
    </w:p>
    <w:p w14:paraId="00000028" w14:textId="77777777" w:rsidR="003F65C1" w:rsidRDefault="009607EC">
      <w:pPr>
        <w:pStyle w:val="Heading2"/>
        <w:shd w:val="clear" w:color="auto" w:fill="FFFFFF"/>
        <w:spacing w:before="0"/>
        <w:rPr>
          <w:rFonts w:ascii="Arial" w:eastAsia="Arial" w:hAnsi="Arial" w:cs="Arial"/>
          <w:color w:val="333333"/>
          <w:sz w:val="24"/>
          <w:szCs w:val="24"/>
        </w:rPr>
      </w:pPr>
      <w:r>
        <w:rPr>
          <w:rFonts w:ascii="Arial" w:eastAsia="Arial" w:hAnsi="Arial" w:cs="Arial"/>
          <w:color w:val="333333"/>
          <w:sz w:val="24"/>
          <w:szCs w:val="24"/>
        </w:rPr>
        <w:t>Case Classification</w:t>
      </w:r>
    </w:p>
    <w:p w14:paraId="00000029" w14:textId="77777777" w:rsidR="003F65C1" w:rsidRDefault="003F65C1">
      <w:pPr>
        <w:pStyle w:val="Heading3"/>
        <w:spacing w:before="0"/>
        <w:rPr>
          <w:rFonts w:ascii="Arial" w:eastAsia="Arial" w:hAnsi="Arial" w:cs="Arial"/>
          <w:color w:val="222222"/>
          <w:highlight w:val="white"/>
        </w:rPr>
      </w:pPr>
    </w:p>
    <w:p w14:paraId="0000002A"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Suspected</w:t>
      </w:r>
    </w:p>
    <w:p w14:paraId="0000002B" w14:textId="77777777" w:rsidR="003F65C1" w:rsidRDefault="009607EC">
      <w:pPr>
        <w:numPr>
          <w:ilvl w:val="0"/>
          <w:numId w:val="13"/>
        </w:numPr>
        <w:rPr>
          <w:color w:val="000000"/>
          <w:highlight w:val="white"/>
        </w:rPr>
      </w:pPr>
      <w:r>
        <w:rPr>
          <w:rFonts w:ascii="Arial" w:eastAsia="Arial" w:hAnsi="Arial" w:cs="Arial"/>
          <w:color w:val="000000"/>
          <w:highlight w:val="white"/>
        </w:rPr>
        <w:t xml:space="preserve">Identification of an elevated antibody titer against a known Shiga toxin-producing </w:t>
      </w:r>
      <w:proofErr w:type="spellStart"/>
      <w:r>
        <w:rPr>
          <w:rFonts w:ascii="Arial" w:eastAsia="Arial" w:hAnsi="Arial" w:cs="Arial"/>
          <w:color w:val="000000"/>
          <w:highlight w:val="white"/>
        </w:rPr>
        <w:t>serogroup</w:t>
      </w:r>
      <w:proofErr w:type="spellEnd"/>
      <w:r>
        <w:rPr>
          <w:rFonts w:ascii="Arial" w:eastAsia="Arial" w:hAnsi="Arial" w:cs="Arial"/>
          <w:color w:val="000000"/>
          <w:highlight w:val="white"/>
        </w:rPr>
        <w:t xml:space="preserve"> of E.coli in a person with no known clinical compatibility, </w:t>
      </w:r>
      <w:r>
        <w:rPr>
          <w:rFonts w:ascii="Arial" w:eastAsia="Arial" w:hAnsi="Arial" w:cs="Arial"/>
          <w:b/>
          <w:color w:val="000000"/>
          <w:highlight w:val="white"/>
        </w:rPr>
        <w:t>OR</w:t>
      </w:r>
    </w:p>
    <w:p w14:paraId="0000002C" w14:textId="77777777" w:rsidR="003F65C1" w:rsidRDefault="009607EC">
      <w:pPr>
        <w:numPr>
          <w:ilvl w:val="0"/>
          <w:numId w:val="13"/>
        </w:numPr>
        <w:rPr>
          <w:color w:val="000000"/>
          <w:highlight w:val="white"/>
        </w:rPr>
      </w:pPr>
      <w:r>
        <w:rPr>
          <w:rFonts w:ascii="Arial" w:eastAsia="Arial" w:hAnsi="Arial" w:cs="Arial"/>
          <w:color w:val="000000"/>
          <w:highlight w:val="white"/>
        </w:rPr>
        <w:t xml:space="preserve">Detection of Shiga toxin or Shiga toxin genes in a clinical specimen using a CIDT and no known isolation of </w:t>
      </w:r>
      <w:proofErr w:type="spellStart"/>
      <w:r>
        <w:rPr>
          <w:rFonts w:ascii="Arial" w:eastAsia="Arial" w:hAnsi="Arial" w:cs="Arial"/>
          <w:color w:val="000000"/>
          <w:highlight w:val="white"/>
        </w:rPr>
        <w:t>Shigella</w:t>
      </w:r>
      <w:proofErr w:type="spellEnd"/>
      <w:r>
        <w:rPr>
          <w:rFonts w:ascii="Arial" w:eastAsia="Arial" w:hAnsi="Arial" w:cs="Arial"/>
          <w:color w:val="000000"/>
          <w:highlight w:val="white"/>
        </w:rPr>
        <w:t xml:space="preserve"> from a clinical specimen in a person with no known clinical compatibility, </w:t>
      </w:r>
      <w:r>
        <w:rPr>
          <w:rFonts w:ascii="Arial" w:eastAsia="Arial" w:hAnsi="Arial" w:cs="Arial"/>
          <w:b/>
          <w:color w:val="000000"/>
          <w:highlight w:val="white"/>
        </w:rPr>
        <w:t>OR</w:t>
      </w:r>
    </w:p>
    <w:p w14:paraId="0000002D" w14:textId="77777777" w:rsidR="003F65C1" w:rsidRDefault="009607EC">
      <w:pPr>
        <w:numPr>
          <w:ilvl w:val="0"/>
          <w:numId w:val="13"/>
        </w:numPr>
        <w:rPr>
          <w:color w:val="000000"/>
          <w:highlight w:val="white"/>
        </w:rPr>
      </w:pPr>
      <w:r>
        <w:rPr>
          <w:rFonts w:ascii="Arial" w:eastAsia="Arial" w:hAnsi="Arial" w:cs="Arial"/>
          <w:color w:val="000000"/>
          <w:highlight w:val="white"/>
        </w:rPr>
        <w:t>Detection of E. coli O157 or STEC/EHEC in a clinical specimen</w:t>
      </w:r>
      <w:r>
        <w:rPr>
          <w:rFonts w:ascii="Arial" w:eastAsia="Arial" w:hAnsi="Arial" w:cs="Arial"/>
          <w:color w:val="000000"/>
          <w:highlight w:val="white"/>
        </w:rPr>
        <w:t xml:space="preserve"> using a CIDT in a person with no known clinical compatibility, </w:t>
      </w:r>
      <w:r>
        <w:rPr>
          <w:rFonts w:ascii="Arial" w:eastAsia="Arial" w:hAnsi="Arial" w:cs="Arial"/>
          <w:b/>
          <w:color w:val="000000"/>
          <w:highlight w:val="white"/>
        </w:rPr>
        <w:t>OR</w:t>
      </w:r>
    </w:p>
    <w:p w14:paraId="0000002E" w14:textId="77777777" w:rsidR="003F65C1" w:rsidRDefault="009607EC">
      <w:pPr>
        <w:numPr>
          <w:ilvl w:val="0"/>
          <w:numId w:val="13"/>
        </w:numPr>
        <w:rPr>
          <w:color w:val="000000"/>
          <w:highlight w:val="white"/>
        </w:rPr>
      </w:pPr>
      <w:r>
        <w:rPr>
          <w:rFonts w:ascii="Arial" w:eastAsia="Arial" w:hAnsi="Arial" w:cs="Arial"/>
          <w:color w:val="000000"/>
          <w:highlight w:val="white"/>
        </w:rPr>
        <w:t>A person with a diagnosis of post-diarrheal HUS/TTP (see HUS case definition).</w:t>
      </w:r>
    </w:p>
    <w:p w14:paraId="0000002F" w14:textId="77777777" w:rsidR="003F65C1" w:rsidRDefault="003F65C1">
      <w:pPr>
        <w:pStyle w:val="Heading3"/>
        <w:spacing w:before="0"/>
        <w:rPr>
          <w:rFonts w:ascii="Arial" w:eastAsia="Arial" w:hAnsi="Arial" w:cs="Arial"/>
          <w:color w:val="222222"/>
          <w:highlight w:val="white"/>
        </w:rPr>
      </w:pPr>
    </w:p>
    <w:p w14:paraId="00000030"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Probable</w:t>
      </w:r>
    </w:p>
    <w:p w14:paraId="00000031" w14:textId="77777777" w:rsidR="003F65C1" w:rsidRDefault="009607EC">
      <w:pPr>
        <w:numPr>
          <w:ilvl w:val="0"/>
          <w:numId w:val="1"/>
        </w:numPr>
        <w:rPr>
          <w:color w:val="000000"/>
          <w:highlight w:val="white"/>
        </w:rPr>
      </w:pPr>
      <w:r>
        <w:rPr>
          <w:rFonts w:ascii="Arial" w:eastAsia="Arial" w:hAnsi="Arial" w:cs="Arial"/>
          <w:color w:val="000000"/>
          <w:highlight w:val="white"/>
        </w:rPr>
        <w:t>A person with isolation of </w:t>
      </w:r>
      <w:r>
        <w:rPr>
          <w:rFonts w:ascii="Arial" w:eastAsia="Arial" w:hAnsi="Arial" w:cs="Arial"/>
          <w:i/>
          <w:color w:val="000000"/>
          <w:highlight w:val="white"/>
        </w:rPr>
        <w:t>E. coli</w:t>
      </w:r>
      <w:r>
        <w:rPr>
          <w:rFonts w:ascii="Arial" w:eastAsia="Arial" w:hAnsi="Arial" w:cs="Arial"/>
          <w:color w:val="000000"/>
          <w:highlight w:val="white"/>
        </w:rPr>
        <w:t xml:space="preserve"> O157 from a clinical specimen without confirmation of H antigen, </w:t>
      </w:r>
      <w:r>
        <w:rPr>
          <w:rFonts w:ascii="Arial" w:eastAsia="Arial" w:hAnsi="Arial" w:cs="Arial"/>
          <w:color w:val="000000"/>
          <w:highlight w:val="white"/>
        </w:rPr>
        <w:t>detection of Shiga toxin or detection of Shiga toxin genes, </w:t>
      </w:r>
      <w:r>
        <w:rPr>
          <w:rFonts w:ascii="Arial" w:eastAsia="Arial" w:hAnsi="Arial" w:cs="Arial"/>
          <w:b/>
          <w:color w:val="000000"/>
          <w:highlight w:val="white"/>
        </w:rPr>
        <w:t>OR</w:t>
      </w:r>
    </w:p>
    <w:p w14:paraId="00000032" w14:textId="77777777" w:rsidR="003F65C1" w:rsidRDefault="009607EC">
      <w:pPr>
        <w:numPr>
          <w:ilvl w:val="0"/>
          <w:numId w:val="1"/>
        </w:numPr>
        <w:rPr>
          <w:color w:val="000000"/>
          <w:highlight w:val="white"/>
        </w:rPr>
      </w:pPr>
      <w:r>
        <w:rPr>
          <w:rFonts w:ascii="Arial" w:eastAsia="Arial" w:hAnsi="Arial" w:cs="Arial"/>
          <w:color w:val="000000"/>
          <w:highlight w:val="white"/>
        </w:rPr>
        <w:t xml:space="preserve">A clinically compatible illness in a person with identification of an elevated antibody titer against a known Shiga toxin-producing </w:t>
      </w:r>
      <w:proofErr w:type="spellStart"/>
      <w:r>
        <w:rPr>
          <w:rFonts w:ascii="Arial" w:eastAsia="Arial" w:hAnsi="Arial" w:cs="Arial"/>
          <w:color w:val="000000"/>
          <w:highlight w:val="white"/>
        </w:rPr>
        <w:t>serogroup</w:t>
      </w:r>
      <w:proofErr w:type="spellEnd"/>
      <w:r>
        <w:rPr>
          <w:rFonts w:ascii="Arial" w:eastAsia="Arial" w:hAnsi="Arial" w:cs="Arial"/>
          <w:color w:val="000000"/>
          <w:highlight w:val="white"/>
        </w:rPr>
        <w:t xml:space="preserve"> of </w:t>
      </w:r>
      <w:r>
        <w:rPr>
          <w:rFonts w:ascii="Arial" w:eastAsia="Arial" w:hAnsi="Arial" w:cs="Arial"/>
          <w:i/>
          <w:color w:val="000000"/>
          <w:highlight w:val="white"/>
        </w:rPr>
        <w:t>E. coli</w:t>
      </w:r>
      <w:r>
        <w:rPr>
          <w:rFonts w:ascii="Arial" w:eastAsia="Arial" w:hAnsi="Arial" w:cs="Arial"/>
          <w:color w:val="000000"/>
          <w:highlight w:val="white"/>
        </w:rPr>
        <w:t>, </w:t>
      </w:r>
      <w:r>
        <w:rPr>
          <w:rFonts w:ascii="Arial" w:eastAsia="Arial" w:hAnsi="Arial" w:cs="Arial"/>
          <w:b/>
          <w:color w:val="000000"/>
          <w:highlight w:val="white"/>
        </w:rPr>
        <w:t>OR</w:t>
      </w:r>
    </w:p>
    <w:p w14:paraId="00000033" w14:textId="77777777" w:rsidR="003F65C1" w:rsidRDefault="009607EC">
      <w:pPr>
        <w:numPr>
          <w:ilvl w:val="0"/>
          <w:numId w:val="1"/>
        </w:numPr>
        <w:rPr>
          <w:color w:val="000000"/>
          <w:highlight w:val="white"/>
        </w:rPr>
      </w:pPr>
      <w:r>
        <w:rPr>
          <w:rFonts w:ascii="Arial" w:eastAsia="Arial" w:hAnsi="Arial" w:cs="Arial"/>
          <w:color w:val="000000"/>
          <w:highlight w:val="white"/>
        </w:rPr>
        <w:lastRenderedPageBreak/>
        <w:t>A clinically compatible illness in a</w:t>
      </w:r>
      <w:r>
        <w:rPr>
          <w:rFonts w:ascii="Arial" w:eastAsia="Arial" w:hAnsi="Arial" w:cs="Arial"/>
          <w:color w:val="000000"/>
          <w:highlight w:val="white"/>
        </w:rPr>
        <w:t xml:space="preserve"> person with detection of Shiga toxin or Shiga toxin genes in a clinical specimen using a CIDT and no known isolation of </w:t>
      </w:r>
      <w:proofErr w:type="spellStart"/>
      <w:r>
        <w:rPr>
          <w:rFonts w:ascii="Arial" w:eastAsia="Arial" w:hAnsi="Arial" w:cs="Arial"/>
          <w:i/>
          <w:color w:val="000000"/>
          <w:highlight w:val="white"/>
        </w:rPr>
        <w:t>Shigella</w:t>
      </w:r>
      <w:proofErr w:type="spellEnd"/>
      <w:r>
        <w:rPr>
          <w:rFonts w:ascii="Arial" w:eastAsia="Arial" w:hAnsi="Arial" w:cs="Arial"/>
          <w:color w:val="000000"/>
          <w:highlight w:val="white"/>
        </w:rPr>
        <w:t> from a clinical specimen, </w:t>
      </w:r>
      <w:r>
        <w:rPr>
          <w:rFonts w:ascii="Arial" w:eastAsia="Arial" w:hAnsi="Arial" w:cs="Arial"/>
          <w:b/>
          <w:color w:val="000000"/>
          <w:highlight w:val="white"/>
        </w:rPr>
        <w:t>OR</w:t>
      </w:r>
    </w:p>
    <w:p w14:paraId="00000034" w14:textId="77777777" w:rsidR="003F65C1" w:rsidRDefault="009607EC">
      <w:pPr>
        <w:numPr>
          <w:ilvl w:val="0"/>
          <w:numId w:val="1"/>
        </w:numPr>
        <w:rPr>
          <w:color w:val="000000"/>
          <w:highlight w:val="white"/>
        </w:rPr>
      </w:pPr>
      <w:r>
        <w:rPr>
          <w:rFonts w:ascii="Arial" w:eastAsia="Arial" w:hAnsi="Arial" w:cs="Arial"/>
          <w:color w:val="000000"/>
          <w:highlight w:val="white"/>
        </w:rPr>
        <w:t>A clinically compatible illness in a person with detection of E. coli O157 or STEC/EHEC from a cl</w:t>
      </w:r>
      <w:r>
        <w:rPr>
          <w:rFonts w:ascii="Arial" w:eastAsia="Arial" w:hAnsi="Arial" w:cs="Arial"/>
          <w:color w:val="000000"/>
          <w:highlight w:val="white"/>
        </w:rPr>
        <w:t>inical specimen using a CIDT, </w:t>
      </w:r>
      <w:r>
        <w:rPr>
          <w:rFonts w:ascii="Arial" w:eastAsia="Arial" w:hAnsi="Arial" w:cs="Arial"/>
          <w:b/>
          <w:color w:val="000000"/>
          <w:highlight w:val="white"/>
        </w:rPr>
        <w:t>OR</w:t>
      </w:r>
    </w:p>
    <w:p w14:paraId="00000035" w14:textId="77777777" w:rsidR="003F65C1" w:rsidRDefault="009607EC">
      <w:pPr>
        <w:numPr>
          <w:ilvl w:val="0"/>
          <w:numId w:val="1"/>
        </w:numPr>
        <w:rPr>
          <w:color w:val="000000"/>
          <w:highlight w:val="white"/>
        </w:rPr>
      </w:pPr>
      <w:r>
        <w:rPr>
          <w:rFonts w:ascii="Arial" w:eastAsia="Arial" w:hAnsi="Arial" w:cs="Arial"/>
          <w:color w:val="000000"/>
          <w:highlight w:val="white"/>
        </w:rPr>
        <w:t>A clinically compatible illness in a person that is epidemiologically linked to a confirmed or probable case with laboratory evidence, </w:t>
      </w:r>
      <w:r>
        <w:rPr>
          <w:rFonts w:ascii="Arial" w:eastAsia="Arial" w:hAnsi="Arial" w:cs="Arial"/>
          <w:b/>
          <w:color w:val="000000"/>
          <w:highlight w:val="white"/>
        </w:rPr>
        <w:t>OR</w:t>
      </w:r>
    </w:p>
    <w:p w14:paraId="00000036" w14:textId="77777777" w:rsidR="003F65C1" w:rsidRDefault="009607EC">
      <w:pPr>
        <w:numPr>
          <w:ilvl w:val="0"/>
          <w:numId w:val="1"/>
        </w:numPr>
        <w:rPr>
          <w:color w:val="000000"/>
          <w:highlight w:val="white"/>
        </w:rPr>
      </w:pPr>
      <w:r>
        <w:rPr>
          <w:rFonts w:ascii="Arial" w:eastAsia="Arial" w:hAnsi="Arial" w:cs="Arial"/>
          <w:color w:val="000000"/>
          <w:highlight w:val="white"/>
        </w:rPr>
        <w:t>A clinically compatible illness in a person that is a member of a risk group as defin</w:t>
      </w:r>
      <w:r>
        <w:rPr>
          <w:rFonts w:ascii="Arial" w:eastAsia="Arial" w:hAnsi="Arial" w:cs="Arial"/>
          <w:color w:val="000000"/>
          <w:highlight w:val="white"/>
        </w:rPr>
        <w:t>ed by public health authorities during an outbreak.</w:t>
      </w:r>
    </w:p>
    <w:p w14:paraId="00000037" w14:textId="77777777" w:rsidR="003F65C1" w:rsidRDefault="003F65C1">
      <w:pPr>
        <w:ind w:left="720"/>
        <w:rPr>
          <w:rFonts w:ascii="Arial" w:eastAsia="Arial" w:hAnsi="Arial" w:cs="Arial"/>
          <w:color w:val="000000"/>
          <w:highlight w:val="white"/>
        </w:rPr>
      </w:pPr>
    </w:p>
    <w:p w14:paraId="00000038"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Confirmed</w:t>
      </w:r>
    </w:p>
    <w:p w14:paraId="00000039" w14:textId="77777777" w:rsidR="003F65C1" w:rsidRDefault="009607EC">
      <w:pPr>
        <w:numPr>
          <w:ilvl w:val="0"/>
          <w:numId w:val="2"/>
        </w:numPr>
        <w:rPr>
          <w:color w:val="000000"/>
          <w:highlight w:val="white"/>
        </w:rPr>
      </w:pPr>
      <w:r>
        <w:rPr>
          <w:rFonts w:ascii="Arial" w:eastAsia="Arial" w:hAnsi="Arial" w:cs="Arial"/>
          <w:color w:val="000000"/>
          <w:highlight w:val="white"/>
        </w:rPr>
        <w:t>A person that meets the confirmatory laboratory criteria for diagnosis.</w:t>
      </w:r>
    </w:p>
    <w:p w14:paraId="0000003A" w14:textId="77777777" w:rsidR="003F65C1" w:rsidRDefault="003F65C1">
      <w:pPr>
        <w:rPr>
          <w:rFonts w:ascii="Arial" w:eastAsia="Arial" w:hAnsi="Arial" w:cs="Arial"/>
          <w:color w:val="000000"/>
          <w:highlight w:val="white"/>
        </w:rPr>
      </w:pPr>
    </w:p>
    <w:p w14:paraId="0000003B" w14:textId="77777777" w:rsidR="003F65C1" w:rsidRDefault="009607EC">
      <w:pPr>
        <w:pStyle w:val="Heading1"/>
        <w:shd w:val="clear" w:color="auto" w:fill="FFFFFF"/>
        <w:spacing w:line="480" w:lineRule="auto"/>
        <w:rPr>
          <w:rFonts w:ascii="Arial" w:eastAsia="Arial" w:hAnsi="Arial" w:cs="Arial"/>
          <w:color w:val="222222"/>
          <w:sz w:val="24"/>
          <w:szCs w:val="24"/>
        </w:rPr>
      </w:pPr>
      <w:r>
        <w:rPr>
          <w:rFonts w:ascii="Arial" w:eastAsia="Arial" w:hAnsi="Arial" w:cs="Arial"/>
          <w:color w:val="222222"/>
          <w:sz w:val="24"/>
          <w:szCs w:val="24"/>
        </w:rPr>
        <w:t>Shiga Toxin-producing </w:t>
      </w:r>
      <w:r>
        <w:rPr>
          <w:rFonts w:ascii="Arial" w:eastAsia="Arial" w:hAnsi="Arial" w:cs="Arial"/>
          <w:i/>
          <w:color w:val="222222"/>
          <w:sz w:val="24"/>
          <w:szCs w:val="24"/>
        </w:rPr>
        <w:t>Escherichia coli</w:t>
      </w:r>
      <w:r>
        <w:rPr>
          <w:rFonts w:ascii="Arial" w:eastAsia="Arial" w:hAnsi="Arial" w:cs="Arial"/>
          <w:color w:val="222222"/>
          <w:sz w:val="24"/>
          <w:szCs w:val="24"/>
        </w:rPr>
        <w:t> (STEC)</w:t>
      </w:r>
      <w:r>
        <w:rPr>
          <w:rFonts w:ascii="Arial" w:eastAsia="Arial" w:hAnsi="Arial" w:cs="Arial"/>
          <w:color w:val="222222"/>
          <w:sz w:val="24"/>
          <w:szCs w:val="24"/>
        </w:rPr>
        <w:br/>
      </w:r>
    </w:p>
    <w:p w14:paraId="0000003C" w14:textId="77777777" w:rsidR="003F65C1" w:rsidRDefault="009607EC">
      <w:pPr>
        <w:pStyle w:val="Heading1"/>
        <w:shd w:val="clear" w:color="auto" w:fill="FFFFFF"/>
        <w:spacing w:line="480" w:lineRule="auto"/>
        <w:rPr>
          <w:rFonts w:ascii="Arial" w:eastAsia="Arial" w:hAnsi="Arial" w:cs="Arial"/>
          <w:color w:val="222222"/>
          <w:sz w:val="24"/>
          <w:szCs w:val="24"/>
        </w:rPr>
      </w:pPr>
      <w:r>
        <w:rPr>
          <w:rFonts w:ascii="Arial" w:eastAsia="Arial" w:hAnsi="Arial" w:cs="Arial"/>
          <w:color w:val="222222"/>
          <w:sz w:val="24"/>
          <w:szCs w:val="24"/>
        </w:rPr>
        <w:t>2014 Case Definition</w:t>
      </w:r>
    </w:p>
    <w:p w14:paraId="0000003D" w14:textId="77777777" w:rsidR="003F65C1" w:rsidRDefault="003F65C1">
      <w:pPr>
        <w:pStyle w:val="Heading2"/>
        <w:spacing w:before="0"/>
        <w:rPr>
          <w:rFonts w:ascii="Arial" w:eastAsia="Arial" w:hAnsi="Arial" w:cs="Arial"/>
          <w:color w:val="333333"/>
          <w:sz w:val="24"/>
          <w:szCs w:val="24"/>
          <w:highlight w:val="white"/>
        </w:rPr>
      </w:pPr>
    </w:p>
    <w:p w14:paraId="0000003E"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Background</w:t>
      </w:r>
    </w:p>
    <w:p w14:paraId="0000003F" w14:textId="77777777" w:rsidR="003F65C1" w:rsidRDefault="003F65C1">
      <w:pPr>
        <w:pBdr>
          <w:top w:val="nil"/>
          <w:left w:val="nil"/>
          <w:bottom w:val="nil"/>
          <w:right w:val="nil"/>
          <w:between w:val="nil"/>
        </w:pBdr>
        <w:rPr>
          <w:rFonts w:ascii="Arial" w:eastAsia="Arial" w:hAnsi="Arial" w:cs="Arial"/>
          <w:color w:val="000000"/>
          <w:highlight w:val="white"/>
        </w:rPr>
      </w:pPr>
    </w:p>
    <w:p w14:paraId="00000040"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Shiga-toxin producing </w:t>
      </w:r>
      <w:r>
        <w:rPr>
          <w:rFonts w:ascii="Arial" w:eastAsia="Arial" w:hAnsi="Arial" w:cs="Arial"/>
          <w:i/>
          <w:color w:val="000000"/>
          <w:highlight w:val="white"/>
        </w:rPr>
        <w:t>Escherichia coli</w:t>
      </w:r>
      <w:r>
        <w:rPr>
          <w:rFonts w:ascii="Arial" w:eastAsia="Arial" w:hAnsi="Arial" w:cs="Arial"/>
          <w:color w:val="000000"/>
          <w:highlight w:val="white"/>
        </w:rPr>
        <w:t xml:space="preserve"> (STEC) can cause illness that ranges from mild diarrhea to bloody diarrhea, and life-threatening hemolytic uremic syndrome (HUS). STEC are categorized into </w:t>
      </w:r>
      <w:proofErr w:type="spellStart"/>
      <w:r>
        <w:rPr>
          <w:rFonts w:ascii="Arial" w:eastAsia="Arial" w:hAnsi="Arial" w:cs="Arial"/>
          <w:color w:val="000000"/>
          <w:highlight w:val="white"/>
        </w:rPr>
        <w:t>serogroups</w:t>
      </w:r>
      <w:proofErr w:type="spellEnd"/>
      <w:r>
        <w:rPr>
          <w:rFonts w:ascii="Arial" w:eastAsia="Arial" w:hAnsi="Arial" w:cs="Arial"/>
          <w:color w:val="000000"/>
          <w:highlight w:val="white"/>
        </w:rPr>
        <w:t xml:space="preserve"> by their somatic O antigen. The STEC </w:t>
      </w:r>
      <w:proofErr w:type="spellStart"/>
      <w:r>
        <w:rPr>
          <w:rFonts w:ascii="Arial" w:eastAsia="Arial" w:hAnsi="Arial" w:cs="Arial"/>
          <w:color w:val="000000"/>
          <w:highlight w:val="white"/>
        </w:rPr>
        <w:t>serogroup</w:t>
      </w:r>
      <w:proofErr w:type="spellEnd"/>
      <w:r>
        <w:rPr>
          <w:rFonts w:ascii="Arial" w:eastAsia="Arial" w:hAnsi="Arial" w:cs="Arial"/>
          <w:color w:val="000000"/>
          <w:highlight w:val="white"/>
        </w:rPr>
        <w:t xml:space="preserve"> </w:t>
      </w:r>
      <w:r>
        <w:rPr>
          <w:rFonts w:ascii="Arial" w:eastAsia="Arial" w:hAnsi="Arial" w:cs="Arial"/>
          <w:color w:val="000000"/>
          <w:highlight w:val="white"/>
        </w:rPr>
        <w:lastRenderedPageBreak/>
        <w:t>most commonly identified and associated w</w:t>
      </w:r>
      <w:r>
        <w:rPr>
          <w:rFonts w:ascii="Arial" w:eastAsia="Arial" w:hAnsi="Arial" w:cs="Arial"/>
          <w:color w:val="000000"/>
          <w:highlight w:val="white"/>
        </w:rPr>
        <w:t>ith severe illness in the United States is </w:t>
      </w:r>
      <w:r>
        <w:rPr>
          <w:rFonts w:ascii="Arial" w:eastAsia="Arial" w:hAnsi="Arial" w:cs="Arial"/>
          <w:i/>
          <w:color w:val="000000"/>
          <w:highlight w:val="white"/>
        </w:rPr>
        <w:t>E. coli</w:t>
      </w:r>
      <w:r>
        <w:rPr>
          <w:rFonts w:ascii="Arial" w:eastAsia="Arial" w:hAnsi="Arial" w:cs="Arial"/>
          <w:color w:val="000000"/>
          <w:highlight w:val="white"/>
        </w:rPr>
        <w:t xml:space="preserve"> O157; however, there are over 50 other </w:t>
      </w:r>
      <w:proofErr w:type="spellStart"/>
      <w:r>
        <w:rPr>
          <w:rFonts w:ascii="Arial" w:eastAsia="Arial" w:hAnsi="Arial" w:cs="Arial"/>
          <w:color w:val="000000"/>
          <w:highlight w:val="white"/>
        </w:rPr>
        <w:t>serogroups</w:t>
      </w:r>
      <w:proofErr w:type="spellEnd"/>
      <w:r>
        <w:rPr>
          <w:rFonts w:ascii="Arial" w:eastAsia="Arial" w:hAnsi="Arial" w:cs="Arial"/>
          <w:color w:val="000000"/>
          <w:highlight w:val="white"/>
        </w:rPr>
        <w:t xml:space="preserve"> that can cause illness.</w:t>
      </w:r>
    </w:p>
    <w:p w14:paraId="00000041"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Clinical Description</w:t>
      </w:r>
    </w:p>
    <w:p w14:paraId="00000042"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An infection of variable severity characterized by diarrhea (often bloody) and abdominal cramps. Illness may b</w:t>
      </w:r>
      <w:r>
        <w:rPr>
          <w:rFonts w:ascii="Arial" w:eastAsia="Arial" w:hAnsi="Arial" w:cs="Arial"/>
          <w:color w:val="000000"/>
          <w:highlight w:val="white"/>
        </w:rPr>
        <w:t xml:space="preserve">e complicated by Hemolytic Uremic Syndrome (HUS). (Note, some clinicians still use the term thrombotic thrombocytopenic purpura [TTP] for adults with post-diarrheal HUS.); asymptomatic infections also may occur, and the organism may rarely cause </w:t>
      </w:r>
      <w:proofErr w:type="spellStart"/>
      <w:r>
        <w:rPr>
          <w:rFonts w:ascii="Arial" w:eastAsia="Arial" w:hAnsi="Arial" w:cs="Arial"/>
          <w:color w:val="000000"/>
          <w:highlight w:val="white"/>
        </w:rPr>
        <w:t>extraintes</w:t>
      </w:r>
      <w:r>
        <w:rPr>
          <w:rFonts w:ascii="Arial" w:eastAsia="Arial" w:hAnsi="Arial" w:cs="Arial"/>
          <w:color w:val="000000"/>
          <w:highlight w:val="white"/>
        </w:rPr>
        <w:t>tinal</w:t>
      </w:r>
      <w:proofErr w:type="spellEnd"/>
      <w:r>
        <w:rPr>
          <w:rFonts w:ascii="Arial" w:eastAsia="Arial" w:hAnsi="Arial" w:cs="Arial"/>
          <w:color w:val="000000"/>
          <w:highlight w:val="white"/>
        </w:rPr>
        <w:t xml:space="preserve"> infections.</w:t>
      </w:r>
    </w:p>
    <w:p w14:paraId="00000043" w14:textId="77777777" w:rsidR="003F65C1" w:rsidRDefault="003F65C1">
      <w:pPr>
        <w:pStyle w:val="Heading1"/>
        <w:shd w:val="clear" w:color="auto" w:fill="FFFFFF"/>
        <w:spacing w:line="480" w:lineRule="auto"/>
        <w:rPr>
          <w:rFonts w:ascii="Arial" w:eastAsia="Arial" w:hAnsi="Arial" w:cs="Arial"/>
          <w:color w:val="222222"/>
          <w:sz w:val="24"/>
          <w:szCs w:val="24"/>
        </w:rPr>
      </w:pPr>
    </w:p>
    <w:p w14:paraId="00000044"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Laboratory Criteria </w:t>
      </w:r>
      <w:proofErr w:type="gramStart"/>
      <w:r>
        <w:rPr>
          <w:rFonts w:ascii="Arial" w:eastAsia="Arial" w:hAnsi="Arial" w:cs="Arial"/>
          <w:color w:val="333333"/>
          <w:sz w:val="24"/>
          <w:szCs w:val="24"/>
          <w:highlight w:val="white"/>
        </w:rPr>
        <w:t>For</w:t>
      </w:r>
      <w:proofErr w:type="gramEnd"/>
      <w:r>
        <w:rPr>
          <w:rFonts w:ascii="Arial" w:eastAsia="Arial" w:hAnsi="Arial" w:cs="Arial"/>
          <w:color w:val="333333"/>
          <w:sz w:val="24"/>
          <w:szCs w:val="24"/>
          <w:highlight w:val="white"/>
        </w:rPr>
        <w:t xml:space="preserve"> Diagnosis</w:t>
      </w:r>
    </w:p>
    <w:p w14:paraId="00000045" w14:textId="77777777" w:rsidR="003F65C1" w:rsidRDefault="003F65C1"/>
    <w:p w14:paraId="00000046"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Laboratory confirmed</w:t>
      </w:r>
    </w:p>
    <w:p w14:paraId="00000047" w14:textId="77777777" w:rsidR="003F65C1" w:rsidRDefault="009607EC">
      <w:pPr>
        <w:numPr>
          <w:ilvl w:val="0"/>
          <w:numId w:val="3"/>
        </w:numPr>
        <w:rPr>
          <w:color w:val="000000"/>
          <w:highlight w:val="white"/>
        </w:rPr>
      </w:pPr>
      <w:r>
        <w:rPr>
          <w:rFonts w:ascii="Arial" w:eastAsia="Arial" w:hAnsi="Arial" w:cs="Arial"/>
          <w:color w:val="000000"/>
          <w:highlight w:val="white"/>
        </w:rPr>
        <w:t>Isolation of STEC from a clinical specimen. </w:t>
      </w:r>
      <w:r>
        <w:rPr>
          <w:rFonts w:ascii="Arial" w:eastAsia="Arial" w:hAnsi="Arial" w:cs="Arial"/>
          <w:i/>
          <w:color w:val="000000"/>
          <w:highlight w:val="white"/>
        </w:rPr>
        <w:t>Escherichia coli</w:t>
      </w:r>
      <w:r>
        <w:rPr>
          <w:rFonts w:ascii="Arial" w:eastAsia="Arial" w:hAnsi="Arial" w:cs="Arial"/>
          <w:color w:val="000000"/>
          <w:highlight w:val="white"/>
        </w:rPr>
        <w:t> O157 isolates that produce the H7 antigen may be assumed to be Shiga toxin-producing. For all other </w:t>
      </w:r>
      <w:r>
        <w:rPr>
          <w:rFonts w:ascii="Arial" w:eastAsia="Arial" w:hAnsi="Arial" w:cs="Arial"/>
          <w:i/>
          <w:color w:val="000000"/>
          <w:highlight w:val="white"/>
        </w:rPr>
        <w:t>E. coli</w:t>
      </w:r>
      <w:r>
        <w:rPr>
          <w:rFonts w:ascii="Arial" w:eastAsia="Arial" w:hAnsi="Arial" w:cs="Arial"/>
          <w:color w:val="000000"/>
          <w:highlight w:val="white"/>
        </w:rPr>
        <w:t> isolates, Shiga toxin production or the presence of Shiga toxin genes must be determined to be considered STEC.</w:t>
      </w:r>
    </w:p>
    <w:p w14:paraId="00000048" w14:textId="77777777" w:rsidR="003F65C1" w:rsidRDefault="009607EC">
      <w:pPr>
        <w:numPr>
          <w:ilvl w:val="0"/>
          <w:numId w:val="3"/>
        </w:numPr>
        <w:rPr>
          <w:color w:val="000000"/>
          <w:highlight w:val="white"/>
        </w:rPr>
      </w:pPr>
      <w:r>
        <w:rPr>
          <w:rFonts w:ascii="Arial" w:eastAsia="Arial" w:hAnsi="Arial" w:cs="Arial"/>
          <w:color w:val="000000"/>
          <w:highlight w:val="white"/>
        </w:rPr>
        <w:t>Both asymptomatic infections and infections at sites other than the gastrointestinal tract, if laboratory confirmed, are considered confirmed c</w:t>
      </w:r>
      <w:r>
        <w:rPr>
          <w:rFonts w:ascii="Arial" w:eastAsia="Arial" w:hAnsi="Arial" w:cs="Arial"/>
          <w:color w:val="000000"/>
          <w:highlight w:val="white"/>
        </w:rPr>
        <w:t>ases that should be reported.</w:t>
      </w:r>
    </w:p>
    <w:p w14:paraId="00000049" w14:textId="77777777" w:rsidR="003F65C1" w:rsidRDefault="003F65C1">
      <w:pPr>
        <w:pBdr>
          <w:top w:val="nil"/>
          <w:left w:val="nil"/>
          <w:bottom w:val="nil"/>
          <w:right w:val="nil"/>
          <w:between w:val="nil"/>
        </w:pBdr>
        <w:rPr>
          <w:rFonts w:ascii="Arial" w:eastAsia="Arial" w:hAnsi="Arial" w:cs="Arial"/>
          <w:color w:val="000000"/>
          <w:highlight w:val="white"/>
        </w:rPr>
      </w:pPr>
    </w:p>
    <w:p w14:paraId="0000004A"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Supportive laboratory results</w:t>
      </w:r>
    </w:p>
    <w:p w14:paraId="0000004B" w14:textId="77777777" w:rsidR="003F65C1" w:rsidRDefault="009607EC">
      <w:pPr>
        <w:numPr>
          <w:ilvl w:val="0"/>
          <w:numId w:val="4"/>
        </w:numPr>
        <w:rPr>
          <w:color w:val="000000"/>
          <w:highlight w:val="white"/>
        </w:rPr>
      </w:pPr>
      <w:r>
        <w:rPr>
          <w:rFonts w:ascii="Arial" w:eastAsia="Arial" w:hAnsi="Arial" w:cs="Arial"/>
          <w:color w:val="000000"/>
          <w:highlight w:val="white"/>
        </w:rPr>
        <w:t>A case with isolation of </w:t>
      </w:r>
      <w:r>
        <w:rPr>
          <w:rFonts w:ascii="Arial" w:eastAsia="Arial" w:hAnsi="Arial" w:cs="Arial"/>
          <w:i/>
          <w:color w:val="000000"/>
          <w:highlight w:val="white"/>
        </w:rPr>
        <w:t>E. coli</w:t>
      </w:r>
      <w:r>
        <w:rPr>
          <w:rFonts w:ascii="Arial" w:eastAsia="Arial" w:hAnsi="Arial" w:cs="Arial"/>
          <w:color w:val="000000"/>
          <w:highlight w:val="white"/>
        </w:rPr>
        <w:t> O157 from a clinical specimen, without confirmation of H antigen or Shiga toxin production</w:t>
      </w:r>
    </w:p>
    <w:p w14:paraId="0000004C" w14:textId="77777777" w:rsidR="003F65C1" w:rsidRDefault="009607EC">
      <w:pPr>
        <w:numPr>
          <w:ilvl w:val="0"/>
          <w:numId w:val="4"/>
        </w:numPr>
        <w:rPr>
          <w:color w:val="000000"/>
          <w:highlight w:val="white"/>
        </w:rPr>
      </w:pPr>
      <w:r>
        <w:rPr>
          <w:rFonts w:ascii="Arial" w:eastAsia="Arial" w:hAnsi="Arial" w:cs="Arial"/>
          <w:color w:val="000000"/>
          <w:highlight w:val="white"/>
        </w:rPr>
        <w:t>Identification of an elevated antibody titer to a known STEC serotype f</w:t>
      </w:r>
      <w:r>
        <w:rPr>
          <w:rFonts w:ascii="Arial" w:eastAsia="Arial" w:hAnsi="Arial" w:cs="Arial"/>
          <w:color w:val="000000"/>
          <w:highlight w:val="white"/>
        </w:rPr>
        <w:t>rom a clinically compatible case</w:t>
      </w:r>
    </w:p>
    <w:p w14:paraId="0000004D" w14:textId="77777777" w:rsidR="003F65C1" w:rsidRDefault="009607EC">
      <w:pPr>
        <w:numPr>
          <w:ilvl w:val="0"/>
          <w:numId w:val="4"/>
        </w:numPr>
        <w:rPr>
          <w:color w:val="000000"/>
          <w:highlight w:val="white"/>
        </w:rPr>
      </w:pPr>
      <w:r>
        <w:rPr>
          <w:rFonts w:ascii="Arial" w:eastAsia="Arial" w:hAnsi="Arial" w:cs="Arial"/>
          <w:color w:val="000000"/>
          <w:highlight w:val="white"/>
        </w:rPr>
        <w:t>Identification of Shiga toxin in a specimen from a clinically compatible case without the isolation of STEC</w:t>
      </w:r>
    </w:p>
    <w:p w14:paraId="0000004E" w14:textId="77777777" w:rsidR="003F65C1" w:rsidRDefault="003F65C1">
      <w:pPr>
        <w:pStyle w:val="Heading2"/>
        <w:spacing w:before="0"/>
        <w:rPr>
          <w:rFonts w:ascii="Arial" w:eastAsia="Arial" w:hAnsi="Arial" w:cs="Arial"/>
          <w:color w:val="333333"/>
          <w:sz w:val="24"/>
          <w:szCs w:val="24"/>
          <w:highlight w:val="white"/>
        </w:rPr>
      </w:pPr>
    </w:p>
    <w:p w14:paraId="0000004F"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Epidemiologic Linkage</w:t>
      </w:r>
    </w:p>
    <w:p w14:paraId="00000050"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A clinically compatible case that is epidemiologically linked to a confirmed or probable cas</w:t>
      </w:r>
      <w:r>
        <w:rPr>
          <w:rFonts w:ascii="Arial" w:eastAsia="Arial" w:hAnsi="Arial" w:cs="Arial"/>
          <w:color w:val="000000"/>
          <w:highlight w:val="white"/>
        </w:rPr>
        <w:t>e.</w:t>
      </w:r>
    </w:p>
    <w:p w14:paraId="00000051" w14:textId="77777777" w:rsidR="003F65C1" w:rsidRDefault="003F65C1">
      <w:pPr>
        <w:pStyle w:val="Heading2"/>
        <w:shd w:val="clear" w:color="auto" w:fill="FFFFFF"/>
        <w:spacing w:before="0"/>
        <w:rPr>
          <w:rFonts w:ascii="Arial" w:eastAsia="Arial" w:hAnsi="Arial" w:cs="Arial"/>
          <w:color w:val="333333"/>
          <w:sz w:val="24"/>
          <w:szCs w:val="24"/>
        </w:rPr>
      </w:pPr>
    </w:p>
    <w:p w14:paraId="00000052" w14:textId="77777777" w:rsidR="003F65C1" w:rsidRDefault="009607EC">
      <w:pPr>
        <w:pStyle w:val="Heading2"/>
        <w:shd w:val="clear" w:color="auto" w:fill="FFFFFF"/>
        <w:spacing w:before="0"/>
        <w:rPr>
          <w:rFonts w:ascii="Arial" w:eastAsia="Arial" w:hAnsi="Arial" w:cs="Arial"/>
          <w:color w:val="333333"/>
          <w:sz w:val="24"/>
          <w:szCs w:val="24"/>
        </w:rPr>
      </w:pPr>
      <w:r>
        <w:rPr>
          <w:rFonts w:ascii="Arial" w:eastAsia="Arial" w:hAnsi="Arial" w:cs="Arial"/>
          <w:color w:val="333333"/>
          <w:sz w:val="24"/>
          <w:szCs w:val="24"/>
        </w:rPr>
        <w:t>Case Classification</w:t>
      </w:r>
    </w:p>
    <w:p w14:paraId="00000053" w14:textId="77777777" w:rsidR="003F65C1" w:rsidRDefault="003F65C1">
      <w:pPr>
        <w:pStyle w:val="Heading3"/>
        <w:spacing w:before="0"/>
        <w:rPr>
          <w:rFonts w:ascii="Arial" w:eastAsia="Arial" w:hAnsi="Arial" w:cs="Arial"/>
          <w:color w:val="222222"/>
          <w:highlight w:val="white"/>
        </w:rPr>
      </w:pPr>
    </w:p>
    <w:p w14:paraId="00000054"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Suspected</w:t>
      </w:r>
    </w:p>
    <w:p w14:paraId="00000055" w14:textId="77777777" w:rsidR="003F65C1" w:rsidRDefault="009607EC">
      <w:pPr>
        <w:numPr>
          <w:ilvl w:val="0"/>
          <w:numId w:val="6"/>
        </w:numPr>
        <w:rPr>
          <w:color w:val="000000"/>
          <w:highlight w:val="white"/>
        </w:rPr>
      </w:pPr>
      <w:r>
        <w:rPr>
          <w:rFonts w:ascii="Arial" w:eastAsia="Arial" w:hAnsi="Arial" w:cs="Arial"/>
          <w:color w:val="000000"/>
          <w:highlight w:val="white"/>
        </w:rPr>
        <w:t xml:space="preserve">A case of </w:t>
      </w:r>
      <w:proofErr w:type="spellStart"/>
      <w:r>
        <w:rPr>
          <w:rFonts w:ascii="Arial" w:eastAsia="Arial" w:hAnsi="Arial" w:cs="Arial"/>
          <w:color w:val="000000"/>
          <w:highlight w:val="white"/>
        </w:rPr>
        <w:t>postdiarrheal</w:t>
      </w:r>
      <w:proofErr w:type="spellEnd"/>
      <w:r>
        <w:rPr>
          <w:rFonts w:ascii="Arial" w:eastAsia="Arial" w:hAnsi="Arial" w:cs="Arial"/>
          <w:color w:val="000000"/>
          <w:highlight w:val="white"/>
        </w:rPr>
        <w:t xml:space="preserve"> HUS (see HUS case definition) </w:t>
      </w:r>
      <w:r>
        <w:rPr>
          <w:rFonts w:ascii="Arial" w:eastAsia="Arial" w:hAnsi="Arial" w:cs="Arial"/>
          <w:b/>
          <w:color w:val="000000"/>
          <w:highlight w:val="white"/>
        </w:rPr>
        <w:t>OR</w:t>
      </w:r>
    </w:p>
    <w:p w14:paraId="00000056" w14:textId="77777777" w:rsidR="003F65C1" w:rsidRDefault="009607EC">
      <w:pPr>
        <w:numPr>
          <w:ilvl w:val="0"/>
          <w:numId w:val="6"/>
        </w:numPr>
        <w:rPr>
          <w:color w:val="000000"/>
          <w:highlight w:val="white"/>
        </w:rPr>
      </w:pPr>
      <w:r>
        <w:rPr>
          <w:rFonts w:ascii="Arial" w:eastAsia="Arial" w:hAnsi="Arial" w:cs="Arial"/>
          <w:color w:val="000000"/>
          <w:highlight w:val="white"/>
        </w:rPr>
        <w:t>Identification of Shiga toxin in a specimen from a clinically compatible case without the isolation of STEC</w:t>
      </w:r>
    </w:p>
    <w:p w14:paraId="00000057" w14:textId="77777777" w:rsidR="003F65C1" w:rsidRDefault="003F65C1">
      <w:pPr>
        <w:pStyle w:val="Heading3"/>
        <w:spacing w:before="0"/>
        <w:rPr>
          <w:rFonts w:ascii="Arial" w:eastAsia="Arial" w:hAnsi="Arial" w:cs="Arial"/>
          <w:color w:val="222222"/>
          <w:highlight w:val="white"/>
        </w:rPr>
      </w:pPr>
    </w:p>
    <w:p w14:paraId="00000058"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Probable</w:t>
      </w:r>
    </w:p>
    <w:p w14:paraId="00000059" w14:textId="77777777" w:rsidR="003F65C1" w:rsidRDefault="009607EC">
      <w:pPr>
        <w:numPr>
          <w:ilvl w:val="0"/>
          <w:numId w:val="8"/>
        </w:numPr>
        <w:rPr>
          <w:color w:val="000000"/>
          <w:highlight w:val="white"/>
        </w:rPr>
      </w:pPr>
      <w:r>
        <w:rPr>
          <w:rFonts w:ascii="Arial" w:eastAsia="Arial" w:hAnsi="Arial" w:cs="Arial"/>
          <w:color w:val="000000"/>
          <w:highlight w:val="white"/>
        </w:rPr>
        <w:t>A case with isolation of </w:t>
      </w:r>
      <w:r>
        <w:rPr>
          <w:rFonts w:ascii="Arial" w:eastAsia="Arial" w:hAnsi="Arial" w:cs="Arial"/>
          <w:i/>
          <w:color w:val="000000"/>
          <w:highlight w:val="white"/>
        </w:rPr>
        <w:t>E. coli</w:t>
      </w:r>
      <w:r>
        <w:rPr>
          <w:rFonts w:ascii="Arial" w:eastAsia="Arial" w:hAnsi="Arial" w:cs="Arial"/>
          <w:color w:val="000000"/>
          <w:highlight w:val="white"/>
        </w:rPr>
        <w:t> O157 from a clinical specimen, without confirmation of H antigen or Shiga toxin production. </w:t>
      </w:r>
      <w:r>
        <w:rPr>
          <w:rFonts w:ascii="Arial" w:eastAsia="Arial" w:hAnsi="Arial" w:cs="Arial"/>
          <w:b/>
          <w:color w:val="000000"/>
          <w:highlight w:val="white"/>
        </w:rPr>
        <w:t>OR</w:t>
      </w:r>
    </w:p>
    <w:p w14:paraId="0000005A" w14:textId="77777777" w:rsidR="003F65C1" w:rsidRDefault="009607EC">
      <w:pPr>
        <w:numPr>
          <w:ilvl w:val="0"/>
          <w:numId w:val="8"/>
        </w:numPr>
        <w:rPr>
          <w:color w:val="000000"/>
          <w:highlight w:val="white"/>
        </w:rPr>
      </w:pPr>
      <w:r>
        <w:rPr>
          <w:rFonts w:ascii="Arial" w:eastAsia="Arial" w:hAnsi="Arial" w:cs="Arial"/>
          <w:color w:val="000000"/>
          <w:highlight w:val="white"/>
        </w:rPr>
        <w:t>A clinically compatible case who is a contact of an STEC case or is a member of a defined risk group during an outbreak. </w:t>
      </w:r>
      <w:r>
        <w:rPr>
          <w:rFonts w:ascii="Arial" w:eastAsia="Arial" w:hAnsi="Arial" w:cs="Arial"/>
          <w:b/>
          <w:color w:val="000000"/>
          <w:highlight w:val="white"/>
        </w:rPr>
        <w:t>OR</w:t>
      </w:r>
    </w:p>
    <w:p w14:paraId="0000005B" w14:textId="77777777" w:rsidR="003F65C1" w:rsidRDefault="009607EC">
      <w:pPr>
        <w:numPr>
          <w:ilvl w:val="0"/>
          <w:numId w:val="8"/>
        </w:numPr>
        <w:rPr>
          <w:color w:val="000000"/>
          <w:highlight w:val="white"/>
        </w:rPr>
      </w:pPr>
      <w:r>
        <w:rPr>
          <w:rFonts w:ascii="Arial" w:eastAsia="Arial" w:hAnsi="Arial" w:cs="Arial"/>
          <w:color w:val="000000"/>
          <w:highlight w:val="white"/>
        </w:rPr>
        <w:t>Identification of an elevated antibo</w:t>
      </w:r>
      <w:r>
        <w:rPr>
          <w:rFonts w:ascii="Arial" w:eastAsia="Arial" w:hAnsi="Arial" w:cs="Arial"/>
          <w:color w:val="000000"/>
          <w:highlight w:val="white"/>
        </w:rPr>
        <w:t>dy titer to a known STEC serotype from a clinically compatible case</w:t>
      </w:r>
    </w:p>
    <w:p w14:paraId="0000005C"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Confirmed</w:t>
      </w:r>
    </w:p>
    <w:p w14:paraId="0000005D" w14:textId="77777777" w:rsidR="003F65C1" w:rsidRDefault="009607EC">
      <w:pPr>
        <w:numPr>
          <w:ilvl w:val="0"/>
          <w:numId w:val="5"/>
        </w:numPr>
        <w:rPr>
          <w:color w:val="000000"/>
          <w:highlight w:val="white"/>
        </w:rPr>
      </w:pPr>
      <w:r>
        <w:rPr>
          <w:rFonts w:ascii="Arial" w:eastAsia="Arial" w:hAnsi="Arial" w:cs="Arial"/>
          <w:color w:val="000000"/>
          <w:highlight w:val="white"/>
        </w:rPr>
        <w:t>A case that meets the confirmed laboratory criteria for diagnosis. When available, O and H antigen serotype characterization should be reported.</w:t>
      </w:r>
    </w:p>
    <w:p w14:paraId="0000005E" w14:textId="77777777" w:rsidR="003F65C1" w:rsidRDefault="003F65C1">
      <w:pPr>
        <w:pStyle w:val="Heading1"/>
        <w:shd w:val="clear" w:color="auto" w:fill="FFFFFF"/>
        <w:spacing w:line="480" w:lineRule="auto"/>
        <w:rPr>
          <w:rFonts w:ascii="Arial" w:eastAsia="Arial" w:hAnsi="Arial" w:cs="Arial"/>
          <w:b w:val="0"/>
          <w:color w:val="222222"/>
          <w:sz w:val="24"/>
          <w:szCs w:val="24"/>
        </w:rPr>
      </w:pPr>
    </w:p>
    <w:p w14:paraId="0000005F" w14:textId="77777777" w:rsidR="003F65C1" w:rsidRDefault="009607EC">
      <w:pPr>
        <w:pStyle w:val="Heading1"/>
        <w:shd w:val="clear" w:color="auto" w:fill="FFFFFF"/>
        <w:spacing w:line="480" w:lineRule="auto"/>
        <w:rPr>
          <w:rFonts w:ascii="Arial" w:eastAsia="Arial" w:hAnsi="Arial" w:cs="Arial"/>
          <w:color w:val="222222"/>
          <w:sz w:val="24"/>
          <w:szCs w:val="24"/>
        </w:rPr>
      </w:pPr>
      <w:r>
        <w:rPr>
          <w:rFonts w:ascii="Arial" w:eastAsia="Arial" w:hAnsi="Arial" w:cs="Arial"/>
          <w:color w:val="222222"/>
          <w:sz w:val="24"/>
          <w:szCs w:val="24"/>
        </w:rPr>
        <w:t>Hemolytic Uremic Syndrome, Post-</w:t>
      </w:r>
      <w:r>
        <w:rPr>
          <w:rFonts w:ascii="Arial" w:eastAsia="Arial" w:hAnsi="Arial" w:cs="Arial"/>
          <w:color w:val="222222"/>
          <w:sz w:val="24"/>
          <w:szCs w:val="24"/>
        </w:rPr>
        <w:t>diarrheal (HUS</w:t>
      </w:r>
      <w:proofErr w:type="gramStart"/>
      <w:r>
        <w:rPr>
          <w:rFonts w:ascii="Arial" w:eastAsia="Arial" w:hAnsi="Arial" w:cs="Arial"/>
          <w:color w:val="222222"/>
          <w:sz w:val="24"/>
          <w:szCs w:val="24"/>
        </w:rPr>
        <w:t>)</w:t>
      </w:r>
      <w:proofErr w:type="gramEnd"/>
      <w:r>
        <w:rPr>
          <w:rFonts w:ascii="Arial" w:eastAsia="Arial" w:hAnsi="Arial" w:cs="Arial"/>
          <w:color w:val="222222"/>
          <w:sz w:val="24"/>
          <w:szCs w:val="24"/>
        </w:rPr>
        <w:br/>
        <w:t>1996 Case Definition</w:t>
      </w:r>
    </w:p>
    <w:p w14:paraId="00000060" w14:textId="77777777" w:rsidR="003F65C1" w:rsidRDefault="003F65C1">
      <w:pPr>
        <w:pStyle w:val="Heading2"/>
        <w:spacing w:before="0"/>
        <w:rPr>
          <w:rFonts w:ascii="Arial" w:eastAsia="Arial" w:hAnsi="Arial" w:cs="Arial"/>
          <w:color w:val="333333"/>
          <w:sz w:val="24"/>
          <w:szCs w:val="24"/>
          <w:highlight w:val="white"/>
        </w:rPr>
      </w:pPr>
    </w:p>
    <w:p w14:paraId="00000061"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Clinical Description</w:t>
      </w:r>
    </w:p>
    <w:p w14:paraId="00000062" w14:textId="77777777" w:rsidR="003F65C1" w:rsidRDefault="003F65C1"/>
    <w:p w14:paraId="00000063"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 xml:space="preserve">Hemolytic uremic syndrome (HUS) is characterized by the acute onset of </w:t>
      </w:r>
      <w:proofErr w:type="spellStart"/>
      <w:r>
        <w:rPr>
          <w:rFonts w:ascii="Arial" w:eastAsia="Arial" w:hAnsi="Arial" w:cs="Arial"/>
          <w:color w:val="000000"/>
          <w:highlight w:val="white"/>
        </w:rPr>
        <w:t>microangiopathic</w:t>
      </w:r>
      <w:proofErr w:type="spellEnd"/>
      <w:r>
        <w:rPr>
          <w:rFonts w:ascii="Arial" w:eastAsia="Arial" w:hAnsi="Arial" w:cs="Arial"/>
          <w:color w:val="000000"/>
          <w:highlight w:val="white"/>
        </w:rPr>
        <w:t xml:space="preserve"> hemolytic anemia, renal injury, and low platelet count. Thrombotic thrombocytopenic purpura (TTP) also is characterized by these features but can include central nervou</w:t>
      </w:r>
      <w:r>
        <w:rPr>
          <w:rFonts w:ascii="Arial" w:eastAsia="Arial" w:hAnsi="Arial" w:cs="Arial"/>
          <w:color w:val="000000"/>
          <w:highlight w:val="white"/>
        </w:rPr>
        <w:t>s system (CNS) involvement and fever and may have a more gradual onset. Most cases of HUS (but few cases of TTP) occur after an acute gastrointestinal illness (usually diarrheal).</w:t>
      </w:r>
    </w:p>
    <w:p w14:paraId="00000064" w14:textId="77777777" w:rsidR="003F65C1" w:rsidRDefault="003F65C1">
      <w:pPr>
        <w:pStyle w:val="Heading2"/>
        <w:spacing w:before="0"/>
        <w:rPr>
          <w:rFonts w:ascii="Arial" w:eastAsia="Arial" w:hAnsi="Arial" w:cs="Arial"/>
          <w:color w:val="333333"/>
          <w:sz w:val="24"/>
          <w:szCs w:val="24"/>
          <w:highlight w:val="white"/>
        </w:rPr>
      </w:pPr>
    </w:p>
    <w:p w14:paraId="00000065" w14:textId="77777777" w:rsidR="003F65C1" w:rsidRDefault="009607EC">
      <w:pPr>
        <w:pStyle w:val="Heading2"/>
        <w:spacing w:before="0"/>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Laboratory Criteria </w:t>
      </w:r>
      <w:proofErr w:type="gramStart"/>
      <w:r>
        <w:rPr>
          <w:rFonts w:ascii="Arial" w:eastAsia="Arial" w:hAnsi="Arial" w:cs="Arial"/>
          <w:color w:val="333333"/>
          <w:sz w:val="24"/>
          <w:szCs w:val="24"/>
          <w:highlight w:val="white"/>
        </w:rPr>
        <w:t>For</w:t>
      </w:r>
      <w:proofErr w:type="gramEnd"/>
      <w:r>
        <w:rPr>
          <w:rFonts w:ascii="Arial" w:eastAsia="Arial" w:hAnsi="Arial" w:cs="Arial"/>
          <w:color w:val="333333"/>
          <w:sz w:val="24"/>
          <w:szCs w:val="24"/>
          <w:highlight w:val="white"/>
        </w:rPr>
        <w:t xml:space="preserve"> Diagnosis</w:t>
      </w:r>
    </w:p>
    <w:p w14:paraId="00000066" w14:textId="77777777" w:rsidR="003F65C1" w:rsidRDefault="003F65C1">
      <w:pPr>
        <w:pBdr>
          <w:top w:val="nil"/>
          <w:left w:val="nil"/>
          <w:bottom w:val="nil"/>
          <w:right w:val="nil"/>
          <w:between w:val="nil"/>
        </w:pBdr>
        <w:rPr>
          <w:rFonts w:ascii="Arial" w:eastAsia="Arial" w:hAnsi="Arial" w:cs="Arial"/>
          <w:color w:val="000000"/>
          <w:highlight w:val="white"/>
        </w:rPr>
      </w:pPr>
    </w:p>
    <w:p w14:paraId="00000067"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The following are both present at some time during the illness:</w:t>
      </w:r>
    </w:p>
    <w:p w14:paraId="00000068" w14:textId="77777777" w:rsidR="003F65C1" w:rsidRDefault="009607EC">
      <w:pPr>
        <w:numPr>
          <w:ilvl w:val="0"/>
          <w:numId w:val="7"/>
        </w:numPr>
        <w:rPr>
          <w:color w:val="000000"/>
          <w:highlight w:val="white"/>
        </w:rPr>
      </w:pPr>
      <w:r>
        <w:rPr>
          <w:rFonts w:ascii="Arial" w:eastAsia="Arial" w:hAnsi="Arial" w:cs="Arial"/>
          <w:color w:val="000000"/>
          <w:highlight w:val="white"/>
        </w:rPr>
        <w:t xml:space="preserve">Anemia (acute onset) with </w:t>
      </w:r>
      <w:proofErr w:type="spellStart"/>
      <w:r>
        <w:rPr>
          <w:rFonts w:ascii="Arial" w:eastAsia="Arial" w:hAnsi="Arial" w:cs="Arial"/>
          <w:color w:val="000000"/>
          <w:highlight w:val="white"/>
        </w:rPr>
        <w:t>microangiopathic</w:t>
      </w:r>
      <w:proofErr w:type="spellEnd"/>
      <w:r>
        <w:rPr>
          <w:rFonts w:ascii="Arial" w:eastAsia="Arial" w:hAnsi="Arial" w:cs="Arial"/>
          <w:color w:val="000000"/>
          <w:highlight w:val="white"/>
        </w:rPr>
        <w:t xml:space="preserve"> changes (i.e., </w:t>
      </w:r>
      <w:proofErr w:type="spellStart"/>
      <w:r>
        <w:rPr>
          <w:rFonts w:ascii="Arial" w:eastAsia="Arial" w:hAnsi="Arial" w:cs="Arial"/>
          <w:color w:val="000000"/>
          <w:highlight w:val="white"/>
        </w:rPr>
        <w:t>schistocytes</w:t>
      </w:r>
      <w:proofErr w:type="spellEnd"/>
      <w:r>
        <w:rPr>
          <w:rFonts w:ascii="Arial" w:eastAsia="Arial" w:hAnsi="Arial" w:cs="Arial"/>
          <w:color w:val="000000"/>
          <w:highlight w:val="white"/>
        </w:rPr>
        <w:t>, burr cells, or helmet cells) on peripheral blood smear, </w:t>
      </w:r>
      <w:r>
        <w:rPr>
          <w:rFonts w:ascii="Arial" w:eastAsia="Arial" w:hAnsi="Arial" w:cs="Arial"/>
          <w:b/>
          <w:color w:val="000000"/>
          <w:highlight w:val="white"/>
        </w:rPr>
        <w:t>AND</w:t>
      </w:r>
    </w:p>
    <w:p w14:paraId="00000069" w14:textId="77777777" w:rsidR="003F65C1" w:rsidRDefault="009607EC">
      <w:pPr>
        <w:numPr>
          <w:ilvl w:val="0"/>
          <w:numId w:val="7"/>
        </w:numPr>
        <w:rPr>
          <w:color w:val="000000"/>
          <w:highlight w:val="white"/>
        </w:rPr>
      </w:pPr>
      <w:r>
        <w:rPr>
          <w:rFonts w:ascii="Arial" w:eastAsia="Arial" w:hAnsi="Arial" w:cs="Arial"/>
          <w:color w:val="000000"/>
          <w:highlight w:val="white"/>
        </w:rPr>
        <w:t>Renal injury (acute onset) evidenced by either hematuria, pr</w:t>
      </w:r>
      <w:r>
        <w:rPr>
          <w:rFonts w:ascii="Arial" w:eastAsia="Arial" w:hAnsi="Arial" w:cs="Arial"/>
          <w:color w:val="000000"/>
          <w:highlight w:val="white"/>
        </w:rPr>
        <w:t>oteinuria, or elevated creatinine level (i.e., greater than or equal to 1.0 mg/</w:t>
      </w:r>
      <w:proofErr w:type="spellStart"/>
      <w:r>
        <w:rPr>
          <w:rFonts w:ascii="Arial" w:eastAsia="Arial" w:hAnsi="Arial" w:cs="Arial"/>
          <w:color w:val="000000"/>
          <w:highlight w:val="white"/>
        </w:rPr>
        <w:t>dL</w:t>
      </w:r>
      <w:proofErr w:type="spellEnd"/>
      <w:r>
        <w:rPr>
          <w:rFonts w:ascii="Arial" w:eastAsia="Arial" w:hAnsi="Arial" w:cs="Arial"/>
          <w:color w:val="000000"/>
          <w:highlight w:val="white"/>
        </w:rPr>
        <w:t xml:space="preserve"> in a child aged less than 13 years or greater than or equal to 1.5 mg/</w:t>
      </w:r>
      <w:proofErr w:type="spellStart"/>
      <w:r>
        <w:rPr>
          <w:rFonts w:ascii="Arial" w:eastAsia="Arial" w:hAnsi="Arial" w:cs="Arial"/>
          <w:color w:val="000000"/>
          <w:highlight w:val="white"/>
        </w:rPr>
        <w:t>dL</w:t>
      </w:r>
      <w:proofErr w:type="spellEnd"/>
      <w:r>
        <w:rPr>
          <w:rFonts w:ascii="Arial" w:eastAsia="Arial" w:hAnsi="Arial" w:cs="Arial"/>
          <w:color w:val="000000"/>
          <w:highlight w:val="white"/>
        </w:rPr>
        <w:t xml:space="preserve"> in a person aged greater than or equal to 13 years, or greater than or equal to 50% increase over bas</w:t>
      </w:r>
      <w:r>
        <w:rPr>
          <w:rFonts w:ascii="Arial" w:eastAsia="Arial" w:hAnsi="Arial" w:cs="Arial"/>
          <w:color w:val="000000"/>
          <w:highlight w:val="white"/>
        </w:rPr>
        <w:t>eline)</w:t>
      </w:r>
    </w:p>
    <w:p w14:paraId="0000006A"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Note: A low platelet count can usually, but not always, be detected early in the illness, but it may then become normal or even high. If a platelet count obtained within 7 days after onset of the acute gastrointestinal illness is not less than 150,0</w:t>
      </w:r>
      <w:r>
        <w:rPr>
          <w:rFonts w:ascii="Arial" w:eastAsia="Arial" w:hAnsi="Arial" w:cs="Arial"/>
          <w:color w:val="000000"/>
          <w:highlight w:val="white"/>
        </w:rPr>
        <w:t>00/mm</w:t>
      </w:r>
      <w:r>
        <w:rPr>
          <w:rFonts w:ascii="Arial" w:eastAsia="Arial" w:hAnsi="Arial" w:cs="Arial"/>
          <w:color w:val="000000"/>
          <w:highlight w:val="white"/>
          <w:vertAlign w:val="superscript"/>
        </w:rPr>
        <w:t>3</w:t>
      </w:r>
      <w:r>
        <w:rPr>
          <w:rFonts w:ascii="Arial" w:eastAsia="Arial" w:hAnsi="Arial" w:cs="Arial"/>
          <w:color w:val="000000"/>
          <w:highlight w:val="white"/>
        </w:rPr>
        <w:t>, other diagnoses should be considered.</w:t>
      </w:r>
    </w:p>
    <w:p w14:paraId="0000006B" w14:textId="77777777" w:rsidR="003F65C1" w:rsidRDefault="003F65C1">
      <w:pPr>
        <w:pStyle w:val="Heading2"/>
        <w:shd w:val="clear" w:color="auto" w:fill="FFFFFF"/>
        <w:spacing w:before="0"/>
        <w:rPr>
          <w:rFonts w:ascii="Arial" w:eastAsia="Arial" w:hAnsi="Arial" w:cs="Arial"/>
          <w:color w:val="333333"/>
          <w:sz w:val="24"/>
          <w:szCs w:val="24"/>
        </w:rPr>
      </w:pPr>
    </w:p>
    <w:p w14:paraId="0000006C" w14:textId="77777777" w:rsidR="003F65C1" w:rsidRDefault="009607EC">
      <w:pPr>
        <w:pStyle w:val="Heading2"/>
        <w:shd w:val="clear" w:color="auto" w:fill="FFFFFF"/>
        <w:spacing w:before="0"/>
        <w:rPr>
          <w:rFonts w:ascii="Arial" w:eastAsia="Arial" w:hAnsi="Arial" w:cs="Arial"/>
          <w:color w:val="333333"/>
          <w:sz w:val="24"/>
          <w:szCs w:val="24"/>
        </w:rPr>
      </w:pPr>
      <w:r>
        <w:rPr>
          <w:rFonts w:ascii="Arial" w:eastAsia="Arial" w:hAnsi="Arial" w:cs="Arial"/>
          <w:color w:val="333333"/>
          <w:sz w:val="24"/>
          <w:szCs w:val="24"/>
        </w:rPr>
        <w:t>Case Classification</w:t>
      </w:r>
    </w:p>
    <w:p w14:paraId="0000006D" w14:textId="77777777" w:rsidR="003F65C1" w:rsidRDefault="003F65C1">
      <w:pPr>
        <w:pStyle w:val="Heading3"/>
        <w:spacing w:before="0"/>
        <w:rPr>
          <w:rFonts w:ascii="Arial" w:eastAsia="Arial" w:hAnsi="Arial" w:cs="Arial"/>
          <w:color w:val="222222"/>
          <w:highlight w:val="white"/>
        </w:rPr>
      </w:pPr>
    </w:p>
    <w:p w14:paraId="0000006E"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Probable</w:t>
      </w:r>
    </w:p>
    <w:p w14:paraId="0000006F" w14:textId="77777777" w:rsidR="003F65C1" w:rsidRDefault="009607EC">
      <w:pPr>
        <w:numPr>
          <w:ilvl w:val="0"/>
          <w:numId w:val="9"/>
        </w:numPr>
        <w:rPr>
          <w:color w:val="000000"/>
          <w:highlight w:val="white"/>
        </w:rPr>
      </w:pPr>
      <w:r>
        <w:rPr>
          <w:rFonts w:ascii="Arial" w:eastAsia="Arial" w:hAnsi="Arial" w:cs="Arial"/>
          <w:color w:val="000000"/>
          <w:highlight w:val="white"/>
        </w:rPr>
        <w:t>An acute illness diagnosed as HUS or TTP that meets the laboratory criteria in a patient who does not have a clear history of acute or bloody diarrhea in preceding 3 weeks, </w:t>
      </w:r>
      <w:r>
        <w:rPr>
          <w:rFonts w:ascii="Arial" w:eastAsia="Arial" w:hAnsi="Arial" w:cs="Arial"/>
          <w:b/>
          <w:color w:val="000000"/>
          <w:highlight w:val="white"/>
        </w:rPr>
        <w:t>OR</w:t>
      </w:r>
    </w:p>
    <w:p w14:paraId="00000070" w14:textId="77777777" w:rsidR="003F65C1" w:rsidRDefault="009607EC">
      <w:pPr>
        <w:numPr>
          <w:ilvl w:val="0"/>
          <w:numId w:val="9"/>
        </w:numPr>
        <w:rPr>
          <w:color w:val="000000"/>
          <w:highlight w:val="white"/>
        </w:rPr>
      </w:pPr>
      <w:r>
        <w:rPr>
          <w:rFonts w:ascii="Arial" w:eastAsia="Arial" w:hAnsi="Arial" w:cs="Arial"/>
          <w:color w:val="000000"/>
          <w:highlight w:val="white"/>
        </w:rPr>
        <w:t xml:space="preserve">An acute illness diagnosed as HUS or TTP, that a) has onset within 3 weeks after onset of an acute or bloody diarrhea and b) meets the laboratory criteria except that </w:t>
      </w:r>
      <w:proofErr w:type="spellStart"/>
      <w:r>
        <w:rPr>
          <w:rFonts w:ascii="Arial" w:eastAsia="Arial" w:hAnsi="Arial" w:cs="Arial"/>
          <w:color w:val="000000"/>
          <w:highlight w:val="white"/>
        </w:rPr>
        <w:t>microangiopathic</w:t>
      </w:r>
      <w:proofErr w:type="spellEnd"/>
      <w:r>
        <w:rPr>
          <w:rFonts w:ascii="Arial" w:eastAsia="Arial" w:hAnsi="Arial" w:cs="Arial"/>
          <w:color w:val="000000"/>
          <w:highlight w:val="white"/>
        </w:rPr>
        <w:t xml:space="preserve"> changes are not confirmed</w:t>
      </w:r>
    </w:p>
    <w:p w14:paraId="00000071" w14:textId="77777777" w:rsidR="003F65C1" w:rsidRDefault="003F65C1">
      <w:pPr>
        <w:pStyle w:val="Heading3"/>
        <w:spacing w:before="0"/>
        <w:rPr>
          <w:rFonts w:ascii="Arial" w:eastAsia="Arial" w:hAnsi="Arial" w:cs="Arial"/>
          <w:color w:val="222222"/>
          <w:highlight w:val="white"/>
        </w:rPr>
      </w:pPr>
    </w:p>
    <w:p w14:paraId="00000072" w14:textId="77777777" w:rsidR="003F65C1" w:rsidRDefault="009607EC">
      <w:pPr>
        <w:pStyle w:val="Heading3"/>
        <w:spacing w:before="0"/>
        <w:rPr>
          <w:rFonts w:ascii="Arial" w:eastAsia="Arial" w:hAnsi="Arial" w:cs="Arial"/>
          <w:color w:val="222222"/>
          <w:highlight w:val="white"/>
        </w:rPr>
      </w:pPr>
      <w:r>
        <w:rPr>
          <w:rFonts w:ascii="Arial" w:eastAsia="Arial" w:hAnsi="Arial" w:cs="Arial"/>
          <w:color w:val="222222"/>
          <w:highlight w:val="white"/>
        </w:rPr>
        <w:t>Confirmed</w:t>
      </w:r>
    </w:p>
    <w:p w14:paraId="00000073" w14:textId="77777777" w:rsidR="003F65C1" w:rsidRDefault="009607EC">
      <w:pPr>
        <w:pBdr>
          <w:top w:val="nil"/>
          <w:left w:val="nil"/>
          <w:bottom w:val="nil"/>
          <w:right w:val="nil"/>
          <w:between w:val="nil"/>
        </w:pBdr>
        <w:rPr>
          <w:rFonts w:ascii="Arial" w:eastAsia="Arial" w:hAnsi="Arial" w:cs="Arial"/>
          <w:color w:val="000000"/>
          <w:highlight w:val="white"/>
        </w:rPr>
      </w:pPr>
      <w:r>
        <w:rPr>
          <w:rFonts w:ascii="Arial" w:eastAsia="Arial" w:hAnsi="Arial" w:cs="Arial"/>
          <w:color w:val="000000"/>
          <w:highlight w:val="white"/>
        </w:rPr>
        <w:t>An acute illness diagnosed as HUS o</w:t>
      </w:r>
      <w:r>
        <w:rPr>
          <w:rFonts w:ascii="Arial" w:eastAsia="Arial" w:hAnsi="Arial" w:cs="Arial"/>
          <w:color w:val="000000"/>
          <w:highlight w:val="white"/>
        </w:rPr>
        <w:t>r TTP that both meets the laboratory criteria and began within 3 weeks after onset of an episode of acute or bloody diarrhea</w:t>
      </w:r>
    </w:p>
    <w:p w14:paraId="00000074" w14:textId="77777777" w:rsidR="003F65C1" w:rsidRDefault="003F65C1">
      <w:pPr>
        <w:pStyle w:val="Heading2"/>
        <w:shd w:val="clear" w:color="auto" w:fill="FFFFFF"/>
        <w:spacing w:before="0"/>
        <w:rPr>
          <w:rFonts w:ascii="Arial" w:eastAsia="Arial" w:hAnsi="Arial" w:cs="Arial"/>
          <w:color w:val="333333"/>
          <w:sz w:val="24"/>
          <w:szCs w:val="24"/>
        </w:rPr>
      </w:pPr>
    </w:p>
    <w:p w14:paraId="00000075" w14:textId="77777777" w:rsidR="003F65C1" w:rsidRDefault="009607EC">
      <w:pPr>
        <w:pStyle w:val="Heading2"/>
        <w:shd w:val="clear" w:color="auto" w:fill="FFFFFF"/>
        <w:spacing w:before="0"/>
        <w:rPr>
          <w:rFonts w:ascii="Arial" w:eastAsia="Arial" w:hAnsi="Arial" w:cs="Arial"/>
          <w:color w:val="333333"/>
          <w:sz w:val="24"/>
          <w:szCs w:val="24"/>
        </w:rPr>
      </w:pPr>
      <w:r>
        <w:rPr>
          <w:rFonts w:ascii="Arial" w:eastAsia="Arial" w:hAnsi="Arial" w:cs="Arial"/>
          <w:color w:val="333333"/>
          <w:sz w:val="24"/>
          <w:szCs w:val="24"/>
        </w:rPr>
        <w:t>Comments</w:t>
      </w:r>
    </w:p>
    <w:p w14:paraId="00000076" w14:textId="77777777" w:rsidR="003F65C1" w:rsidRDefault="009607EC">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Some investigators consider HUS and TTP to be part of a continuum of disease. Therefore, criteria for diagnosing TTP on the basis of CNS involvement and fever are not provided because cases diagnosed clinically as post-diarrheal TTP also should meet the cr</w:t>
      </w:r>
      <w:r>
        <w:rPr>
          <w:rFonts w:ascii="Arial" w:eastAsia="Arial" w:hAnsi="Arial" w:cs="Arial"/>
          <w:color w:val="000000"/>
        </w:rPr>
        <w:t>iteria for HUS. These cases are reported as post-diarrheal HUS. Most diarrhea-associated HUS is caused by Shiga toxin-producing </w:t>
      </w:r>
      <w:r>
        <w:rPr>
          <w:rFonts w:ascii="Arial" w:eastAsia="Arial" w:hAnsi="Arial" w:cs="Arial"/>
          <w:i/>
          <w:color w:val="000000"/>
        </w:rPr>
        <w:t>Escherichia coli</w:t>
      </w:r>
      <w:r>
        <w:rPr>
          <w:rFonts w:ascii="Arial" w:eastAsia="Arial" w:hAnsi="Arial" w:cs="Arial"/>
          <w:color w:val="000000"/>
        </w:rPr>
        <w:t>, most commonly </w:t>
      </w:r>
      <w:r>
        <w:rPr>
          <w:rFonts w:ascii="Arial" w:eastAsia="Arial" w:hAnsi="Arial" w:cs="Arial"/>
          <w:i/>
          <w:color w:val="000000"/>
        </w:rPr>
        <w:t>E. coli</w:t>
      </w:r>
      <w:r>
        <w:rPr>
          <w:rFonts w:ascii="Arial" w:eastAsia="Arial" w:hAnsi="Arial" w:cs="Arial"/>
          <w:color w:val="000000"/>
        </w:rPr>
        <w:t xml:space="preserve"> O157. If a patient meets the case definition for both </w:t>
      </w:r>
      <w:proofErr w:type="spellStart"/>
      <w:r>
        <w:rPr>
          <w:rFonts w:ascii="Arial" w:eastAsia="Arial" w:hAnsi="Arial" w:cs="Arial"/>
          <w:color w:val="000000"/>
        </w:rPr>
        <w:t>shiga</w:t>
      </w:r>
      <w:proofErr w:type="spellEnd"/>
      <w:r>
        <w:rPr>
          <w:rFonts w:ascii="Arial" w:eastAsia="Arial" w:hAnsi="Arial" w:cs="Arial"/>
          <w:color w:val="000000"/>
        </w:rPr>
        <w:t xml:space="preserve"> toxin-producing </w:t>
      </w:r>
      <w:r>
        <w:rPr>
          <w:rFonts w:ascii="Arial" w:eastAsia="Arial" w:hAnsi="Arial" w:cs="Arial"/>
          <w:i/>
          <w:color w:val="000000"/>
        </w:rPr>
        <w:t>E. coli</w:t>
      </w:r>
      <w:r>
        <w:rPr>
          <w:rFonts w:ascii="Arial" w:eastAsia="Arial" w:hAnsi="Arial" w:cs="Arial"/>
          <w:color w:val="000000"/>
        </w:rPr>
        <w:t> (STEC) and HUS, the case should be reported for each of the conditions.</w:t>
      </w:r>
    </w:p>
    <w:p w14:paraId="00000077" w14:textId="77777777" w:rsidR="003F65C1" w:rsidRDefault="009607EC">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The 1996 case definition appearing on this page was re-published in the 2009 CSTE position statement 09-ID-37. Thus, the 1996 and 2010 versions of the case definition are identical.</w:t>
      </w:r>
    </w:p>
    <w:p w14:paraId="00000078" w14:textId="77777777" w:rsidR="003F65C1" w:rsidRDefault="003F65C1">
      <w:pPr>
        <w:pBdr>
          <w:top w:val="nil"/>
          <w:left w:val="nil"/>
          <w:bottom w:val="nil"/>
          <w:right w:val="nil"/>
          <w:between w:val="nil"/>
        </w:pBdr>
        <w:shd w:val="clear" w:color="auto" w:fill="FFFFFF"/>
        <w:rPr>
          <w:rFonts w:ascii="Arial" w:eastAsia="Arial" w:hAnsi="Arial" w:cs="Arial"/>
          <w:color w:val="000000"/>
        </w:rPr>
      </w:pPr>
    </w:p>
    <w:p w14:paraId="00000079" w14:textId="77777777" w:rsidR="003F65C1" w:rsidRDefault="009607EC">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t>References Cited</w:t>
      </w:r>
    </w:p>
    <w:p w14:paraId="0000007A" w14:textId="77777777" w:rsidR="003F65C1" w:rsidRDefault="009607EC">
      <w:pPr>
        <w:numPr>
          <w:ilvl w:val="0"/>
          <w:numId w:val="10"/>
        </w:num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rPr>
        <w:t>Schomaker</w:t>
      </w:r>
      <w:proofErr w:type="spellEnd"/>
      <w:r>
        <w:rPr>
          <w:rFonts w:ascii="Arial" w:eastAsia="Arial" w:hAnsi="Arial" w:cs="Arial"/>
          <w:color w:val="000000"/>
        </w:rPr>
        <w:t>, M.</w:t>
      </w:r>
      <w:r>
        <w:rPr>
          <w:rFonts w:ascii="Arial" w:eastAsia="Arial" w:hAnsi="Arial" w:cs="Arial"/>
          <w:color w:val="000000"/>
          <w:highlight w:val="white"/>
        </w:rPr>
        <w:t xml:space="preserve">, </w:t>
      </w:r>
      <w:proofErr w:type="spellStart"/>
      <w:r>
        <w:rPr>
          <w:rFonts w:ascii="Arial" w:eastAsia="Arial" w:hAnsi="Arial" w:cs="Arial"/>
          <w:color w:val="000000"/>
          <w:highlight w:val="white"/>
        </w:rPr>
        <w:t>Heumann</w:t>
      </w:r>
      <w:proofErr w:type="spellEnd"/>
      <w:r>
        <w:rPr>
          <w:rFonts w:ascii="Arial" w:eastAsia="Arial" w:hAnsi="Arial" w:cs="Arial"/>
          <w:color w:val="000000"/>
          <w:highlight w:val="white"/>
        </w:rPr>
        <w:t xml:space="preserve">, C. (2018). </w:t>
      </w:r>
      <w:r>
        <w:rPr>
          <w:rFonts w:ascii="Arial" w:eastAsia="Arial" w:hAnsi="Arial" w:cs="Arial"/>
          <w:color w:val="000000"/>
        </w:rPr>
        <w:t xml:space="preserve">Bootstrap inference when using multiple imputation. </w:t>
      </w:r>
      <w:r>
        <w:rPr>
          <w:rFonts w:ascii="Arial" w:eastAsia="Arial" w:hAnsi="Arial" w:cs="Arial"/>
          <w:i/>
          <w:color w:val="000000"/>
        </w:rPr>
        <w:t>Stat Med</w:t>
      </w:r>
      <w:proofErr w:type="gramStart"/>
      <w:r>
        <w:rPr>
          <w:rFonts w:ascii="Arial" w:eastAsia="Arial" w:hAnsi="Arial" w:cs="Arial"/>
          <w:i/>
          <w:color w:val="000000"/>
        </w:rPr>
        <w:t>,37</w:t>
      </w:r>
      <w:r>
        <w:rPr>
          <w:rFonts w:ascii="Arial" w:eastAsia="Arial" w:hAnsi="Arial" w:cs="Arial"/>
          <w:color w:val="000000"/>
          <w:highlight w:val="white"/>
        </w:rPr>
        <w:t>:</w:t>
      </w:r>
      <w:r>
        <w:rPr>
          <w:rFonts w:ascii="Arial" w:eastAsia="Arial" w:hAnsi="Arial" w:cs="Arial"/>
          <w:color w:val="000000"/>
        </w:rPr>
        <w:t>2252</w:t>
      </w:r>
      <w:proofErr w:type="gramEnd"/>
      <w:r>
        <w:rPr>
          <w:rFonts w:ascii="Arial" w:eastAsia="Arial" w:hAnsi="Arial" w:cs="Arial"/>
          <w:color w:val="000000"/>
          <w:highlight w:val="white"/>
        </w:rPr>
        <w:t>–</w:t>
      </w:r>
      <w:r>
        <w:rPr>
          <w:rFonts w:ascii="Arial" w:eastAsia="Arial" w:hAnsi="Arial" w:cs="Arial"/>
          <w:color w:val="000000"/>
        </w:rPr>
        <w:t>66</w:t>
      </w:r>
      <w:r>
        <w:rPr>
          <w:rFonts w:ascii="Arial" w:eastAsia="Arial" w:hAnsi="Arial" w:cs="Arial"/>
          <w:color w:val="000000"/>
          <w:highlight w:val="white"/>
        </w:rPr>
        <w:t>.</w:t>
      </w:r>
    </w:p>
    <w:p w14:paraId="0000007B" w14:textId="77777777" w:rsidR="003F65C1" w:rsidRDefault="009607EC">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rPr>
        <w:t>Centers for Disease Control and Prevention.</w:t>
      </w:r>
      <w:r>
        <w:rPr>
          <w:rFonts w:ascii="Arial" w:eastAsia="Arial" w:hAnsi="Arial" w:cs="Arial"/>
          <w:color w:val="000000"/>
          <w:sz w:val="22"/>
          <w:szCs w:val="22"/>
        </w:rPr>
        <w:t xml:space="preserve"> (2021). National Notifiable Disease Surveillance System (NNDSS) Shiga toxin-producing </w:t>
      </w:r>
      <w:r>
        <w:rPr>
          <w:rFonts w:ascii="Arial" w:eastAsia="Arial" w:hAnsi="Arial" w:cs="Arial"/>
          <w:i/>
          <w:color w:val="000000"/>
          <w:sz w:val="22"/>
          <w:szCs w:val="22"/>
        </w:rPr>
        <w:t>Escherichia coli</w:t>
      </w:r>
      <w:r>
        <w:rPr>
          <w:rFonts w:ascii="Arial" w:eastAsia="Arial" w:hAnsi="Arial" w:cs="Arial"/>
          <w:color w:val="000000"/>
          <w:sz w:val="22"/>
          <w:szCs w:val="22"/>
        </w:rPr>
        <w:t xml:space="preserve"> (STEC). Available at </w:t>
      </w:r>
      <w:hyperlink r:id="rId5">
        <w:r>
          <w:rPr>
            <w:rFonts w:ascii="Arial" w:eastAsia="Arial" w:hAnsi="Arial" w:cs="Arial"/>
            <w:color w:val="0563C1"/>
            <w:sz w:val="22"/>
            <w:szCs w:val="22"/>
            <w:u w:val="single"/>
          </w:rPr>
          <w:t>https://ndc.services.cdc.gov/case-definitions/shiga-toxin-producing-escherichia-coli-2018/</w:t>
        </w:r>
      </w:hyperlink>
      <w:r>
        <w:rPr>
          <w:rFonts w:ascii="Arial" w:eastAsia="Arial" w:hAnsi="Arial" w:cs="Arial"/>
          <w:color w:val="000000"/>
          <w:sz w:val="22"/>
          <w:szCs w:val="22"/>
        </w:rPr>
        <w:t xml:space="preserve"> (accessed 2 Octob</w:t>
      </w:r>
      <w:r>
        <w:rPr>
          <w:rFonts w:ascii="Arial" w:eastAsia="Arial" w:hAnsi="Arial" w:cs="Arial"/>
          <w:color w:val="000000"/>
          <w:sz w:val="22"/>
          <w:szCs w:val="22"/>
        </w:rPr>
        <w:t xml:space="preserve">er 2022). </w:t>
      </w:r>
    </w:p>
    <w:p w14:paraId="0000007C" w14:textId="77777777" w:rsidR="003F65C1" w:rsidRDefault="009607EC">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Centers for Disease Control and Prevention. (2021). National Notifiable Diseases Surveillance System (NNDSS). Hemolytic Uremic Syndrome, Post-diarrheal (HUS). Available at </w:t>
      </w:r>
      <w:hyperlink r:id="rId6">
        <w:r>
          <w:rPr>
            <w:rFonts w:ascii="Arial" w:eastAsia="Arial" w:hAnsi="Arial" w:cs="Arial"/>
            <w:color w:val="0563C1"/>
            <w:sz w:val="22"/>
            <w:szCs w:val="22"/>
            <w:u w:val="single"/>
          </w:rPr>
          <w:t>https://ndc.services.cdc.gov/case-definitions/hemolytic-uremic-syndrome-post-diarrheal/</w:t>
        </w:r>
      </w:hyperlink>
      <w:r>
        <w:rPr>
          <w:rFonts w:ascii="Arial" w:eastAsia="Arial" w:hAnsi="Arial" w:cs="Arial"/>
          <w:color w:val="000000"/>
          <w:sz w:val="22"/>
          <w:szCs w:val="22"/>
        </w:rPr>
        <w:t xml:space="preserve"> (accessed 2 October 2022). </w:t>
      </w:r>
    </w:p>
    <w:p w14:paraId="0000007D" w14:textId="77777777" w:rsidR="003F65C1" w:rsidRDefault="003F65C1">
      <w:pPr>
        <w:rPr>
          <w:rFonts w:ascii="Arial" w:eastAsia="Arial" w:hAnsi="Arial" w:cs="Arial"/>
          <w:b/>
        </w:rPr>
      </w:pPr>
    </w:p>
    <w:sectPr w:rsidR="003F65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92C"/>
    <w:multiLevelType w:val="multilevel"/>
    <w:tmpl w:val="01FC6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F60E57"/>
    <w:multiLevelType w:val="multilevel"/>
    <w:tmpl w:val="7ECCF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14609B"/>
    <w:multiLevelType w:val="multilevel"/>
    <w:tmpl w:val="E4C4E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826A61"/>
    <w:multiLevelType w:val="multilevel"/>
    <w:tmpl w:val="CF58F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CB60771"/>
    <w:multiLevelType w:val="multilevel"/>
    <w:tmpl w:val="71C88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DBF2B0A"/>
    <w:multiLevelType w:val="multilevel"/>
    <w:tmpl w:val="AEB28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D76193"/>
    <w:multiLevelType w:val="multilevel"/>
    <w:tmpl w:val="19D2D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AF1BBB"/>
    <w:multiLevelType w:val="multilevel"/>
    <w:tmpl w:val="378C81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A573BFC"/>
    <w:multiLevelType w:val="multilevel"/>
    <w:tmpl w:val="D758C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F71AC6"/>
    <w:multiLevelType w:val="multilevel"/>
    <w:tmpl w:val="8E805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0CB07C0"/>
    <w:multiLevelType w:val="multilevel"/>
    <w:tmpl w:val="1F42A0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A7483F"/>
    <w:multiLevelType w:val="multilevel"/>
    <w:tmpl w:val="CC709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9563BB2"/>
    <w:multiLevelType w:val="multilevel"/>
    <w:tmpl w:val="AB462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5"/>
  </w:num>
  <w:num w:numId="4">
    <w:abstractNumId w:val="12"/>
  </w:num>
  <w:num w:numId="5">
    <w:abstractNumId w:val="10"/>
  </w:num>
  <w:num w:numId="6">
    <w:abstractNumId w:val="3"/>
  </w:num>
  <w:num w:numId="7">
    <w:abstractNumId w:val="11"/>
  </w:num>
  <w:num w:numId="8">
    <w:abstractNumId w:val="7"/>
  </w:num>
  <w:num w:numId="9">
    <w:abstractNumId w:val="2"/>
  </w:num>
  <w:num w:numId="10">
    <w:abstractNumId w:val="8"/>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C1"/>
    <w:rsid w:val="003F65C1"/>
    <w:rsid w:val="00960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B6ED"/>
  <w15:docId w15:val="{31C40E13-D194-451C-8F33-173CF617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I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40"/>
      <w:outlineLvl w:val="2"/>
    </w:pPr>
    <w:rPr>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dc.services.cdc.gov/case-definitions/hemolytic-uremic-syndrome-post-diarrheal/" TargetMode="External"/><Relationship Id="rId5" Type="http://schemas.openxmlformats.org/officeDocument/2006/relationships/hyperlink" Target="https://ndc.services.cdc.gov/case-definitions/shiga-toxin-producing-escherichia-coli-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1662</Words>
  <Characters>9945</Characters>
  <Application>Microsoft Office Word</Application>
  <DocSecurity>0</DocSecurity>
  <Lines>163</Lines>
  <Paragraphs>47</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 Vengadesan</cp:lastModifiedBy>
  <cp:revision>2</cp:revision>
  <dcterms:created xsi:type="dcterms:W3CDTF">2024-06-10T05:58:00Z</dcterms:created>
  <dcterms:modified xsi:type="dcterms:W3CDTF">2024-06-10T05:58:00Z</dcterms:modified>
</cp:coreProperties>
</file>