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BF204" w14:textId="77777777" w:rsidR="00D77A76" w:rsidRDefault="00000000">
      <w:pPr>
        <w:jc w:val="center"/>
        <w:rPr>
          <w:b/>
          <w:u w:val="single"/>
        </w:rPr>
      </w:pPr>
      <w:r>
        <w:rPr>
          <w:b/>
          <w:u w:val="single"/>
        </w:rPr>
        <w:t>Long Covid by Variant: Supplementary Material</w:t>
      </w:r>
    </w:p>
    <w:p w14:paraId="7CE05BA4" w14:textId="77777777" w:rsidR="00D77A76" w:rsidRDefault="00D77A76">
      <w:pPr>
        <w:jc w:val="center"/>
        <w:rPr>
          <w:b/>
          <w:u w:val="single"/>
        </w:rPr>
      </w:pPr>
    </w:p>
    <w:p w14:paraId="46289AC3" w14:textId="77777777" w:rsidR="00D77A76" w:rsidRDefault="00D77A76">
      <w:pPr>
        <w:jc w:val="center"/>
        <w:rPr>
          <w:b/>
          <w:u w:val="single"/>
        </w:rPr>
      </w:pPr>
    </w:p>
    <w:p w14:paraId="1EC6122B" w14:textId="77777777" w:rsidR="00D77A76" w:rsidRDefault="00000000">
      <w:pPr>
        <w:rPr>
          <w:b/>
        </w:rPr>
      </w:pPr>
      <w:r>
        <w:rPr>
          <w:b/>
        </w:rPr>
        <w:t>Supplementary Figure S1. Virus Watch Recruitment Dates</w:t>
      </w:r>
    </w:p>
    <w:p w14:paraId="2FB3C19B" w14:textId="77777777" w:rsidR="00D77A76" w:rsidRDefault="00D77A76">
      <w:pPr>
        <w:rPr>
          <w:b/>
        </w:rPr>
      </w:pPr>
    </w:p>
    <w:p w14:paraId="1E1723D0" w14:textId="77777777" w:rsidR="00D77A76" w:rsidRDefault="00000000">
      <w:pPr>
        <w:rPr>
          <w:b/>
        </w:rPr>
      </w:pPr>
      <w:r>
        <w:rPr>
          <w:b/>
          <w:noProof/>
        </w:rPr>
        <w:drawing>
          <wp:inline distT="114300" distB="114300" distL="114300" distR="114300" wp14:anchorId="594C976B" wp14:editId="6A59CB1F">
            <wp:extent cx="5731200" cy="2768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1200" cy="2768600"/>
                    </a:xfrm>
                    <a:prstGeom prst="rect">
                      <a:avLst/>
                    </a:prstGeom>
                    <a:ln/>
                  </pic:spPr>
                </pic:pic>
              </a:graphicData>
            </a:graphic>
          </wp:inline>
        </w:drawing>
      </w:r>
    </w:p>
    <w:p w14:paraId="78C5A77E" w14:textId="77777777" w:rsidR="00D77A76" w:rsidRDefault="00D77A76">
      <w:pPr>
        <w:rPr>
          <w:b/>
        </w:rPr>
      </w:pPr>
    </w:p>
    <w:p w14:paraId="51B7912C" w14:textId="77777777" w:rsidR="00D77A76" w:rsidRDefault="00000000">
      <w:r>
        <w:t>Of participants in the current study, 95% (</w:t>
      </w:r>
      <w:r>
        <w:rPr>
          <w:i/>
        </w:rPr>
        <w:t>n</w:t>
      </w:r>
      <w:r>
        <w:t>=5,369) joined the study in the period up to 12-2020. The most common month of recruitment was 09-2020 (</w:t>
      </w:r>
      <w:r>
        <w:rPr>
          <w:i/>
        </w:rPr>
        <w:t>n</w:t>
      </w:r>
      <w:r>
        <w:t xml:space="preserve">=2769, 49%). </w:t>
      </w:r>
    </w:p>
    <w:p w14:paraId="0A491D54" w14:textId="77777777" w:rsidR="00D77A76" w:rsidRDefault="00D77A76"/>
    <w:p w14:paraId="31F6D8E9" w14:textId="77777777" w:rsidR="00D77A76" w:rsidRDefault="00D77A76"/>
    <w:p w14:paraId="65EC41BA" w14:textId="77777777" w:rsidR="00D77A76" w:rsidRDefault="00D77A76">
      <w:pPr>
        <w:rPr>
          <w:b/>
        </w:rPr>
      </w:pPr>
    </w:p>
    <w:p w14:paraId="33A269AB" w14:textId="77777777" w:rsidR="00D77A76" w:rsidRDefault="00D77A76">
      <w:pPr>
        <w:rPr>
          <w:b/>
        </w:rPr>
      </w:pPr>
    </w:p>
    <w:p w14:paraId="78BC8A94" w14:textId="77777777" w:rsidR="00D77A76" w:rsidRDefault="00D77A76">
      <w:pPr>
        <w:rPr>
          <w:b/>
        </w:rPr>
      </w:pPr>
    </w:p>
    <w:p w14:paraId="741D3836" w14:textId="77777777" w:rsidR="00D77A76" w:rsidRDefault="00D77A76">
      <w:pPr>
        <w:rPr>
          <w:b/>
        </w:rPr>
      </w:pPr>
    </w:p>
    <w:p w14:paraId="200277EA" w14:textId="77777777" w:rsidR="00D77A76" w:rsidRDefault="00D77A76">
      <w:pPr>
        <w:rPr>
          <w:b/>
        </w:rPr>
      </w:pPr>
    </w:p>
    <w:p w14:paraId="19BF0F12" w14:textId="77777777" w:rsidR="00D77A76" w:rsidRDefault="00D77A76">
      <w:pPr>
        <w:rPr>
          <w:b/>
        </w:rPr>
      </w:pPr>
    </w:p>
    <w:p w14:paraId="51B1EED1" w14:textId="77777777" w:rsidR="00D77A76" w:rsidRDefault="00D77A76">
      <w:pPr>
        <w:rPr>
          <w:b/>
        </w:rPr>
      </w:pPr>
    </w:p>
    <w:p w14:paraId="3223BA7E" w14:textId="77777777" w:rsidR="00D77A76" w:rsidRDefault="00D77A76">
      <w:pPr>
        <w:rPr>
          <w:b/>
        </w:rPr>
      </w:pPr>
    </w:p>
    <w:p w14:paraId="1FB64333" w14:textId="77777777" w:rsidR="00D77A76" w:rsidRDefault="00D77A76">
      <w:pPr>
        <w:rPr>
          <w:b/>
        </w:rPr>
      </w:pPr>
    </w:p>
    <w:p w14:paraId="2E3CC3AF" w14:textId="77777777" w:rsidR="00D77A76" w:rsidRDefault="00D77A76">
      <w:pPr>
        <w:rPr>
          <w:b/>
        </w:rPr>
      </w:pPr>
    </w:p>
    <w:p w14:paraId="6C2BE757" w14:textId="77777777" w:rsidR="00D77A76" w:rsidRDefault="00D77A76">
      <w:pPr>
        <w:rPr>
          <w:b/>
        </w:rPr>
      </w:pPr>
    </w:p>
    <w:p w14:paraId="6B56DB7B" w14:textId="77777777" w:rsidR="00D77A76" w:rsidRDefault="00D77A76">
      <w:pPr>
        <w:rPr>
          <w:b/>
        </w:rPr>
      </w:pPr>
    </w:p>
    <w:p w14:paraId="7E2EE6A8" w14:textId="77777777" w:rsidR="00D77A76" w:rsidRDefault="00D77A76">
      <w:pPr>
        <w:rPr>
          <w:b/>
        </w:rPr>
      </w:pPr>
    </w:p>
    <w:p w14:paraId="6853A74D" w14:textId="77777777" w:rsidR="00D77A76" w:rsidRDefault="00D77A76">
      <w:pPr>
        <w:rPr>
          <w:b/>
        </w:rPr>
      </w:pPr>
    </w:p>
    <w:p w14:paraId="6C4620F1" w14:textId="77777777" w:rsidR="00D77A76" w:rsidRDefault="00D77A76">
      <w:pPr>
        <w:rPr>
          <w:b/>
        </w:rPr>
      </w:pPr>
    </w:p>
    <w:p w14:paraId="596AB3F0" w14:textId="77777777" w:rsidR="00D77A76" w:rsidRDefault="00D77A76">
      <w:pPr>
        <w:rPr>
          <w:b/>
        </w:rPr>
      </w:pPr>
    </w:p>
    <w:p w14:paraId="6D85D7B9" w14:textId="77777777" w:rsidR="00D77A76" w:rsidRDefault="00D77A76">
      <w:pPr>
        <w:rPr>
          <w:b/>
        </w:rPr>
      </w:pPr>
    </w:p>
    <w:p w14:paraId="42B1D6BB" w14:textId="77777777" w:rsidR="00D77A76" w:rsidRDefault="00D77A76">
      <w:pPr>
        <w:rPr>
          <w:b/>
        </w:rPr>
      </w:pPr>
    </w:p>
    <w:p w14:paraId="3B87ADF5" w14:textId="77777777" w:rsidR="00D77A76" w:rsidRDefault="00D77A76">
      <w:pPr>
        <w:rPr>
          <w:b/>
        </w:rPr>
      </w:pPr>
    </w:p>
    <w:p w14:paraId="5F296AAA" w14:textId="77777777" w:rsidR="00D77A76" w:rsidRDefault="00D77A76">
      <w:pPr>
        <w:rPr>
          <w:b/>
        </w:rPr>
      </w:pPr>
    </w:p>
    <w:p w14:paraId="52EDF3B8" w14:textId="77777777" w:rsidR="00D77A76" w:rsidRDefault="00D77A76">
      <w:pPr>
        <w:rPr>
          <w:b/>
        </w:rPr>
      </w:pPr>
    </w:p>
    <w:p w14:paraId="0DABAC45" w14:textId="77777777" w:rsidR="00D77A76" w:rsidRDefault="00D77A76">
      <w:pPr>
        <w:rPr>
          <w:b/>
        </w:rPr>
      </w:pPr>
    </w:p>
    <w:p w14:paraId="0DFC7F0D" w14:textId="77777777" w:rsidR="00D77A76" w:rsidRDefault="00000000">
      <w:pPr>
        <w:rPr>
          <w:b/>
        </w:rPr>
      </w:pPr>
      <w:r>
        <w:rPr>
          <w:b/>
        </w:rPr>
        <w:lastRenderedPageBreak/>
        <w:t>Virus Watch Testing and Study Outcomes</w:t>
      </w:r>
    </w:p>
    <w:p w14:paraId="2AA2E11A" w14:textId="77777777" w:rsidR="00D77A76" w:rsidRDefault="00D77A76"/>
    <w:p w14:paraId="45A271F2" w14:textId="77777777" w:rsidR="00D77A76" w:rsidRDefault="00000000">
      <w:pPr>
        <w:rPr>
          <w:i/>
        </w:rPr>
      </w:pPr>
      <w:r>
        <w:rPr>
          <w:i/>
        </w:rPr>
        <w:t>Swab-Based Testing (Polymerase Chain Reaction and Lateral Flow Tests)</w:t>
      </w:r>
    </w:p>
    <w:p w14:paraId="03FA200B" w14:textId="77777777" w:rsidR="00D77A76" w:rsidRDefault="00000000">
      <w:pPr>
        <w:spacing w:before="240" w:after="240"/>
      </w:pPr>
      <w:r>
        <w:t>Virus Watch testing availability and protocols changed throughout the study. All participants had polymerase chain reaction (PCR) and lateral flow test (LFT) records based on weekly online self-report and linkage to national records across the study period. Between October 2020 and May 2021, a sub-cohort of participants (</w:t>
      </w:r>
      <w:r>
        <w:rPr>
          <w:i/>
        </w:rPr>
        <w:t>n</w:t>
      </w:r>
      <w:r>
        <w:t>=1,566 in current study) also posted self-administered PCR nasal swabs for laboratory analysis if symptomatic as part of the Virus Watch study. Between January and July 2023 (after the current study period), a further sub-cohort (</w:t>
      </w:r>
      <w:r>
        <w:rPr>
          <w:i/>
        </w:rPr>
        <w:t>n</w:t>
      </w:r>
      <w:r>
        <w:t>=948 in current study) were provided with LFTs to take if symptomatic and report to the study and – if positive – to send a PCR nasal swab for genomic analysis; this analysis is currently underway and genomic results were not available for the current study. However, results around positivity were available and were included in the present data. The study protocol (1) provides further procedural detail regarding swab testing.</w:t>
      </w:r>
    </w:p>
    <w:p w14:paraId="2DABF248" w14:textId="77777777" w:rsidR="00D77A76" w:rsidRDefault="00000000">
      <w:pPr>
        <w:rPr>
          <w:i/>
        </w:rPr>
      </w:pPr>
      <w:r>
        <w:rPr>
          <w:i/>
        </w:rPr>
        <w:t>Serological Testing</w:t>
      </w:r>
    </w:p>
    <w:p w14:paraId="387A750C" w14:textId="77777777" w:rsidR="00D77A76" w:rsidRDefault="00D77A76">
      <w:pPr>
        <w:rPr>
          <w:i/>
        </w:rPr>
      </w:pPr>
    </w:p>
    <w:p w14:paraId="4CE90C60" w14:textId="77777777" w:rsidR="00D77A76" w:rsidRDefault="00000000">
      <w:r>
        <w:t>Serological testing in Virus Watch was conducted on a sub-cohort of participants using monthly at-home finger-prick serology and/or in-clinic serological testing conducted by healthcare workers. In-clinic serology was performed twice for included participants between September 2020-January 2021 (Autumn round) and April 2021-July 2021 (Spring round) (see study protocol (1) for details). The monthly at-home finger-prick testing was conducted between February 2021 and April 2022. Samples were tested for anti-nucleocapsid and anti-spike antibodies using the Roche Elecsys Anti-SARS-CoV-2 electro-chemiluminescent immunoassays, with estimated sensitivity and specificity of 97% and 99.8% respectively (2). Further detail of testing is provided in the study protocol (1).</w:t>
      </w:r>
    </w:p>
    <w:p w14:paraId="238C8F80" w14:textId="77777777" w:rsidR="00D77A76" w:rsidRDefault="00D77A76"/>
    <w:p w14:paraId="6269E60F" w14:textId="77777777" w:rsidR="00D77A76" w:rsidRDefault="00000000">
      <w:r>
        <w:t>As infection date was required to derive the outcome in the current study, only participants with seropositive results that could be attributable to an estimated infection date were included i.e., participants who were initially seronegative and seroconverted during a definable monthly period. Estimated date of infection was defined as the intermediate date between 10 days prior to the last negative, to account for infections that may not have seroconverted, and 14 days prior to the first positive. These were derived based on monthly finger-prick tests. However, serological results from all sources were used to identify participants with evidence of SARS-CoV-2 infection from any source and exclude them where required to prevent misclassification of infection status during each variant period, as described in the Exposure sections of the Methods section.</w:t>
      </w:r>
    </w:p>
    <w:p w14:paraId="13ABAF02" w14:textId="77777777" w:rsidR="00D77A76" w:rsidRDefault="00D77A76"/>
    <w:p w14:paraId="3C65A63C" w14:textId="77777777" w:rsidR="00D77A76" w:rsidRDefault="00000000">
      <w:pPr>
        <w:rPr>
          <w:b/>
        </w:rPr>
      </w:pPr>
      <w:r>
        <w:rPr>
          <w:b/>
        </w:rPr>
        <w:t>References</w:t>
      </w:r>
    </w:p>
    <w:p w14:paraId="22A722B7" w14:textId="77777777" w:rsidR="00D77A76" w:rsidRDefault="00D77A76">
      <w:pPr>
        <w:rPr>
          <w:b/>
        </w:rPr>
      </w:pPr>
    </w:p>
    <w:p w14:paraId="00EB94EF" w14:textId="77777777" w:rsidR="00D77A76" w:rsidRPr="00F64F91" w:rsidRDefault="00000000">
      <w:pPr>
        <w:numPr>
          <w:ilvl w:val="0"/>
          <w:numId w:val="1"/>
        </w:numPr>
        <w:rPr>
          <w:sz w:val="20"/>
          <w:szCs w:val="20"/>
        </w:rPr>
      </w:pPr>
      <w:r w:rsidRPr="00F64F91">
        <w:rPr>
          <w:sz w:val="20"/>
          <w:szCs w:val="20"/>
        </w:rPr>
        <w:t xml:space="preserve"> Hayward A, Fragaszy E, Kovar J, Nguyen V, Beale S, et al. Risk factors, symptom reporting, healthcare-seeking behaviour and adherence to public health guidance: protocol for Virus Watch, a prospective community cohort study. BMJ open. 2021 Jun 1;11(6):e048042.</w:t>
      </w:r>
    </w:p>
    <w:p w14:paraId="68BD4F1E" w14:textId="77777777" w:rsidR="00D77A76" w:rsidRPr="00F64F91" w:rsidRDefault="00D77A76">
      <w:pPr>
        <w:ind w:left="720"/>
        <w:rPr>
          <w:sz w:val="20"/>
          <w:szCs w:val="20"/>
        </w:rPr>
      </w:pPr>
    </w:p>
    <w:p w14:paraId="419117E1" w14:textId="77777777" w:rsidR="00D77A76" w:rsidRPr="00F64F91" w:rsidRDefault="00000000">
      <w:pPr>
        <w:numPr>
          <w:ilvl w:val="0"/>
          <w:numId w:val="1"/>
        </w:numPr>
        <w:rPr>
          <w:sz w:val="20"/>
          <w:szCs w:val="20"/>
        </w:rPr>
      </w:pPr>
      <w:r w:rsidRPr="00F64F91">
        <w:rPr>
          <w:sz w:val="20"/>
          <w:szCs w:val="20"/>
        </w:rPr>
        <w:t>The National SARS-CoV-2 Serology Assay Evaluation Group. Performance characteristics of five immunoassays for SARS-CoV-2: a head-to-head benchmark comparison. Lancet Infect Dis 2020; 20: 1390–400</w:t>
      </w:r>
    </w:p>
    <w:p w14:paraId="764DD9D8" w14:textId="77777777" w:rsidR="00D77A76" w:rsidRDefault="00D77A76">
      <w:pPr>
        <w:ind w:left="720"/>
      </w:pPr>
    </w:p>
    <w:p w14:paraId="23AB1BC5" w14:textId="77777777" w:rsidR="00D77A76" w:rsidRDefault="00000000">
      <w:pPr>
        <w:rPr>
          <w:b/>
        </w:rPr>
      </w:pPr>
      <w:r>
        <w:rPr>
          <w:b/>
        </w:rPr>
        <w:lastRenderedPageBreak/>
        <w:t>Virus Watch Long-Term Symptoms Questionnaire: Symptom list</w:t>
      </w:r>
    </w:p>
    <w:p w14:paraId="76552868" w14:textId="77777777" w:rsidR="00D77A76" w:rsidRDefault="00D77A76"/>
    <w:p w14:paraId="3BFC27CD" w14:textId="77777777" w:rsidR="00D77A76" w:rsidRDefault="00000000">
      <w:r>
        <w:rPr>
          <w:b/>
        </w:rPr>
        <w:t>Note</w:t>
      </w:r>
      <w:r>
        <w:t>: The symptom list was revised prior to the March 2023 questionnaire to reflect evolving knowledge of post-Covid symptoms and to reduce survey burden by collapsing some items into single items. The ‘Other’ option was available in both questionnaires and the majority of symptoms remained consistent or comparable. Symptom lists are provided here for reference although the outcome in the study comprised any symptom(s) of duration &gt;2 months and (if relevant) within 3 months of infection. Symptom profiles by variant - and consequently symptom harmonisation - are the subject of separate planned analysis beyond the scope of this paper.</w:t>
      </w:r>
    </w:p>
    <w:p w14:paraId="538FAD6D" w14:textId="77777777" w:rsidR="00D77A76" w:rsidRDefault="00D77A76"/>
    <w:p w14:paraId="49FD1327" w14:textId="77777777" w:rsidR="00D77A76" w:rsidRDefault="00000000">
      <w:r>
        <w:rPr>
          <w:b/>
        </w:rPr>
        <w:t>Original Symptom List (February 2021 - March 2022)</w:t>
      </w:r>
    </w:p>
    <w:p w14:paraId="0CD48FDF" w14:textId="77777777" w:rsidR="00D77A76" w:rsidRDefault="00D77A76"/>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77A76" w14:paraId="50258FE7"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0032D" w14:textId="77777777" w:rsidR="00D77A76" w:rsidRDefault="00000000">
            <w:pPr>
              <w:widowControl w:val="0"/>
              <w:spacing w:line="240" w:lineRule="auto"/>
            </w:pPr>
            <w:r>
              <w:t>Fatigue / Feeling unusually tired</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6B2CA" w14:textId="77777777" w:rsidR="00D77A76" w:rsidRDefault="00000000">
            <w:pPr>
              <w:widowControl w:val="0"/>
              <w:spacing w:line="240" w:lineRule="auto"/>
            </w:pPr>
            <w:r>
              <w:t>Fever</w:t>
            </w:r>
          </w:p>
        </w:tc>
      </w:tr>
      <w:tr w:rsidR="00D77A76" w14:paraId="1A807EE6"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E6451" w14:textId="77777777" w:rsidR="00D77A76" w:rsidRDefault="00000000">
            <w:pPr>
              <w:widowControl w:val="0"/>
              <w:spacing w:line="240" w:lineRule="auto"/>
            </w:pPr>
            <w:r>
              <w:t>Headache</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4846" w14:textId="77777777" w:rsidR="00D77A76" w:rsidRDefault="00000000">
            <w:pPr>
              <w:widowControl w:val="0"/>
              <w:spacing w:line="240" w:lineRule="auto"/>
            </w:pPr>
            <w:r>
              <w:t>Feeling feverish</w:t>
            </w:r>
          </w:p>
        </w:tc>
      </w:tr>
      <w:tr w:rsidR="00D77A76" w14:paraId="4F7F0EEF"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0EC62" w14:textId="77777777" w:rsidR="00D77A76" w:rsidRDefault="00000000">
            <w:pPr>
              <w:widowControl w:val="0"/>
              <w:spacing w:line="240" w:lineRule="auto"/>
            </w:pPr>
            <w:r>
              <w:t>Feeling anxious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95999" w14:textId="77777777" w:rsidR="00D77A76" w:rsidRDefault="00000000">
            <w:pPr>
              <w:widowControl w:val="0"/>
              <w:spacing w:line="240" w:lineRule="auto"/>
            </w:pPr>
            <w:r>
              <w:t>Loss of Appetite</w:t>
            </w:r>
          </w:p>
        </w:tc>
      </w:tr>
      <w:tr w:rsidR="00D77A76" w14:paraId="5D38C536"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CC42F" w14:textId="77777777" w:rsidR="00D77A76" w:rsidRDefault="00000000">
            <w:pPr>
              <w:widowControl w:val="0"/>
              <w:spacing w:line="240" w:lineRule="auto"/>
            </w:pPr>
            <w:r>
              <w:t>Feeling depressed/low mood</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F255A" w14:textId="77777777" w:rsidR="00D77A76" w:rsidRDefault="00000000">
            <w:pPr>
              <w:widowControl w:val="0"/>
              <w:spacing w:line="240" w:lineRule="auto"/>
            </w:pPr>
            <w:r>
              <w:t>Trouble Sleeping</w:t>
            </w:r>
          </w:p>
        </w:tc>
      </w:tr>
      <w:tr w:rsidR="00D77A76" w14:paraId="7FD972FD"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28873" w14:textId="77777777" w:rsidR="00D77A76" w:rsidRDefault="00000000">
            <w:pPr>
              <w:widowControl w:val="0"/>
              <w:spacing w:line="240" w:lineRule="auto"/>
            </w:pPr>
            <w:r>
              <w:t>Runny Nose; Blocked Nose</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989D5" w14:textId="77777777" w:rsidR="00D77A76" w:rsidRDefault="00000000">
            <w:pPr>
              <w:widowControl w:val="0"/>
              <w:spacing w:line="240" w:lineRule="auto"/>
            </w:pPr>
            <w:r>
              <w:t>Lack of concentration</w:t>
            </w:r>
          </w:p>
        </w:tc>
      </w:tr>
      <w:tr w:rsidR="00D77A76" w14:paraId="57278FD6"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D401B" w14:textId="77777777" w:rsidR="00D77A76" w:rsidRDefault="00000000">
            <w:pPr>
              <w:widowControl w:val="0"/>
              <w:spacing w:line="240" w:lineRule="auto"/>
            </w:pPr>
            <w:r>
              <w:t>Lightheaded or dizzy</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130BE" w14:textId="77777777" w:rsidR="00D77A76" w:rsidRDefault="00000000">
            <w:pPr>
              <w:widowControl w:val="0"/>
              <w:spacing w:line="240" w:lineRule="auto"/>
            </w:pPr>
            <w:r>
              <w:t>Confusion, disorientation</w:t>
            </w:r>
          </w:p>
        </w:tc>
      </w:tr>
      <w:tr w:rsidR="00D77A76" w14:paraId="4E0E240C"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5E208" w14:textId="77777777" w:rsidR="00D77A76" w:rsidRDefault="00000000">
            <w:pPr>
              <w:widowControl w:val="0"/>
              <w:spacing w:line="240" w:lineRule="auto"/>
            </w:pPr>
            <w:r>
              <w:t>Memory loss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D1150" w14:textId="77777777" w:rsidR="00D77A76" w:rsidRDefault="00000000">
            <w:pPr>
              <w:widowControl w:val="0"/>
              <w:spacing w:line="240" w:lineRule="auto"/>
            </w:pPr>
            <w:r>
              <w:t>Eye redness</w:t>
            </w:r>
          </w:p>
        </w:tc>
      </w:tr>
      <w:tr w:rsidR="00D77A76" w14:paraId="61C72E19"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9AF1D" w14:textId="77777777" w:rsidR="00D77A76" w:rsidRDefault="00000000">
            <w:pPr>
              <w:widowControl w:val="0"/>
              <w:spacing w:line="240" w:lineRule="auto"/>
            </w:pPr>
            <w:r>
              <w:t>Dry cough;</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F9B57" w14:textId="77777777" w:rsidR="00D77A76" w:rsidRDefault="00000000">
            <w:pPr>
              <w:widowControl w:val="0"/>
              <w:spacing w:line="240" w:lineRule="auto"/>
            </w:pPr>
            <w:r>
              <w:t>Deterioration of eyesight</w:t>
            </w:r>
          </w:p>
        </w:tc>
      </w:tr>
      <w:tr w:rsidR="00D77A76" w14:paraId="0B261C12"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05897" w14:textId="77777777" w:rsidR="00D77A76" w:rsidRDefault="00000000">
            <w:pPr>
              <w:widowControl w:val="0"/>
              <w:spacing w:line="240" w:lineRule="auto"/>
            </w:pPr>
            <w:r>
              <w:t>Wet cough</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354BA" w14:textId="77777777" w:rsidR="00D77A76" w:rsidRDefault="00000000">
            <w:pPr>
              <w:widowControl w:val="0"/>
              <w:spacing w:line="240" w:lineRule="auto"/>
            </w:pPr>
            <w:r>
              <w:t>Sore throat</w:t>
            </w:r>
          </w:p>
        </w:tc>
      </w:tr>
      <w:tr w:rsidR="00D77A76" w14:paraId="3BCA0C6C"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F905E" w14:textId="77777777" w:rsidR="00D77A76" w:rsidRDefault="00000000">
            <w:pPr>
              <w:widowControl w:val="0"/>
              <w:spacing w:line="240" w:lineRule="auto"/>
            </w:pPr>
            <w:r>
              <w:t>Loss of sense of taste</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237F9" w14:textId="77777777" w:rsidR="00D77A76" w:rsidRDefault="00000000">
            <w:pPr>
              <w:widowControl w:val="0"/>
              <w:spacing w:line="240" w:lineRule="auto"/>
            </w:pPr>
            <w:r>
              <w:t>Weakness</w:t>
            </w:r>
          </w:p>
        </w:tc>
      </w:tr>
      <w:tr w:rsidR="00D77A76" w14:paraId="771739EF"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B5138" w14:textId="77777777" w:rsidR="00D77A76" w:rsidRDefault="00000000">
            <w:pPr>
              <w:widowControl w:val="0"/>
              <w:spacing w:line="240" w:lineRule="auto"/>
            </w:pPr>
            <w:r>
              <w:t>Altered/distorted sense of taste</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7AC3B" w14:textId="77777777" w:rsidR="00D77A76" w:rsidRDefault="00000000">
            <w:pPr>
              <w:widowControl w:val="0"/>
              <w:spacing w:line="240" w:lineRule="auto"/>
            </w:pPr>
            <w:r>
              <w:t>Weight loss</w:t>
            </w:r>
          </w:p>
        </w:tc>
      </w:tr>
      <w:tr w:rsidR="00D77A76" w14:paraId="0B15A01C"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6723F" w14:textId="77777777" w:rsidR="00D77A76" w:rsidRDefault="00000000">
            <w:pPr>
              <w:widowControl w:val="0"/>
              <w:spacing w:line="240" w:lineRule="auto"/>
            </w:pPr>
            <w:r>
              <w:t>Loss of sense of smell;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9AE6E" w14:textId="77777777" w:rsidR="00D77A76" w:rsidRDefault="00000000">
            <w:pPr>
              <w:widowControl w:val="0"/>
              <w:spacing w:line="240" w:lineRule="auto"/>
            </w:pPr>
            <w:r>
              <w:t xml:space="preserve">Altered/distorted sense of smell; </w:t>
            </w:r>
          </w:p>
        </w:tc>
      </w:tr>
      <w:tr w:rsidR="00D77A76" w14:paraId="3691058E"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C0619" w14:textId="77777777" w:rsidR="00D77A76" w:rsidRDefault="00000000">
            <w:pPr>
              <w:widowControl w:val="0"/>
              <w:spacing w:line="240" w:lineRule="auto"/>
            </w:pPr>
            <w:r>
              <w:t>Reduced sense of smell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2C232" w14:textId="77777777" w:rsidR="00D77A76" w:rsidRDefault="00000000">
            <w:pPr>
              <w:widowControl w:val="0"/>
              <w:spacing w:line="240" w:lineRule="auto"/>
            </w:pPr>
            <w:r>
              <w:t>Phantom smells in the absence of any odour</w:t>
            </w:r>
          </w:p>
        </w:tc>
      </w:tr>
      <w:tr w:rsidR="00D77A76" w14:paraId="79431329"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EE922" w14:textId="77777777" w:rsidR="00D77A76" w:rsidRDefault="00000000">
            <w:pPr>
              <w:widowControl w:val="0"/>
              <w:spacing w:line="240" w:lineRule="auto"/>
            </w:pPr>
            <w:r>
              <w:t>Hair loss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2A14F" w14:textId="77777777" w:rsidR="00D77A76" w:rsidRDefault="00000000">
            <w:pPr>
              <w:widowControl w:val="0"/>
              <w:spacing w:line="240" w:lineRule="auto"/>
            </w:pPr>
            <w:r>
              <w:t>Chills</w:t>
            </w:r>
          </w:p>
        </w:tc>
      </w:tr>
      <w:tr w:rsidR="00D77A76" w14:paraId="27E667AA"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30654" w14:textId="77777777" w:rsidR="00D77A76" w:rsidRDefault="00000000">
            <w:pPr>
              <w:widowControl w:val="0"/>
              <w:spacing w:line="240" w:lineRule="auto"/>
            </w:pPr>
            <w:r>
              <w:t>Rash (all over)</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96DD" w14:textId="77777777" w:rsidR="00D77A76" w:rsidRDefault="00000000">
            <w:pPr>
              <w:widowControl w:val="0"/>
              <w:spacing w:line="240" w:lineRule="auto"/>
            </w:pPr>
            <w:r>
              <w:t>Night Sweats</w:t>
            </w:r>
          </w:p>
        </w:tc>
      </w:tr>
      <w:tr w:rsidR="00D77A76" w14:paraId="09CE1318"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3B442" w14:textId="77777777" w:rsidR="00D77A76" w:rsidRDefault="00000000">
            <w:pPr>
              <w:widowControl w:val="0"/>
              <w:spacing w:line="240" w:lineRule="auto"/>
            </w:pPr>
            <w:r>
              <w:t>Rash (local)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71719" w14:textId="77777777" w:rsidR="00D77A76" w:rsidRDefault="00000000">
            <w:pPr>
              <w:widowControl w:val="0"/>
              <w:spacing w:line="240" w:lineRule="auto"/>
            </w:pPr>
            <w:r>
              <w:t>Sinus pain / congestion</w:t>
            </w:r>
          </w:p>
        </w:tc>
      </w:tr>
      <w:tr w:rsidR="00D77A76" w14:paraId="53901D73"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F40AF" w14:textId="77777777" w:rsidR="00D77A76" w:rsidRDefault="00000000">
            <w:pPr>
              <w:widowControl w:val="0"/>
              <w:spacing w:line="240" w:lineRule="auto"/>
            </w:pPr>
            <w:r>
              <w:t>Vomiting (being sick)</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13F8E" w14:textId="77777777" w:rsidR="00D77A76" w:rsidRDefault="00000000">
            <w:pPr>
              <w:widowControl w:val="0"/>
              <w:spacing w:line="240" w:lineRule="auto"/>
            </w:pPr>
            <w:r>
              <w:t>Sneezing</w:t>
            </w:r>
          </w:p>
        </w:tc>
      </w:tr>
      <w:tr w:rsidR="00D77A76" w14:paraId="0ADA1D75"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B013" w14:textId="77777777" w:rsidR="00D77A76" w:rsidRDefault="00000000">
            <w:pPr>
              <w:widowControl w:val="0"/>
              <w:spacing w:line="240" w:lineRule="auto"/>
            </w:pPr>
            <w:r>
              <w:t>Nausea (feeling sick)</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DA6F1" w14:textId="77777777" w:rsidR="00D77A76" w:rsidRDefault="00000000">
            <w:pPr>
              <w:widowControl w:val="0"/>
              <w:spacing w:line="240" w:lineRule="auto"/>
            </w:pPr>
            <w:r>
              <w:t>Swollen tonsils</w:t>
            </w:r>
          </w:p>
        </w:tc>
      </w:tr>
      <w:tr w:rsidR="00D77A76" w14:paraId="162FBA7B"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8C3EE" w14:textId="77777777" w:rsidR="00D77A76" w:rsidRDefault="00000000">
            <w:pPr>
              <w:widowControl w:val="0"/>
              <w:spacing w:line="240" w:lineRule="auto"/>
            </w:pPr>
            <w:r>
              <w:t>Heart Palpitations (Fast or pounding heartbeat)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164AB" w14:textId="77777777" w:rsidR="00D77A76" w:rsidRDefault="00000000">
            <w:pPr>
              <w:widowControl w:val="0"/>
              <w:spacing w:line="240" w:lineRule="auto"/>
            </w:pPr>
            <w:r>
              <w:t>Wheezing</w:t>
            </w:r>
          </w:p>
        </w:tc>
      </w:tr>
      <w:tr w:rsidR="00D77A76" w14:paraId="0E44FCB0"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1C9AA" w14:textId="77777777" w:rsidR="00D77A76" w:rsidRDefault="00000000">
            <w:pPr>
              <w:widowControl w:val="0"/>
              <w:spacing w:line="240" w:lineRule="auto"/>
            </w:pPr>
            <w:r>
              <w:t>Chest pain (not changed by breathing)</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25574" w14:textId="77777777" w:rsidR="00D77A76" w:rsidRDefault="00000000">
            <w:pPr>
              <w:widowControl w:val="0"/>
              <w:spacing w:line="240" w:lineRule="auto"/>
            </w:pPr>
            <w:r>
              <w:t>Chest tightness</w:t>
            </w:r>
          </w:p>
        </w:tc>
      </w:tr>
      <w:tr w:rsidR="00D77A76" w14:paraId="3590DD1C"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B299" w14:textId="77777777" w:rsidR="00D77A76" w:rsidRDefault="00000000">
            <w:pPr>
              <w:widowControl w:val="0"/>
              <w:spacing w:line="240" w:lineRule="auto"/>
            </w:pPr>
            <w:r>
              <w:lastRenderedPageBreak/>
              <w:t>Chest pain when breathing in</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65612" w14:textId="77777777" w:rsidR="00D77A76" w:rsidRDefault="00000000">
            <w:pPr>
              <w:widowControl w:val="0"/>
              <w:spacing w:line="240" w:lineRule="auto"/>
            </w:pPr>
            <w:r>
              <w:t>Sticky eye</w:t>
            </w:r>
          </w:p>
        </w:tc>
      </w:tr>
      <w:tr w:rsidR="00D77A76" w14:paraId="00DCB415"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F5CA8" w14:textId="77777777" w:rsidR="00D77A76" w:rsidRDefault="00000000">
            <w:pPr>
              <w:widowControl w:val="0"/>
              <w:spacing w:line="240" w:lineRule="auto"/>
            </w:pPr>
            <w:r>
              <w:t>Abdominal pain (not inc. menstrual pain)</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25892" w14:textId="77777777" w:rsidR="00D77A76" w:rsidRDefault="00000000">
            <w:pPr>
              <w:widowControl w:val="0"/>
              <w:spacing w:line="240" w:lineRule="auto"/>
            </w:pPr>
            <w:r>
              <w:t>Eye pain</w:t>
            </w:r>
          </w:p>
        </w:tc>
      </w:tr>
      <w:tr w:rsidR="00D77A76" w14:paraId="767490BD"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53158" w14:textId="77777777" w:rsidR="00D77A76" w:rsidRDefault="00000000">
            <w:pPr>
              <w:widowControl w:val="0"/>
              <w:spacing w:line="240" w:lineRule="auto"/>
            </w:pPr>
            <w:r>
              <w:t>Shortness of breath/difficulty breathing</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2BAC9" w14:textId="77777777" w:rsidR="00D77A76" w:rsidRDefault="00000000">
            <w:pPr>
              <w:widowControl w:val="0"/>
              <w:spacing w:line="240" w:lineRule="auto"/>
            </w:pPr>
            <w:r>
              <w:t>Ear pain</w:t>
            </w:r>
          </w:p>
        </w:tc>
      </w:tr>
      <w:tr w:rsidR="00D77A76" w14:paraId="392EB9B2"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19170" w14:textId="77777777" w:rsidR="00D77A76" w:rsidRDefault="00000000">
            <w:pPr>
              <w:widowControl w:val="0"/>
              <w:spacing w:line="240" w:lineRule="auto"/>
            </w:pPr>
            <w:r>
              <w:t>Muscle Aches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57824" w14:textId="77777777" w:rsidR="00D77A76" w:rsidRDefault="00000000">
            <w:pPr>
              <w:widowControl w:val="0"/>
              <w:spacing w:line="240" w:lineRule="auto"/>
            </w:pPr>
            <w:r>
              <w:t>Tinnitus (ringing or other noises in one or both ears)</w:t>
            </w:r>
          </w:p>
        </w:tc>
      </w:tr>
      <w:tr w:rsidR="00D77A76" w14:paraId="2D6DD71D"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6B97B" w14:textId="77777777" w:rsidR="00D77A76" w:rsidRDefault="00000000">
            <w:pPr>
              <w:widowControl w:val="0"/>
              <w:spacing w:line="240" w:lineRule="auto"/>
            </w:pPr>
            <w:r>
              <w:t>Bone or Joint Aches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7907" w14:textId="77777777" w:rsidR="00D77A76" w:rsidRDefault="00000000">
            <w:pPr>
              <w:widowControl w:val="0"/>
              <w:spacing w:line="240" w:lineRule="auto"/>
            </w:pPr>
            <w:r>
              <w:t>Change in hearing</w:t>
            </w:r>
          </w:p>
        </w:tc>
      </w:tr>
      <w:tr w:rsidR="00D77A76" w14:paraId="3A7F38F5"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237A5" w14:textId="77777777" w:rsidR="00D77A76" w:rsidRDefault="00000000">
            <w:pPr>
              <w:widowControl w:val="0"/>
              <w:spacing w:line="240" w:lineRule="auto"/>
            </w:pPr>
            <w:r>
              <w:t>Other long-term pain</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D930E" w14:textId="77777777" w:rsidR="00D77A76" w:rsidRDefault="00000000">
            <w:pPr>
              <w:widowControl w:val="0"/>
              <w:spacing w:line="240" w:lineRule="auto"/>
            </w:pPr>
            <w:r>
              <w:t>Other symptom(s)</w:t>
            </w:r>
          </w:p>
        </w:tc>
      </w:tr>
      <w:tr w:rsidR="00D77A76" w14:paraId="08184C04"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8E3AC" w14:textId="77777777" w:rsidR="00D77A76" w:rsidRDefault="00000000">
            <w:pPr>
              <w:widowControl w:val="0"/>
              <w:spacing w:line="240" w:lineRule="auto"/>
            </w:pPr>
            <w:r>
              <w:t>Swollen glands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2110" w14:textId="77777777" w:rsidR="00D77A76" w:rsidRDefault="00000000">
            <w:pPr>
              <w:widowControl w:val="0"/>
              <w:spacing w:line="240" w:lineRule="auto"/>
            </w:pPr>
            <w:r>
              <w:t xml:space="preserve"> </w:t>
            </w:r>
          </w:p>
        </w:tc>
      </w:tr>
    </w:tbl>
    <w:p w14:paraId="2728E9D4" w14:textId="77777777" w:rsidR="00D77A76" w:rsidRDefault="00D77A76"/>
    <w:p w14:paraId="679F4294" w14:textId="77777777" w:rsidR="00D77A76" w:rsidRDefault="00000000">
      <w:pPr>
        <w:rPr>
          <w:b/>
        </w:rPr>
      </w:pPr>
      <w:r>
        <w:rPr>
          <w:b/>
        </w:rPr>
        <w:t>Symptom List (March 2023)</w:t>
      </w:r>
    </w:p>
    <w:p w14:paraId="63CA1C6D" w14:textId="77777777" w:rsidR="00D77A76" w:rsidRDefault="00D77A76">
      <w:pPr>
        <w:rPr>
          <w:i/>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77A76" w14:paraId="4DD98438"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17AAE" w14:textId="77777777" w:rsidR="00D77A76" w:rsidRDefault="00000000">
            <w:pPr>
              <w:widowControl w:val="0"/>
              <w:spacing w:line="240" w:lineRule="auto"/>
            </w:pPr>
            <w:r>
              <w:t xml:space="preserve"> Fatigue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C536E" w14:textId="77777777" w:rsidR="00D77A76" w:rsidRDefault="00000000">
            <w:pPr>
              <w:widowControl w:val="0"/>
              <w:spacing w:line="240" w:lineRule="auto"/>
            </w:pPr>
            <w:r>
              <w:t xml:space="preserve"> Fever </w:t>
            </w:r>
          </w:p>
        </w:tc>
      </w:tr>
      <w:tr w:rsidR="00D77A76" w14:paraId="0466D7AF"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22958" w14:textId="77777777" w:rsidR="00D77A76" w:rsidRDefault="00000000">
            <w:pPr>
              <w:widowControl w:val="0"/>
              <w:spacing w:line="240" w:lineRule="auto"/>
            </w:pPr>
            <w:r>
              <w:t xml:space="preserve"> Headache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8D602" w14:textId="77777777" w:rsidR="00D77A76" w:rsidRDefault="00000000">
            <w:pPr>
              <w:widowControl w:val="0"/>
              <w:spacing w:line="240" w:lineRule="auto"/>
            </w:pPr>
            <w:r>
              <w:t xml:space="preserve"> Change in Appetite</w:t>
            </w:r>
          </w:p>
        </w:tc>
      </w:tr>
      <w:tr w:rsidR="00D77A76" w14:paraId="46FE17A2"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CF697" w14:textId="77777777" w:rsidR="00D77A76" w:rsidRDefault="00000000">
            <w:pPr>
              <w:widowControl w:val="0"/>
              <w:spacing w:line="240" w:lineRule="auto"/>
            </w:pPr>
            <w:r>
              <w:t xml:space="preserve"> Feeling anxious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CEA88" w14:textId="77777777" w:rsidR="00D77A76" w:rsidRDefault="00000000">
            <w:pPr>
              <w:widowControl w:val="0"/>
              <w:spacing w:line="240" w:lineRule="auto"/>
            </w:pPr>
            <w:r>
              <w:t xml:space="preserve"> Sleep problems (including difficulty falling asleep, staying asleep, oversleeping or sleep apnoea) </w:t>
            </w:r>
          </w:p>
        </w:tc>
      </w:tr>
      <w:tr w:rsidR="00D77A76" w14:paraId="5045600B"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D6C7C" w14:textId="77777777" w:rsidR="00D77A76" w:rsidRDefault="00000000">
            <w:pPr>
              <w:widowControl w:val="0"/>
              <w:spacing w:line="240" w:lineRule="auto"/>
            </w:pPr>
            <w:r>
              <w:t xml:space="preserve"> Feeling depressed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78139" w14:textId="77777777" w:rsidR="00D77A76" w:rsidRDefault="00000000">
            <w:pPr>
              <w:widowControl w:val="0"/>
              <w:spacing w:line="240" w:lineRule="auto"/>
            </w:pPr>
            <w:r>
              <w:t xml:space="preserve"> Brain fog and/or other cognitive problems </w:t>
            </w:r>
          </w:p>
        </w:tc>
      </w:tr>
      <w:tr w:rsidR="00D77A76" w14:paraId="340139A5"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550C" w14:textId="77777777" w:rsidR="00D77A76" w:rsidRDefault="00000000">
            <w:pPr>
              <w:widowControl w:val="0"/>
              <w:spacing w:line="240" w:lineRule="auto"/>
            </w:pPr>
            <w:r>
              <w:t xml:space="preserve"> Congested/runny nose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57909" w14:textId="77777777" w:rsidR="00D77A76" w:rsidRDefault="00000000">
            <w:pPr>
              <w:widowControl w:val="0"/>
              <w:spacing w:line="240" w:lineRule="auto"/>
            </w:pPr>
            <w:r>
              <w:t xml:space="preserve"> Dry eyes/ redness of eyes </w:t>
            </w:r>
          </w:p>
        </w:tc>
      </w:tr>
      <w:tr w:rsidR="00D77A76" w14:paraId="12A49D7D"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D2DA8" w14:textId="77777777" w:rsidR="00D77A76" w:rsidRDefault="00000000">
            <w:pPr>
              <w:widowControl w:val="0"/>
              <w:spacing w:line="240" w:lineRule="auto"/>
            </w:pPr>
            <w:r>
              <w:t xml:space="preserve"> Dizziness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D6125" w14:textId="77777777" w:rsidR="00D77A76" w:rsidRDefault="00000000">
            <w:pPr>
              <w:widowControl w:val="0"/>
              <w:spacing w:line="240" w:lineRule="auto"/>
            </w:pPr>
            <w:r>
              <w:t xml:space="preserve"> Visual changes; Blurry vision</w:t>
            </w:r>
          </w:p>
        </w:tc>
      </w:tr>
      <w:tr w:rsidR="00D77A76" w14:paraId="20709A08"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A7E1B" w14:textId="77777777" w:rsidR="00D77A76" w:rsidRDefault="00000000">
            <w:pPr>
              <w:widowControl w:val="0"/>
              <w:spacing w:line="240" w:lineRule="auto"/>
            </w:pPr>
            <w:r>
              <w:t xml:space="preserve"> Memory problems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4A666" w14:textId="77777777" w:rsidR="00D77A76" w:rsidRDefault="00000000">
            <w:pPr>
              <w:widowControl w:val="0"/>
              <w:spacing w:line="240" w:lineRule="auto"/>
            </w:pPr>
            <w:r>
              <w:t xml:space="preserve"> Sore throat or mouth </w:t>
            </w:r>
          </w:p>
        </w:tc>
      </w:tr>
      <w:tr w:rsidR="00D77A76" w14:paraId="2BF95765"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1EBDE" w14:textId="77777777" w:rsidR="00D77A76" w:rsidRDefault="00000000">
            <w:pPr>
              <w:widowControl w:val="0"/>
              <w:spacing w:line="240" w:lineRule="auto"/>
            </w:pPr>
            <w:r>
              <w:t xml:space="preserve"> Cough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57A7" w14:textId="77777777" w:rsidR="00D77A76" w:rsidRDefault="00000000">
            <w:pPr>
              <w:widowControl w:val="0"/>
              <w:spacing w:line="240" w:lineRule="auto"/>
            </w:pPr>
            <w:r>
              <w:t xml:space="preserve"> Post-exertion malaise (feeling unwell or 'crashing' after exercise or physical exertion) </w:t>
            </w:r>
          </w:p>
        </w:tc>
      </w:tr>
      <w:tr w:rsidR="00D77A76" w14:paraId="4C73ABB4"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A7A3D" w14:textId="77777777" w:rsidR="00D77A76" w:rsidRDefault="00000000">
            <w:pPr>
              <w:widowControl w:val="0"/>
              <w:spacing w:line="240" w:lineRule="auto"/>
            </w:pPr>
            <w:r>
              <w:t xml:space="preserve"> Change/loss of taste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037A6" w14:textId="77777777" w:rsidR="00D77A76" w:rsidRDefault="00000000">
            <w:pPr>
              <w:widowControl w:val="0"/>
              <w:spacing w:line="240" w:lineRule="auto"/>
            </w:pPr>
            <w:r>
              <w:t xml:space="preserve"> Unintentional weight gain </w:t>
            </w:r>
          </w:p>
        </w:tc>
      </w:tr>
      <w:tr w:rsidR="00D77A76" w14:paraId="23E433C7"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EEE69" w14:textId="77777777" w:rsidR="00D77A76" w:rsidRDefault="00000000">
            <w:pPr>
              <w:widowControl w:val="0"/>
              <w:spacing w:line="240" w:lineRule="auto"/>
            </w:pPr>
            <w:r>
              <w:t xml:space="preserve"> Change/loss of smell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CF9B3" w14:textId="77777777" w:rsidR="00D77A76" w:rsidRDefault="00000000">
            <w:pPr>
              <w:widowControl w:val="0"/>
              <w:spacing w:line="240" w:lineRule="auto"/>
            </w:pPr>
            <w:r>
              <w:t xml:space="preserve"> Problems with movement, balance, and/or coordination </w:t>
            </w:r>
          </w:p>
        </w:tc>
      </w:tr>
      <w:tr w:rsidR="00D77A76" w14:paraId="2A503566"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3146A" w14:textId="77777777" w:rsidR="00D77A76" w:rsidRDefault="00000000">
            <w:pPr>
              <w:widowControl w:val="0"/>
              <w:spacing w:line="240" w:lineRule="auto"/>
            </w:pPr>
            <w:r>
              <w:t xml:space="preserve"> Hair loss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2E60B" w14:textId="77777777" w:rsidR="00D77A76" w:rsidRDefault="00000000">
            <w:pPr>
              <w:widowControl w:val="0"/>
              <w:spacing w:line="240" w:lineRule="auto"/>
            </w:pPr>
            <w:r>
              <w:t xml:space="preserve"> Paraesthesia (pricking, tingling, or creeping feeling on the skin) </w:t>
            </w:r>
          </w:p>
        </w:tc>
      </w:tr>
      <w:tr w:rsidR="00D77A76" w14:paraId="5F9A85BB"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D5834" w14:textId="77777777" w:rsidR="00D77A76" w:rsidRDefault="00000000">
            <w:pPr>
              <w:widowControl w:val="0"/>
              <w:spacing w:line="240" w:lineRule="auto"/>
            </w:pPr>
            <w:r>
              <w:t xml:space="preserve"> Skin rash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DAE0A" w14:textId="77777777" w:rsidR="00D77A76" w:rsidRDefault="00000000">
            <w:pPr>
              <w:widowControl w:val="0"/>
              <w:spacing w:line="240" w:lineRule="auto"/>
            </w:pPr>
            <w:r>
              <w:t xml:space="preserve"> Swelling of hands and/or feet </w:t>
            </w:r>
          </w:p>
        </w:tc>
      </w:tr>
      <w:tr w:rsidR="00D77A76" w14:paraId="3442D69B"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93771" w14:textId="77777777" w:rsidR="00D77A76" w:rsidRDefault="00000000">
            <w:pPr>
              <w:widowControl w:val="0"/>
              <w:spacing w:line="240" w:lineRule="auto"/>
            </w:pPr>
            <w:r>
              <w:t xml:space="preserve"> Unintentional weight loss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C217" w14:textId="77777777" w:rsidR="00D77A76" w:rsidRDefault="00000000">
            <w:pPr>
              <w:widowControl w:val="0"/>
              <w:spacing w:line="240" w:lineRule="auto"/>
            </w:pPr>
            <w:r>
              <w:t xml:space="preserve"> Difficulty swallowing (dysphagia) </w:t>
            </w:r>
          </w:p>
        </w:tc>
      </w:tr>
      <w:tr w:rsidR="00D77A76" w14:paraId="0BD0C6FD"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FC184" w14:textId="77777777" w:rsidR="00D77A76" w:rsidRDefault="00000000">
            <w:pPr>
              <w:widowControl w:val="0"/>
              <w:spacing w:line="240" w:lineRule="auto"/>
            </w:pPr>
            <w:r>
              <w:t xml:space="preserve"> Nausea and/or vomiting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FAA30" w14:textId="77777777" w:rsidR="00D77A76" w:rsidRDefault="00000000">
            <w:pPr>
              <w:widowControl w:val="0"/>
              <w:spacing w:line="240" w:lineRule="auto"/>
            </w:pPr>
            <w:r>
              <w:t xml:space="preserve"> Easy bruising/ bleeding </w:t>
            </w:r>
          </w:p>
        </w:tc>
      </w:tr>
      <w:tr w:rsidR="00D77A76" w14:paraId="608C6163"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E9054" w14:textId="77777777" w:rsidR="00D77A76" w:rsidRDefault="00000000">
            <w:pPr>
              <w:widowControl w:val="0"/>
              <w:spacing w:line="240" w:lineRule="auto"/>
            </w:pPr>
            <w:r>
              <w:t xml:space="preserve"> Diarrhoea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3DE1A" w14:textId="77777777" w:rsidR="00D77A76" w:rsidRDefault="00000000">
            <w:pPr>
              <w:widowControl w:val="0"/>
              <w:spacing w:line="240" w:lineRule="auto"/>
            </w:pPr>
            <w:r>
              <w:t xml:space="preserve"> Acid reflux/heartburn </w:t>
            </w:r>
          </w:p>
        </w:tc>
      </w:tr>
      <w:tr w:rsidR="00D77A76" w14:paraId="23B6F37C"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0F9EC" w14:textId="77777777" w:rsidR="00D77A76" w:rsidRDefault="00000000">
            <w:pPr>
              <w:widowControl w:val="0"/>
              <w:spacing w:line="240" w:lineRule="auto"/>
            </w:pPr>
            <w:r>
              <w:t xml:space="preserve"> Tachycardia (fast heartbeat) or palpitations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075E0" w14:textId="77777777" w:rsidR="00D77A76" w:rsidRDefault="00000000">
            <w:pPr>
              <w:widowControl w:val="0"/>
              <w:spacing w:line="240" w:lineRule="auto"/>
            </w:pPr>
            <w:r>
              <w:t xml:space="preserve"> Gynaecological problems (e.g., change in menstrual cycles or flow) </w:t>
            </w:r>
          </w:p>
        </w:tc>
      </w:tr>
      <w:tr w:rsidR="00D77A76" w14:paraId="768A3457"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79F1C" w14:textId="77777777" w:rsidR="00D77A76" w:rsidRDefault="00000000">
            <w:pPr>
              <w:widowControl w:val="0"/>
              <w:spacing w:line="240" w:lineRule="auto"/>
            </w:pPr>
            <w:r>
              <w:lastRenderedPageBreak/>
              <w:t xml:space="preserve"> Chest pain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FBE75" w14:textId="77777777" w:rsidR="00D77A76" w:rsidRDefault="00000000">
            <w:pPr>
              <w:widowControl w:val="0"/>
              <w:spacing w:line="240" w:lineRule="auto"/>
            </w:pPr>
            <w:r>
              <w:t xml:space="preserve"> Urinary symptoms (e.g., bladder frequency, urgency or incontinence) </w:t>
            </w:r>
          </w:p>
        </w:tc>
      </w:tr>
      <w:tr w:rsidR="00D77A76" w14:paraId="780C9899"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E365" w14:textId="77777777" w:rsidR="00D77A76" w:rsidRDefault="00000000">
            <w:pPr>
              <w:widowControl w:val="0"/>
              <w:spacing w:line="240" w:lineRule="auto"/>
            </w:pPr>
            <w:r>
              <w:t xml:space="preserve"> Abdominal pain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E61D9" w14:textId="77777777" w:rsidR="00D77A76" w:rsidRDefault="00000000">
            <w:pPr>
              <w:widowControl w:val="0"/>
              <w:spacing w:line="240" w:lineRule="auto"/>
            </w:pPr>
            <w:r>
              <w:t xml:space="preserve"> New allergy (e.g., to food, medications, etc.) </w:t>
            </w:r>
          </w:p>
        </w:tc>
      </w:tr>
      <w:tr w:rsidR="00D77A76" w14:paraId="5F98AD84"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70C76" w14:textId="77777777" w:rsidR="00D77A76" w:rsidRDefault="00000000">
            <w:pPr>
              <w:widowControl w:val="0"/>
              <w:spacing w:line="240" w:lineRule="auto"/>
            </w:pPr>
            <w:r>
              <w:t xml:space="preserve"> Shortness of breath/dyspnoea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5CD7B" w14:textId="77777777" w:rsidR="00D77A76" w:rsidRDefault="00000000">
            <w:pPr>
              <w:widowControl w:val="0"/>
              <w:spacing w:line="240" w:lineRule="auto"/>
            </w:pPr>
            <w:r>
              <w:t xml:space="preserve"> Ear pain </w:t>
            </w:r>
          </w:p>
        </w:tc>
      </w:tr>
      <w:tr w:rsidR="00D77A76" w14:paraId="64340D3A"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585E1" w14:textId="77777777" w:rsidR="00D77A76" w:rsidRDefault="00000000">
            <w:pPr>
              <w:widowControl w:val="0"/>
              <w:spacing w:line="240" w:lineRule="auto"/>
            </w:pPr>
            <w:r>
              <w:t xml:space="preserve"> Muscle aches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DFC48" w14:textId="77777777" w:rsidR="00D77A76" w:rsidRDefault="00000000">
            <w:pPr>
              <w:widowControl w:val="0"/>
              <w:spacing w:line="240" w:lineRule="auto"/>
            </w:pPr>
            <w:r>
              <w:t xml:space="preserve"> Change in hearing </w:t>
            </w:r>
          </w:p>
        </w:tc>
      </w:tr>
      <w:tr w:rsidR="00D77A76" w14:paraId="198D0580"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C5751" w14:textId="77777777" w:rsidR="00D77A76" w:rsidRDefault="00000000">
            <w:pPr>
              <w:widowControl w:val="0"/>
              <w:spacing w:line="240" w:lineRule="auto"/>
            </w:pPr>
            <w:r>
              <w:t xml:space="preserve"> Bone and joint pain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E91D1" w14:textId="77777777" w:rsidR="00D77A76" w:rsidRDefault="00000000">
            <w:pPr>
              <w:widowControl w:val="0"/>
              <w:spacing w:line="240" w:lineRule="auto"/>
            </w:pPr>
            <w:r>
              <w:t xml:space="preserve"> Tinnitus </w:t>
            </w:r>
          </w:p>
        </w:tc>
      </w:tr>
      <w:tr w:rsidR="00D77A76" w14:paraId="69C9A07A" w14:textId="77777777">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8BBAB" w14:textId="77777777" w:rsidR="00D77A76" w:rsidRDefault="00000000">
            <w:pPr>
              <w:widowControl w:val="0"/>
              <w:spacing w:line="240" w:lineRule="auto"/>
            </w:pPr>
            <w:r>
              <w:t xml:space="preserve"> Swollen lymph nodes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4637E" w14:textId="77777777" w:rsidR="00D77A76" w:rsidRDefault="00000000">
            <w:pPr>
              <w:widowControl w:val="0"/>
              <w:spacing w:line="240" w:lineRule="auto"/>
            </w:pPr>
            <w:r>
              <w:t xml:space="preserve"> Other symptom(s), please describe: </w:t>
            </w:r>
          </w:p>
        </w:tc>
      </w:tr>
    </w:tbl>
    <w:p w14:paraId="771E6200" w14:textId="77777777" w:rsidR="00D77A76" w:rsidRDefault="00D77A76"/>
    <w:p w14:paraId="63A2999A" w14:textId="77777777" w:rsidR="00D77A76" w:rsidRDefault="00D77A76"/>
    <w:p w14:paraId="6FEB8FAB" w14:textId="77777777" w:rsidR="00D77A76" w:rsidRDefault="00D77A76"/>
    <w:p w14:paraId="3AF39473" w14:textId="77777777" w:rsidR="00D77A76" w:rsidRDefault="00D77A76"/>
    <w:p w14:paraId="2D92C709" w14:textId="77777777" w:rsidR="00D77A76" w:rsidRDefault="00D77A76"/>
    <w:p w14:paraId="72EA7424" w14:textId="77777777" w:rsidR="00D77A76" w:rsidRDefault="00D77A76"/>
    <w:p w14:paraId="27767B0C" w14:textId="77777777" w:rsidR="00D77A76" w:rsidRDefault="00D77A76">
      <w:pPr>
        <w:rPr>
          <w:b/>
        </w:rPr>
      </w:pPr>
    </w:p>
    <w:p w14:paraId="075B397B" w14:textId="77777777" w:rsidR="00D77A76" w:rsidRDefault="00D77A76">
      <w:pPr>
        <w:rPr>
          <w:b/>
        </w:rPr>
        <w:sectPr w:rsidR="00D77A76" w:rsidSect="00581B7C">
          <w:headerReference w:type="default" r:id="rId8"/>
          <w:footerReference w:type="default" r:id="rId9"/>
          <w:pgSz w:w="11909" w:h="16834"/>
          <w:pgMar w:top="1440" w:right="1440" w:bottom="1440" w:left="1440" w:header="720" w:footer="720" w:gutter="0"/>
          <w:pgNumType w:start="1"/>
          <w:cols w:space="720"/>
        </w:sectPr>
      </w:pPr>
    </w:p>
    <w:p w14:paraId="51B8C70D" w14:textId="77777777" w:rsidR="00D77A76" w:rsidRDefault="00000000">
      <w:pPr>
        <w:rPr>
          <w:b/>
        </w:rPr>
      </w:pPr>
      <w:r>
        <w:rPr>
          <w:b/>
        </w:rPr>
        <w:lastRenderedPageBreak/>
        <w:t>Supplementary Table S1. Variant Period Dates by English National Region</w:t>
      </w:r>
    </w:p>
    <w:p w14:paraId="38B90D5F" w14:textId="77777777" w:rsidR="00D77A76" w:rsidRDefault="00D77A76">
      <w:pPr>
        <w:rPr>
          <w:b/>
        </w:rPr>
      </w:pPr>
    </w:p>
    <w:tbl>
      <w:tblPr>
        <w:tblStyle w:val="a1"/>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5"/>
        <w:gridCol w:w="1745"/>
        <w:gridCol w:w="1744"/>
        <w:gridCol w:w="1744"/>
        <w:gridCol w:w="1744"/>
        <w:gridCol w:w="1744"/>
        <w:gridCol w:w="1744"/>
        <w:gridCol w:w="1744"/>
      </w:tblGrid>
      <w:tr w:rsidR="00D77A76" w14:paraId="1C791114" w14:textId="77777777">
        <w:trPr>
          <w:trHeight w:val="305"/>
        </w:trPr>
        <w:tc>
          <w:tcPr>
            <w:tcW w:w="1744" w:type="dxa"/>
            <w:tcBorders>
              <w:top w:val="single" w:sz="7" w:space="0" w:color="000000"/>
              <w:left w:val="nil"/>
              <w:bottom w:val="nil"/>
              <w:right w:val="nil"/>
            </w:tcBorders>
            <w:tcMar>
              <w:top w:w="0" w:type="dxa"/>
              <w:left w:w="0" w:type="dxa"/>
              <w:bottom w:w="0" w:type="dxa"/>
              <w:right w:w="0" w:type="dxa"/>
            </w:tcMar>
          </w:tcPr>
          <w:p w14:paraId="2E42D293" w14:textId="77777777" w:rsidR="00D77A76" w:rsidRPr="00F64F91" w:rsidRDefault="00000000">
            <w:pPr>
              <w:widowControl w:val="0"/>
              <w:spacing w:before="240"/>
              <w:ind w:left="140" w:right="140"/>
              <w:rPr>
                <w:b/>
                <w:sz w:val="20"/>
                <w:szCs w:val="20"/>
              </w:rPr>
            </w:pPr>
            <w:r w:rsidRPr="00F64F91">
              <w:rPr>
                <w:b/>
                <w:sz w:val="20"/>
                <w:szCs w:val="20"/>
              </w:rPr>
              <w:t>Region</w:t>
            </w:r>
          </w:p>
        </w:tc>
        <w:tc>
          <w:tcPr>
            <w:tcW w:w="10464" w:type="dxa"/>
            <w:gridSpan w:val="6"/>
            <w:tcBorders>
              <w:top w:val="single" w:sz="7" w:space="0" w:color="000000"/>
              <w:left w:val="nil"/>
              <w:bottom w:val="nil"/>
              <w:right w:val="nil"/>
            </w:tcBorders>
            <w:tcMar>
              <w:top w:w="0" w:type="dxa"/>
              <w:left w:w="0" w:type="dxa"/>
              <w:bottom w:w="0" w:type="dxa"/>
              <w:right w:w="0" w:type="dxa"/>
            </w:tcMar>
          </w:tcPr>
          <w:p w14:paraId="54951BCE" w14:textId="77777777" w:rsidR="00D77A76" w:rsidRPr="00F64F91" w:rsidRDefault="00000000">
            <w:pPr>
              <w:widowControl w:val="0"/>
              <w:spacing w:before="240"/>
              <w:ind w:left="140" w:right="140"/>
              <w:jc w:val="center"/>
              <w:rPr>
                <w:b/>
                <w:sz w:val="20"/>
                <w:szCs w:val="20"/>
              </w:rPr>
            </w:pPr>
            <w:r w:rsidRPr="00F64F91">
              <w:rPr>
                <w:b/>
                <w:sz w:val="20"/>
                <w:szCs w:val="20"/>
              </w:rPr>
              <w:t>Variant Period</w:t>
            </w:r>
          </w:p>
        </w:tc>
        <w:tc>
          <w:tcPr>
            <w:tcW w:w="1744" w:type="dxa"/>
            <w:tcBorders>
              <w:top w:val="single" w:sz="7" w:space="0" w:color="000000"/>
              <w:left w:val="nil"/>
              <w:bottom w:val="nil"/>
              <w:right w:val="nil"/>
            </w:tcBorders>
            <w:shd w:val="clear" w:color="auto" w:fill="auto"/>
            <w:tcMar>
              <w:top w:w="0" w:type="dxa"/>
              <w:left w:w="0" w:type="dxa"/>
              <w:bottom w:w="0" w:type="dxa"/>
              <w:right w:w="0" w:type="dxa"/>
            </w:tcMar>
          </w:tcPr>
          <w:p w14:paraId="775895D5" w14:textId="77777777" w:rsidR="00D77A76" w:rsidRPr="00F64F91" w:rsidRDefault="00D77A76">
            <w:pPr>
              <w:widowControl w:val="0"/>
              <w:pBdr>
                <w:top w:val="nil"/>
                <w:left w:val="nil"/>
                <w:bottom w:val="nil"/>
                <w:right w:val="nil"/>
                <w:between w:val="nil"/>
              </w:pBdr>
              <w:spacing w:line="240" w:lineRule="auto"/>
              <w:rPr>
                <w:b/>
                <w:sz w:val="20"/>
                <w:szCs w:val="20"/>
              </w:rPr>
            </w:pPr>
          </w:p>
        </w:tc>
      </w:tr>
      <w:tr w:rsidR="00D77A76" w14:paraId="152F9444" w14:textId="77777777">
        <w:trPr>
          <w:trHeight w:val="551"/>
        </w:trPr>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6B90FA1D" w14:textId="77777777" w:rsidR="00D77A76" w:rsidRPr="00F64F91" w:rsidRDefault="00D77A76">
            <w:pPr>
              <w:widowControl w:val="0"/>
              <w:spacing w:line="240" w:lineRule="auto"/>
              <w:ind w:left="140" w:right="140"/>
              <w:rPr>
                <w:b/>
                <w:sz w:val="20"/>
                <w:szCs w:val="20"/>
              </w:rPr>
            </w:pP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33D8202C" w14:textId="77777777" w:rsidR="00D77A76" w:rsidRPr="00F64F91" w:rsidRDefault="00000000">
            <w:pPr>
              <w:widowControl w:val="0"/>
              <w:spacing w:before="240"/>
              <w:ind w:left="140" w:right="140"/>
              <w:jc w:val="center"/>
              <w:rPr>
                <w:b/>
                <w:sz w:val="20"/>
                <w:szCs w:val="20"/>
              </w:rPr>
            </w:pPr>
            <w:r w:rsidRPr="00F64F91">
              <w:rPr>
                <w:b/>
                <w:sz w:val="20"/>
                <w:szCs w:val="20"/>
              </w:rPr>
              <w:t>Wild Type</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055718B9" w14:textId="77777777" w:rsidR="00D77A76" w:rsidRPr="00F64F91" w:rsidRDefault="00000000">
            <w:pPr>
              <w:widowControl w:val="0"/>
              <w:spacing w:before="240"/>
              <w:ind w:left="140" w:right="140"/>
              <w:jc w:val="center"/>
              <w:rPr>
                <w:b/>
                <w:sz w:val="20"/>
                <w:szCs w:val="20"/>
              </w:rPr>
            </w:pPr>
            <w:r w:rsidRPr="00F64F91">
              <w:rPr>
                <w:b/>
                <w:sz w:val="20"/>
                <w:szCs w:val="20"/>
              </w:rPr>
              <w:t>Alpha</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795C116C" w14:textId="77777777" w:rsidR="00D77A76" w:rsidRPr="00F64F91" w:rsidRDefault="00000000">
            <w:pPr>
              <w:widowControl w:val="0"/>
              <w:spacing w:before="240"/>
              <w:ind w:left="140" w:right="140"/>
              <w:jc w:val="center"/>
              <w:rPr>
                <w:b/>
                <w:sz w:val="20"/>
                <w:szCs w:val="20"/>
              </w:rPr>
            </w:pPr>
            <w:r w:rsidRPr="00F64F91">
              <w:rPr>
                <w:b/>
                <w:sz w:val="20"/>
                <w:szCs w:val="20"/>
              </w:rPr>
              <w:t>Delta</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5C15607B" w14:textId="77777777" w:rsidR="00D77A76" w:rsidRPr="00F64F91" w:rsidRDefault="00000000">
            <w:pPr>
              <w:widowControl w:val="0"/>
              <w:spacing w:before="240"/>
              <w:ind w:left="140" w:right="140"/>
              <w:jc w:val="center"/>
              <w:rPr>
                <w:b/>
                <w:sz w:val="20"/>
                <w:szCs w:val="20"/>
              </w:rPr>
            </w:pPr>
            <w:r w:rsidRPr="00F64F91">
              <w:rPr>
                <w:b/>
                <w:sz w:val="20"/>
                <w:szCs w:val="20"/>
              </w:rPr>
              <w:t>Omicron BA.1</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3B233F74" w14:textId="77777777" w:rsidR="00D77A76" w:rsidRPr="00F64F91" w:rsidRDefault="00000000">
            <w:pPr>
              <w:widowControl w:val="0"/>
              <w:spacing w:before="240"/>
              <w:ind w:left="140" w:right="140"/>
              <w:jc w:val="center"/>
              <w:rPr>
                <w:b/>
                <w:sz w:val="20"/>
                <w:szCs w:val="20"/>
              </w:rPr>
            </w:pPr>
            <w:r w:rsidRPr="00F64F91">
              <w:rPr>
                <w:b/>
                <w:sz w:val="20"/>
                <w:szCs w:val="20"/>
              </w:rPr>
              <w:t>Omicron BA.2</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524606C7" w14:textId="77777777" w:rsidR="00D77A76" w:rsidRPr="00F64F91" w:rsidRDefault="00000000">
            <w:pPr>
              <w:widowControl w:val="0"/>
              <w:spacing w:before="240"/>
              <w:ind w:left="140" w:right="140"/>
              <w:jc w:val="center"/>
              <w:rPr>
                <w:b/>
                <w:sz w:val="20"/>
                <w:szCs w:val="20"/>
              </w:rPr>
            </w:pPr>
            <w:r w:rsidRPr="00F64F91">
              <w:rPr>
                <w:b/>
                <w:sz w:val="20"/>
                <w:szCs w:val="20"/>
              </w:rPr>
              <w:t>Omicron BA.5</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637EDEA0" w14:textId="77777777" w:rsidR="00D77A76" w:rsidRPr="00F64F91" w:rsidRDefault="00000000">
            <w:pPr>
              <w:widowControl w:val="0"/>
              <w:spacing w:before="240"/>
              <w:ind w:left="140" w:right="140"/>
              <w:jc w:val="center"/>
              <w:rPr>
                <w:b/>
                <w:sz w:val="20"/>
                <w:szCs w:val="20"/>
              </w:rPr>
            </w:pPr>
            <w:r w:rsidRPr="00F64F91">
              <w:rPr>
                <w:b/>
                <w:sz w:val="20"/>
                <w:szCs w:val="20"/>
              </w:rPr>
              <w:t>Omicron Other</w:t>
            </w:r>
          </w:p>
        </w:tc>
      </w:tr>
      <w:tr w:rsidR="00D77A76" w14:paraId="277FE418" w14:textId="77777777">
        <w:trPr>
          <w:trHeight w:val="658"/>
        </w:trPr>
        <w:tc>
          <w:tcPr>
            <w:tcW w:w="1744" w:type="dxa"/>
            <w:tcBorders>
              <w:top w:val="nil"/>
              <w:left w:val="nil"/>
              <w:bottom w:val="nil"/>
              <w:right w:val="nil"/>
            </w:tcBorders>
            <w:shd w:val="clear" w:color="auto" w:fill="auto"/>
            <w:tcMar>
              <w:top w:w="0" w:type="dxa"/>
              <w:left w:w="0" w:type="dxa"/>
              <w:bottom w:w="0" w:type="dxa"/>
              <w:right w:w="0" w:type="dxa"/>
            </w:tcMar>
          </w:tcPr>
          <w:p w14:paraId="5D57BD02" w14:textId="77777777" w:rsidR="00D77A76" w:rsidRPr="00F64F91" w:rsidRDefault="00000000">
            <w:pPr>
              <w:widowControl w:val="0"/>
              <w:spacing w:after="200" w:line="240" w:lineRule="auto"/>
              <w:ind w:left="140" w:right="140"/>
              <w:rPr>
                <w:b/>
                <w:sz w:val="20"/>
                <w:szCs w:val="20"/>
              </w:rPr>
            </w:pPr>
            <w:r w:rsidRPr="00F64F91">
              <w:rPr>
                <w:b/>
                <w:sz w:val="20"/>
                <w:szCs w:val="20"/>
              </w:rPr>
              <w:t>East Midlands</w:t>
            </w:r>
          </w:p>
        </w:tc>
        <w:tc>
          <w:tcPr>
            <w:tcW w:w="1744" w:type="dxa"/>
            <w:tcBorders>
              <w:top w:val="nil"/>
              <w:left w:val="nil"/>
              <w:bottom w:val="nil"/>
              <w:right w:val="nil"/>
            </w:tcBorders>
            <w:shd w:val="clear" w:color="auto" w:fill="auto"/>
            <w:tcMar>
              <w:top w:w="0" w:type="dxa"/>
              <w:left w:w="0" w:type="dxa"/>
              <w:bottom w:w="0" w:type="dxa"/>
              <w:right w:w="0" w:type="dxa"/>
            </w:tcMar>
          </w:tcPr>
          <w:p w14:paraId="09FADA6F" w14:textId="77777777" w:rsidR="00D77A76" w:rsidRPr="00F64F91" w:rsidRDefault="00000000">
            <w:pPr>
              <w:widowControl w:val="0"/>
              <w:spacing w:after="200" w:line="240" w:lineRule="auto"/>
              <w:ind w:left="140" w:right="140"/>
              <w:rPr>
                <w:sz w:val="20"/>
                <w:szCs w:val="20"/>
              </w:rPr>
            </w:pPr>
            <w:r w:rsidRPr="00F64F91">
              <w:rPr>
                <w:sz w:val="20"/>
                <w:szCs w:val="20"/>
              </w:rPr>
              <w:t>1 Feb 2020 - 9 Dec 2020</w:t>
            </w:r>
          </w:p>
        </w:tc>
        <w:tc>
          <w:tcPr>
            <w:tcW w:w="1744" w:type="dxa"/>
            <w:tcBorders>
              <w:top w:val="nil"/>
              <w:left w:val="nil"/>
              <w:bottom w:val="nil"/>
              <w:right w:val="nil"/>
            </w:tcBorders>
            <w:shd w:val="clear" w:color="auto" w:fill="auto"/>
            <w:tcMar>
              <w:top w:w="0" w:type="dxa"/>
              <w:left w:w="0" w:type="dxa"/>
              <w:bottom w:w="0" w:type="dxa"/>
              <w:right w:w="0" w:type="dxa"/>
            </w:tcMar>
          </w:tcPr>
          <w:p w14:paraId="779A8C98" w14:textId="77777777" w:rsidR="00D77A76" w:rsidRPr="00F64F91" w:rsidRDefault="00000000">
            <w:pPr>
              <w:widowControl w:val="0"/>
              <w:spacing w:after="200" w:line="240" w:lineRule="auto"/>
              <w:ind w:left="140" w:right="140"/>
              <w:rPr>
                <w:sz w:val="20"/>
                <w:szCs w:val="20"/>
              </w:rPr>
            </w:pPr>
            <w:r w:rsidRPr="00F64F91">
              <w:rPr>
                <w:sz w:val="20"/>
                <w:szCs w:val="20"/>
              </w:rPr>
              <w:t>4 Jan 2021 - 4 May 2021</w:t>
            </w:r>
          </w:p>
        </w:tc>
        <w:tc>
          <w:tcPr>
            <w:tcW w:w="1744" w:type="dxa"/>
            <w:tcBorders>
              <w:top w:val="nil"/>
              <w:left w:val="nil"/>
              <w:bottom w:val="nil"/>
              <w:right w:val="nil"/>
            </w:tcBorders>
            <w:shd w:val="clear" w:color="auto" w:fill="auto"/>
            <w:tcMar>
              <w:top w:w="0" w:type="dxa"/>
              <w:left w:w="0" w:type="dxa"/>
              <w:bottom w:w="0" w:type="dxa"/>
              <w:right w:w="0" w:type="dxa"/>
            </w:tcMar>
          </w:tcPr>
          <w:p w14:paraId="7F108CDD" w14:textId="77777777" w:rsidR="00D77A76" w:rsidRPr="00F64F91" w:rsidRDefault="00000000">
            <w:pPr>
              <w:widowControl w:val="0"/>
              <w:spacing w:after="200" w:line="240" w:lineRule="auto"/>
              <w:ind w:left="140" w:right="140"/>
              <w:rPr>
                <w:sz w:val="20"/>
                <w:szCs w:val="20"/>
              </w:rPr>
            </w:pPr>
            <w:r w:rsidRPr="00F64F91">
              <w:rPr>
                <w:sz w:val="20"/>
                <w:szCs w:val="20"/>
              </w:rPr>
              <w:t>1 Jun 2021 - 11 Dec 2021</w:t>
            </w:r>
          </w:p>
        </w:tc>
        <w:tc>
          <w:tcPr>
            <w:tcW w:w="1744" w:type="dxa"/>
            <w:tcBorders>
              <w:top w:val="nil"/>
              <w:left w:val="nil"/>
              <w:bottom w:val="nil"/>
              <w:right w:val="nil"/>
            </w:tcBorders>
            <w:shd w:val="clear" w:color="auto" w:fill="auto"/>
            <w:tcMar>
              <w:top w:w="0" w:type="dxa"/>
              <w:left w:w="0" w:type="dxa"/>
              <w:bottom w:w="0" w:type="dxa"/>
              <w:right w:w="0" w:type="dxa"/>
            </w:tcMar>
          </w:tcPr>
          <w:p w14:paraId="38F8FEFC" w14:textId="77777777" w:rsidR="00D77A76" w:rsidRPr="00F64F91" w:rsidRDefault="00000000">
            <w:pPr>
              <w:widowControl w:val="0"/>
              <w:spacing w:after="200" w:line="240" w:lineRule="auto"/>
              <w:ind w:left="140" w:right="140"/>
              <w:rPr>
                <w:sz w:val="20"/>
                <w:szCs w:val="20"/>
              </w:rPr>
            </w:pPr>
            <w:r w:rsidRPr="00F64F91">
              <w:rPr>
                <w:sz w:val="20"/>
                <w:szCs w:val="20"/>
              </w:rPr>
              <w:t>20 Dec 2021 - 6 Mar 2022</w:t>
            </w:r>
          </w:p>
        </w:tc>
        <w:tc>
          <w:tcPr>
            <w:tcW w:w="1744" w:type="dxa"/>
            <w:tcBorders>
              <w:top w:val="nil"/>
              <w:left w:val="nil"/>
              <w:bottom w:val="nil"/>
              <w:right w:val="nil"/>
            </w:tcBorders>
            <w:shd w:val="clear" w:color="auto" w:fill="auto"/>
            <w:tcMar>
              <w:top w:w="0" w:type="dxa"/>
              <w:left w:w="0" w:type="dxa"/>
              <w:bottom w:w="0" w:type="dxa"/>
              <w:right w:w="0" w:type="dxa"/>
            </w:tcMar>
          </w:tcPr>
          <w:p w14:paraId="435AD766"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nil"/>
              <w:right w:val="nil"/>
            </w:tcBorders>
            <w:shd w:val="clear" w:color="auto" w:fill="auto"/>
            <w:tcMar>
              <w:top w:w="0" w:type="dxa"/>
              <w:left w:w="0" w:type="dxa"/>
              <w:bottom w:w="0" w:type="dxa"/>
              <w:right w:w="0" w:type="dxa"/>
            </w:tcMar>
          </w:tcPr>
          <w:p w14:paraId="0F063355"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nil"/>
              <w:right w:val="nil"/>
            </w:tcBorders>
            <w:shd w:val="clear" w:color="auto" w:fill="auto"/>
            <w:tcMar>
              <w:top w:w="0" w:type="dxa"/>
              <w:left w:w="0" w:type="dxa"/>
              <w:bottom w:w="0" w:type="dxa"/>
              <w:right w:w="0" w:type="dxa"/>
            </w:tcMar>
          </w:tcPr>
          <w:p w14:paraId="7BEBFE18"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r w:rsidR="00D77A76" w14:paraId="5575F964" w14:textId="77777777">
        <w:trPr>
          <w:trHeight w:val="713"/>
        </w:trPr>
        <w:tc>
          <w:tcPr>
            <w:tcW w:w="1744" w:type="dxa"/>
            <w:tcBorders>
              <w:top w:val="nil"/>
              <w:left w:val="nil"/>
              <w:bottom w:val="nil"/>
              <w:right w:val="nil"/>
            </w:tcBorders>
            <w:shd w:val="clear" w:color="auto" w:fill="auto"/>
            <w:tcMar>
              <w:top w:w="0" w:type="dxa"/>
              <w:left w:w="0" w:type="dxa"/>
              <w:bottom w:w="0" w:type="dxa"/>
              <w:right w:w="0" w:type="dxa"/>
            </w:tcMar>
          </w:tcPr>
          <w:p w14:paraId="705E2C7B" w14:textId="77777777" w:rsidR="00D77A76" w:rsidRPr="00F64F91" w:rsidRDefault="00000000">
            <w:pPr>
              <w:widowControl w:val="0"/>
              <w:spacing w:after="200" w:line="240" w:lineRule="auto"/>
              <w:ind w:left="140" w:right="140"/>
              <w:rPr>
                <w:b/>
                <w:sz w:val="20"/>
                <w:szCs w:val="20"/>
              </w:rPr>
            </w:pPr>
            <w:r w:rsidRPr="00F64F91">
              <w:rPr>
                <w:b/>
                <w:sz w:val="20"/>
                <w:szCs w:val="20"/>
              </w:rPr>
              <w:t>East of England</w:t>
            </w:r>
          </w:p>
        </w:tc>
        <w:tc>
          <w:tcPr>
            <w:tcW w:w="1744" w:type="dxa"/>
            <w:tcBorders>
              <w:top w:val="nil"/>
              <w:left w:val="nil"/>
              <w:bottom w:val="nil"/>
              <w:right w:val="nil"/>
            </w:tcBorders>
            <w:shd w:val="clear" w:color="auto" w:fill="auto"/>
            <w:tcMar>
              <w:top w:w="0" w:type="dxa"/>
              <w:left w:w="0" w:type="dxa"/>
              <w:bottom w:w="0" w:type="dxa"/>
              <w:right w:w="0" w:type="dxa"/>
            </w:tcMar>
          </w:tcPr>
          <w:p w14:paraId="67DD5AA0" w14:textId="77777777" w:rsidR="00D77A76" w:rsidRPr="00F64F91" w:rsidRDefault="00000000">
            <w:pPr>
              <w:widowControl w:val="0"/>
              <w:spacing w:after="200" w:line="240" w:lineRule="auto"/>
              <w:ind w:left="140" w:right="140"/>
              <w:rPr>
                <w:sz w:val="20"/>
                <w:szCs w:val="20"/>
              </w:rPr>
            </w:pPr>
            <w:r w:rsidRPr="00F64F91">
              <w:rPr>
                <w:sz w:val="20"/>
                <w:szCs w:val="20"/>
              </w:rPr>
              <w:t>1 Feb 2020 - 16 Nov 2020</w:t>
            </w:r>
          </w:p>
        </w:tc>
        <w:tc>
          <w:tcPr>
            <w:tcW w:w="1744" w:type="dxa"/>
            <w:tcBorders>
              <w:top w:val="nil"/>
              <w:left w:val="nil"/>
              <w:bottom w:val="nil"/>
              <w:right w:val="nil"/>
            </w:tcBorders>
            <w:shd w:val="clear" w:color="auto" w:fill="auto"/>
            <w:tcMar>
              <w:top w:w="0" w:type="dxa"/>
              <w:left w:w="0" w:type="dxa"/>
              <w:bottom w:w="0" w:type="dxa"/>
              <w:right w:w="0" w:type="dxa"/>
            </w:tcMar>
          </w:tcPr>
          <w:p w14:paraId="31EA945A" w14:textId="77777777" w:rsidR="00D77A76" w:rsidRPr="00F64F91" w:rsidRDefault="00000000">
            <w:pPr>
              <w:widowControl w:val="0"/>
              <w:spacing w:after="200" w:line="240" w:lineRule="auto"/>
              <w:ind w:left="140" w:right="140"/>
              <w:rPr>
                <w:sz w:val="20"/>
                <w:szCs w:val="20"/>
              </w:rPr>
            </w:pPr>
            <w:r w:rsidRPr="00F64F91">
              <w:rPr>
                <w:sz w:val="20"/>
                <w:szCs w:val="20"/>
              </w:rPr>
              <w:t>15 Dec 2020 - 27 April 2021</w:t>
            </w:r>
          </w:p>
        </w:tc>
        <w:tc>
          <w:tcPr>
            <w:tcW w:w="1744" w:type="dxa"/>
            <w:tcBorders>
              <w:top w:val="nil"/>
              <w:left w:val="nil"/>
              <w:bottom w:val="nil"/>
              <w:right w:val="nil"/>
            </w:tcBorders>
            <w:shd w:val="clear" w:color="auto" w:fill="auto"/>
            <w:tcMar>
              <w:top w:w="0" w:type="dxa"/>
              <w:left w:w="0" w:type="dxa"/>
              <w:bottom w:w="0" w:type="dxa"/>
              <w:right w:w="0" w:type="dxa"/>
            </w:tcMar>
          </w:tcPr>
          <w:p w14:paraId="0F4A0D93" w14:textId="77777777" w:rsidR="00D77A76" w:rsidRPr="00F64F91" w:rsidRDefault="00000000">
            <w:pPr>
              <w:widowControl w:val="0"/>
              <w:spacing w:after="200" w:line="240" w:lineRule="auto"/>
              <w:ind w:left="140" w:right="140"/>
              <w:rPr>
                <w:sz w:val="20"/>
                <w:szCs w:val="20"/>
              </w:rPr>
            </w:pPr>
            <w:r w:rsidRPr="00F64F91">
              <w:rPr>
                <w:sz w:val="20"/>
                <w:szCs w:val="20"/>
              </w:rPr>
              <w:t>25 May 2021 - 11 Dec 2021</w:t>
            </w:r>
          </w:p>
        </w:tc>
        <w:tc>
          <w:tcPr>
            <w:tcW w:w="1744" w:type="dxa"/>
            <w:tcBorders>
              <w:top w:val="nil"/>
              <w:left w:val="nil"/>
              <w:bottom w:val="nil"/>
              <w:right w:val="nil"/>
            </w:tcBorders>
            <w:shd w:val="clear" w:color="auto" w:fill="auto"/>
            <w:tcMar>
              <w:top w:w="0" w:type="dxa"/>
              <w:left w:w="0" w:type="dxa"/>
              <w:bottom w:w="0" w:type="dxa"/>
              <w:right w:w="0" w:type="dxa"/>
            </w:tcMar>
          </w:tcPr>
          <w:p w14:paraId="26F781D1" w14:textId="77777777" w:rsidR="00D77A76" w:rsidRPr="00F64F91" w:rsidRDefault="00000000">
            <w:pPr>
              <w:widowControl w:val="0"/>
              <w:spacing w:after="200" w:line="240" w:lineRule="auto"/>
              <w:ind w:left="140" w:right="140"/>
              <w:rPr>
                <w:sz w:val="20"/>
                <w:szCs w:val="20"/>
              </w:rPr>
            </w:pPr>
            <w:r w:rsidRPr="00F64F91">
              <w:rPr>
                <w:sz w:val="20"/>
                <w:szCs w:val="20"/>
              </w:rPr>
              <w:t>19 Dec 2021 - 6 Mar 2022</w:t>
            </w:r>
          </w:p>
        </w:tc>
        <w:tc>
          <w:tcPr>
            <w:tcW w:w="1744" w:type="dxa"/>
            <w:tcBorders>
              <w:top w:val="nil"/>
              <w:left w:val="nil"/>
              <w:bottom w:val="nil"/>
              <w:right w:val="nil"/>
            </w:tcBorders>
            <w:shd w:val="clear" w:color="auto" w:fill="auto"/>
            <w:tcMar>
              <w:top w:w="0" w:type="dxa"/>
              <w:left w:w="0" w:type="dxa"/>
              <w:bottom w:w="0" w:type="dxa"/>
              <w:right w:w="0" w:type="dxa"/>
            </w:tcMar>
          </w:tcPr>
          <w:p w14:paraId="003BF85C"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nil"/>
              <w:right w:val="nil"/>
            </w:tcBorders>
            <w:shd w:val="clear" w:color="auto" w:fill="auto"/>
            <w:tcMar>
              <w:top w:w="0" w:type="dxa"/>
              <w:left w:w="0" w:type="dxa"/>
              <w:bottom w:w="0" w:type="dxa"/>
              <w:right w:w="0" w:type="dxa"/>
            </w:tcMar>
          </w:tcPr>
          <w:p w14:paraId="17B39533"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nil"/>
              <w:right w:val="nil"/>
            </w:tcBorders>
            <w:shd w:val="clear" w:color="auto" w:fill="auto"/>
            <w:tcMar>
              <w:top w:w="0" w:type="dxa"/>
              <w:left w:w="0" w:type="dxa"/>
              <w:bottom w:w="0" w:type="dxa"/>
              <w:right w:w="0" w:type="dxa"/>
            </w:tcMar>
          </w:tcPr>
          <w:p w14:paraId="5F6F8CB6"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r w:rsidR="00D77A76" w14:paraId="6889F178" w14:textId="77777777">
        <w:trPr>
          <w:trHeight w:val="713"/>
        </w:trPr>
        <w:tc>
          <w:tcPr>
            <w:tcW w:w="1744" w:type="dxa"/>
            <w:tcBorders>
              <w:top w:val="nil"/>
              <w:left w:val="nil"/>
              <w:bottom w:val="nil"/>
              <w:right w:val="nil"/>
            </w:tcBorders>
            <w:shd w:val="clear" w:color="auto" w:fill="auto"/>
            <w:tcMar>
              <w:top w:w="0" w:type="dxa"/>
              <w:left w:w="0" w:type="dxa"/>
              <w:bottom w:w="0" w:type="dxa"/>
              <w:right w:w="0" w:type="dxa"/>
            </w:tcMar>
          </w:tcPr>
          <w:p w14:paraId="29ED4420" w14:textId="77777777" w:rsidR="00D77A76" w:rsidRPr="00F64F91" w:rsidRDefault="00000000">
            <w:pPr>
              <w:widowControl w:val="0"/>
              <w:spacing w:after="200" w:line="240" w:lineRule="auto"/>
              <w:ind w:left="140" w:right="140"/>
              <w:rPr>
                <w:b/>
                <w:sz w:val="20"/>
                <w:szCs w:val="20"/>
              </w:rPr>
            </w:pPr>
            <w:r w:rsidRPr="00F64F91">
              <w:rPr>
                <w:b/>
                <w:sz w:val="20"/>
                <w:szCs w:val="20"/>
              </w:rPr>
              <w:t>London</w:t>
            </w:r>
          </w:p>
        </w:tc>
        <w:tc>
          <w:tcPr>
            <w:tcW w:w="1744" w:type="dxa"/>
            <w:tcBorders>
              <w:top w:val="nil"/>
              <w:left w:val="nil"/>
              <w:bottom w:val="nil"/>
              <w:right w:val="nil"/>
            </w:tcBorders>
            <w:shd w:val="clear" w:color="auto" w:fill="auto"/>
            <w:tcMar>
              <w:top w:w="0" w:type="dxa"/>
              <w:left w:w="0" w:type="dxa"/>
              <w:bottom w:w="0" w:type="dxa"/>
              <w:right w:w="0" w:type="dxa"/>
            </w:tcMar>
          </w:tcPr>
          <w:p w14:paraId="0E5B4E74" w14:textId="77777777" w:rsidR="00D77A76" w:rsidRPr="00F64F91" w:rsidRDefault="00000000">
            <w:pPr>
              <w:widowControl w:val="0"/>
              <w:spacing w:after="200" w:line="240" w:lineRule="auto"/>
              <w:ind w:left="140" w:right="140"/>
              <w:rPr>
                <w:sz w:val="20"/>
                <w:szCs w:val="20"/>
              </w:rPr>
            </w:pPr>
            <w:r w:rsidRPr="00F64F91">
              <w:rPr>
                <w:sz w:val="20"/>
                <w:szCs w:val="20"/>
              </w:rPr>
              <w:t>1 Feb 2020 - 16 Nov 2020</w:t>
            </w:r>
          </w:p>
        </w:tc>
        <w:tc>
          <w:tcPr>
            <w:tcW w:w="1744" w:type="dxa"/>
            <w:tcBorders>
              <w:top w:val="nil"/>
              <w:left w:val="nil"/>
              <w:bottom w:val="nil"/>
              <w:right w:val="nil"/>
            </w:tcBorders>
            <w:shd w:val="clear" w:color="auto" w:fill="auto"/>
            <w:tcMar>
              <w:top w:w="0" w:type="dxa"/>
              <w:left w:w="0" w:type="dxa"/>
              <w:bottom w:w="0" w:type="dxa"/>
              <w:right w:w="0" w:type="dxa"/>
            </w:tcMar>
          </w:tcPr>
          <w:p w14:paraId="5FDD6EE9" w14:textId="77777777" w:rsidR="00D77A76" w:rsidRPr="00F64F91" w:rsidRDefault="00000000">
            <w:pPr>
              <w:widowControl w:val="0"/>
              <w:spacing w:after="200" w:line="240" w:lineRule="auto"/>
              <w:ind w:left="140" w:right="140"/>
              <w:rPr>
                <w:sz w:val="20"/>
                <w:szCs w:val="20"/>
              </w:rPr>
            </w:pPr>
            <w:r w:rsidRPr="00F64F91">
              <w:rPr>
                <w:sz w:val="20"/>
                <w:szCs w:val="20"/>
              </w:rPr>
              <w:t>10 Dec 2020 - 13 Apr 2021</w:t>
            </w:r>
          </w:p>
        </w:tc>
        <w:tc>
          <w:tcPr>
            <w:tcW w:w="1744" w:type="dxa"/>
            <w:tcBorders>
              <w:top w:val="nil"/>
              <w:left w:val="nil"/>
              <w:bottom w:val="nil"/>
              <w:right w:val="nil"/>
            </w:tcBorders>
            <w:shd w:val="clear" w:color="auto" w:fill="auto"/>
            <w:tcMar>
              <w:top w:w="0" w:type="dxa"/>
              <w:left w:w="0" w:type="dxa"/>
              <w:bottom w:w="0" w:type="dxa"/>
              <w:right w:w="0" w:type="dxa"/>
            </w:tcMar>
          </w:tcPr>
          <w:p w14:paraId="4CF4D861" w14:textId="77777777" w:rsidR="00D77A76" w:rsidRPr="00F64F91" w:rsidRDefault="00000000">
            <w:pPr>
              <w:widowControl w:val="0"/>
              <w:spacing w:after="200" w:line="240" w:lineRule="auto"/>
              <w:ind w:left="140" w:right="140"/>
              <w:rPr>
                <w:sz w:val="20"/>
                <w:szCs w:val="20"/>
              </w:rPr>
            </w:pPr>
            <w:r w:rsidRPr="00F64F91">
              <w:rPr>
                <w:sz w:val="20"/>
                <w:szCs w:val="20"/>
              </w:rPr>
              <w:t>25 May 2021 - 7 Dec 2021</w:t>
            </w:r>
          </w:p>
        </w:tc>
        <w:tc>
          <w:tcPr>
            <w:tcW w:w="1744" w:type="dxa"/>
            <w:tcBorders>
              <w:top w:val="nil"/>
              <w:left w:val="nil"/>
              <w:bottom w:val="nil"/>
              <w:right w:val="nil"/>
            </w:tcBorders>
            <w:shd w:val="clear" w:color="auto" w:fill="auto"/>
            <w:tcMar>
              <w:top w:w="0" w:type="dxa"/>
              <w:left w:w="0" w:type="dxa"/>
              <w:bottom w:w="0" w:type="dxa"/>
              <w:right w:w="0" w:type="dxa"/>
            </w:tcMar>
          </w:tcPr>
          <w:p w14:paraId="681DE51E" w14:textId="77777777" w:rsidR="00D77A76" w:rsidRPr="00F64F91" w:rsidRDefault="00000000">
            <w:pPr>
              <w:widowControl w:val="0"/>
              <w:spacing w:after="200" w:line="240" w:lineRule="auto"/>
              <w:ind w:left="140" w:right="140"/>
              <w:rPr>
                <w:sz w:val="20"/>
                <w:szCs w:val="20"/>
              </w:rPr>
            </w:pPr>
            <w:r w:rsidRPr="00F64F91">
              <w:rPr>
                <w:sz w:val="20"/>
                <w:szCs w:val="20"/>
              </w:rPr>
              <w:t>14 Dec 2021 - 6 Mar 2022</w:t>
            </w:r>
          </w:p>
        </w:tc>
        <w:tc>
          <w:tcPr>
            <w:tcW w:w="1744" w:type="dxa"/>
            <w:tcBorders>
              <w:top w:val="nil"/>
              <w:left w:val="nil"/>
              <w:bottom w:val="nil"/>
              <w:right w:val="nil"/>
            </w:tcBorders>
            <w:shd w:val="clear" w:color="auto" w:fill="auto"/>
            <w:tcMar>
              <w:top w:w="0" w:type="dxa"/>
              <w:left w:w="0" w:type="dxa"/>
              <w:bottom w:w="0" w:type="dxa"/>
              <w:right w:w="0" w:type="dxa"/>
            </w:tcMar>
          </w:tcPr>
          <w:p w14:paraId="5DEB8E9B"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nil"/>
              <w:right w:val="nil"/>
            </w:tcBorders>
            <w:shd w:val="clear" w:color="auto" w:fill="auto"/>
            <w:tcMar>
              <w:top w:w="0" w:type="dxa"/>
              <w:left w:w="0" w:type="dxa"/>
              <w:bottom w:w="0" w:type="dxa"/>
              <w:right w:w="0" w:type="dxa"/>
            </w:tcMar>
          </w:tcPr>
          <w:p w14:paraId="30CAC0ED"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nil"/>
              <w:right w:val="nil"/>
            </w:tcBorders>
            <w:shd w:val="clear" w:color="auto" w:fill="auto"/>
            <w:tcMar>
              <w:top w:w="0" w:type="dxa"/>
              <w:left w:w="0" w:type="dxa"/>
              <w:bottom w:w="0" w:type="dxa"/>
              <w:right w:w="0" w:type="dxa"/>
            </w:tcMar>
          </w:tcPr>
          <w:p w14:paraId="6D581E29"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r w:rsidR="00D77A76" w14:paraId="41F5A34B" w14:textId="77777777">
        <w:trPr>
          <w:trHeight w:val="713"/>
        </w:trPr>
        <w:tc>
          <w:tcPr>
            <w:tcW w:w="1744" w:type="dxa"/>
            <w:tcBorders>
              <w:top w:val="nil"/>
              <w:left w:val="nil"/>
              <w:bottom w:val="nil"/>
              <w:right w:val="nil"/>
            </w:tcBorders>
            <w:shd w:val="clear" w:color="auto" w:fill="auto"/>
            <w:tcMar>
              <w:top w:w="0" w:type="dxa"/>
              <w:left w:w="0" w:type="dxa"/>
              <w:bottom w:w="0" w:type="dxa"/>
              <w:right w:w="0" w:type="dxa"/>
            </w:tcMar>
          </w:tcPr>
          <w:p w14:paraId="0F017C10" w14:textId="77777777" w:rsidR="00D77A76" w:rsidRPr="00F64F91" w:rsidRDefault="00000000">
            <w:pPr>
              <w:widowControl w:val="0"/>
              <w:spacing w:after="200" w:line="240" w:lineRule="auto"/>
              <w:ind w:left="140" w:right="140"/>
              <w:rPr>
                <w:b/>
                <w:sz w:val="20"/>
                <w:szCs w:val="20"/>
              </w:rPr>
            </w:pPr>
            <w:r w:rsidRPr="00F64F91">
              <w:rPr>
                <w:b/>
                <w:sz w:val="20"/>
                <w:szCs w:val="20"/>
              </w:rPr>
              <w:t>North East</w:t>
            </w:r>
          </w:p>
        </w:tc>
        <w:tc>
          <w:tcPr>
            <w:tcW w:w="1744" w:type="dxa"/>
            <w:tcBorders>
              <w:top w:val="nil"/>
              <w:left w:val="nil"/>
              <w:bottom w:val="nil"/>
              <w:right w:val="nil"/>
            </w:tcBorders>
            <w:shd w:val="clear" w:color="auto" w:fill="auto"/>
            <w:tcMar>
              <w:top w:w="0" w:type="dxa"/>
              <w:left w:w="0" w:type="dxa"/>
              <w:bottom w:w="0" w:type="dxa"/>
              <w:right w:w="0" w:type="dxa"/>
            </w:tcMar>
          </w:tcPr>
          <w:p w14:paraId="470121C4" w14:textId="77777777" w:rsidR="00D77A76" w:rsidRPr="00F64F91" w:rsidRDefault="00000000">
            <w:pPr>
              <w:widowControl w:val="0"/>
              <w:spacing w:after="200" w:line="240" w:lineRule="auto"/>
              <w:ind w:left="140" w:right="140"/>
              <w:rPr>
                <w:sz w:val="20"/>
                <w:szCs w:val="20"/>
              </w:rPr>
            </w:pPr>
            <w:r w:rsidRPr="00F64F91">
              <w:rPr>
                <w:sz w:val="20"/>
                <w:szCs w:val="20"/>
              </w:rPr>
              <w:t>1 Feb 2020 - 9 Dec 2020</w:t>
            </w:r>
          </w:p>
        </w:tc>
        <w:tc>
          <w:tcPr>
            <w:tcW w:w="1744" w:type="dxa"/>
            <w:tcBorders>
              <w:top w:val="nil"/>
              <w:left w:val="nil"/>
              <w:bottom w:val="nil"/>
              <w:right w:val="nil"/>
            </w:tcBorders>
            <w:shd w:val="clear" w:color="auto" w:fill="auto"/>
            <w:tcMar>
              <w:top w:w="0" w:type="dxa"/>
              <w:left w:w="0" w:type="dxa"/>
              <w:bottom w:w="0" w:type="dxa"/>
              <w:right w:w="0" w:type="dxa"/>
            </w:tcMar>
          </w:tcPr>
          <w:p w14:paraId="11793FA3" w14:textId="77777777" w:rsidR="00D77A76" w:rsidRPr="00F64F91" w:rsidRDefault="00000000">
            <w:pPr>
              <w:widowControl w:val="0"/>
              <w:spacing w:after="200" w:line="240" w:lineRule="auto"/>
              <w:ind w:left="140" w:right="140"/>
              <w:rPr>
                <w:sz w:val="20"/>
                <w:szCs w:val="20"/>
              </w:rPr>
            </w:pPr>
            <w:r w:rsidRPr="00F64F91">
              <w:rPr>
                <w:sz w:val="20"/>
                <w:szCs w:val="20"/>
              </w:rPr>
              <w:t>7 Jan 2021 - 11 May 2021</w:t>
            </w:r>
          </w:p>
        </w:tc>
        <w:tc>
          <w:tcPr>
            <w:tcW w:w="1744" w:type="dxa"/>
            <w:tcBorders>
              <w:top w:val="nil"/>
              <w:left w:val="nil"/>
              <w:bottom w:val="nil"/>
              <w:right w:val="nil"/>
            </w:tcBorders>
            <w:shd w:val="clear" w:color="auto" w:fill="auto"/>
            <w:tcMar>
              <w:top w:w="0" w:type="dxa"/>
              <w:left w:w="0" w:type="dxa"/>
              <w:bottom w:w="0" w:type="dxa"/>
              <w:right w:w="0" w:type="dxa"/>
            </w:tcMar>
          </w:tcPr>
          <w:p w14:paraId="738B051D" w14:textId="77777777" w:rsidR="00D77A76" w:rsidRPr="00F64F91" w:rsidRDefault="00000000">
            <w:pPr>
              <w:widowControl w:val="0"/>
              <w:spacing w:after="200" w:line="240" w:lineRule="auto"/>
              <w:ind w:left="140" w:right="140"/>
              <w:rPr>
                <w:sz w:val="20"/>
                <w:szCs w:val="20"/>
              </w:rPr>
            </w:pPr>
            <w:r w:rsidRPr="00F64F91">
              <w:rPr>
                <w:sz w:val="20"/>
                <w:szCs w:val="20"/>
              </w:rPr>
              <w:t>1 Jun 2021 - 13 Dec 2021</w:t>
            </w:r>
          </w:p>
        </w:tc>
        <w:tc>
          <w:tcPr>
            <w:tcW w:w="1744" w:type="dxa"/>
            <w:tcBorders>
              <w:top w:val="nil"/>
              <w:left w:val="nil"/>
              <w:bottom w:val="nil"/>
              <w:right w:val="nil"/>
            </w:tcBorders>
            <w:shd w:val="clear" w:color="auto" w:fill="auto"/>
            <w:tcMar>
              <w:top w:w="0" w:type="dxa"/>
              <w:left w:w="0" w:type="dxa"/>
              <w:bottom w:w="0" w:type="dxa"/>
              <w:right w:w="0" w:type="dxa"/>
            </w:tcMar>
          </w:tcPr>
          <w:p w14:paraId="37500C84" w14:textId="77777777" w:rsidR="00D77A76" w:rsidRPr="00F64F91" w:rsidRDefault="00000000">
            <w:pPr>
              <w:widowControl w:val="0"/>
              <w:spacing w:after="200" w:line="240" w:lineRule="auto"/>
              <w:ind w:left="140" w:right="140"/>
              <w:rPr>
                <w:sz w:val="20"/>
                <w:szCs w:val="20"/>
              </w:rPr>
            </w:pPr>
            <w:r w:rsidRPr="00F64F91">
              <w:rPr>
                <w:sz w:val="20"/>
                <w:szCs w:val="20"/>
              </w:rPr>
              <w:t>22 Dec 2021 - 6 Mar 2022</w:t>
            </w:r>
          </w:p>
        </w:tc>
        <w:tc>
          <w:tcPr>
            <w:tcW w:w="1744" w:type="dxa"/>
            <w:tcBorders>
              <w:top w:val="nil"/>
              <w:left w:val="nil"/>
              <w:bottom w:val="nil"/>
              <w:right w:val="nil"/>
            </w:tcBorders>
            <w:shd w:val="clear" w:color="auto" w:fill="auto"/>
            <w:tcMar>
              <w:top w:w="0" w:type="dxa"/>
              <w:left w:w="0" w:type="dxa"/>
              <w:bottom w:w="0" w:type="dxa"/>
              <w:right w:w="0" w:type="dxa"/>
            </w:tcMar>
          </w:tcPr>
          <w:p w14:paraId="14FCFBD9"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nil"/>
              <w:right w:val="nil"/>
            </w:tcBorders>
            <w:shd w:val="clear" w:color="auto" w:fill="auto"/>
            <w:tcMar>
              <w:top w:w="0" w:type="dxa"/>
              <w:left w:w="0" w:type="dxa"/>
              <w:bottom w:w="0" w:type="dxa"/>
              <w:right w:w="0" w:type="dxa"/>
            </w:tcMar>
          </w:tcPr>
          <w:p w14:paraId="485669C8"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nil"/>
              <w:right w:val="nil"/>
            </w:tcBorders>
            <w:shd w:val="clear" w:color="auto" w:fill="auto"/>
            <w:tcMar>
              <w:top w:w="0" w:type="dxa"/>
              <w:left w:w="0" w:type="dxa"/>
              <w:bottom w:w="0" w:type="dxa"/>
              <w:right w:w="0" w:type="dxa"/>
            </w:tcMar>
          </w:tcPr>
          <w:p w14:paraId="3624EF1B"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r w:rsidR="00D77A76" w14:paraId="30410447" w14:textId="77777777">
        <w:trPr>
          <w:trHeight w:val="713"/>
        </w:trPr>
        <w:tc>
          <w:tcPr>
            <w:tcW w:w="1744" w:type="dxa"/>
            <w:tcBorders>
              <w:top w:val="nil"/>
              <w:left w:val="nil"/>
              <w:bottom w:val="nil"/>
              <w:right w:val="nil"/>
            </w:tcBorders>
            <w:shd w:val="clear" w:color="auto" w:fill="auto"/>
            <w:tcMar>
              <w:top w:w="0" w:type="dxa"/>
              <w:left w:w="0" w:type="dxa"/>
              <w:bottom w:w="0" w:type="dxa"/>
              <w:right w:w="0" w:type="dxa"/>
            </w:tcMar>
          </w:tcPr>
          <w:p w14:paraId="07864ED7" w14:textId="77777777" w:rsidR="00D77A76" w:rsidRPr="00F64F91" w:rsidRDefault="00000000">
            <w:pPr>
              <w:widowControl w:val="0"/>
              <w:spacing w:after="200" w:line="240" w:lineRule="auto"/>
              <w:ind w:left="140" w:right="140"/>
              <w:rPr>
                <w:b/>
                <w:sz w:val="20"/>
                <w:szCs w:val="20"/>
              </w:rPr>
            </w:pPr>
            <w:r w:rsidRPr="00F64F91">
              <w:rPr>
                <w:b/>
                <w:sz w:val="20"/>
                <w:szCs w:val="20"/>
              </w:rPr>
              <w:t>North West</w:t>
            </w:r>
          </w:p>
        </w:tc>
        <w:tc>
          <w:tcPr>
            <w:tcW w:w="1744" w:type="dxa"/>
            <w:tcBorders>
              <w:top w:val="nil"/>
              <w:left w:val="nil"/>
              <w:bottom w:val="nil"/>
              <w:right w:val="nil"/>
            </w:tcBorders>
            <w:shd w:val="clear" w:color="auto" w:fill="auto"/>
            <w:tcMar>
              <w:top w:w="0" w:type="dxa"/>
              <w:left w:w="0" w:type="dxa"/>
              <w:bottom w:w="0" w:type="dxa"/>
              <w:right w:w="0" w:type="dxa"/>
            </w:tcMar>
          </w:tcPr>
          <w:p w14:paraId="468B325F" w14:textId="77777777" w:rsidR="00D77A76" w:rsidRPr="00F64F91" w:rsidRDefault="00000000">
            <w:pPr>
              <w:widowControl w:val="0"/>
              <w:spacing w:after="200" w:line="240" w:lineRule="auto"/>
              <w:ind w:left="140" w:right="140"/>
              <w:rPr>
                <w:sz w:val="20"/>
                <w:szCs w:val="20"/>
              </w:rPr>
            </w:pPr>
            <w:r w:rsidRPr="00F64F91">
              <w:rPr>
                <w:sz w:val="20"/>
                <w:szCs w:val="20"/>
              </w:rPr>
              <w:t>1 Feb 2020 - 9 Dec 2020</w:t>
            </w:r>
          </w:p>
        </w:tc>
        <w:tc>
          <w:tcPr>
            <w:tcW w:w="1744" w:type="dxa"/>
            <w:tcBorders>
              <w:top w:val="nil"/>
              <w:left w:val="nil"/>
              <w:bottom w:val="nil"/>
              <w:right w:val="nil"/>
            </w:tcBorders>
            <w:shd w:val="clear" w:color="auto" w:fill="auto"/>
            <w:tcMar>
              <w:top w:w="0" w:type="dxa"/>
              <w:left w:w="0" w:type="dxa"/>
              <w:bottom w:w="0" w:type="dxa"/>
              <w:right w:w="0" w:type="dxa"/>
            </w:tcMar>
          </w:tcPr>
          <w:p w14:paraId="65183D0D" w14:textId="77777777" w:rsidR="00D77A76" w:rsidRPr="00F64F91" w:rsidRDefault="00000000">
            <w:pPr>
              <w:widowControl w:val="0"/>
              <w:spacing w:after="200" w:line="240" w:lineRule="auto"/>
              <w:ind w:left="140" w:right="140"/>
              <w:rPr>
                <w:sz w:val="20"/>
                <w:szCs w:val="20"/>
              </w:rPr>
            </w:pPr>
            <w:r w:rsidRPr="00F64F91">
              <w:rPr>
                <w:sz w:val="20"/>
                <w:szCs w:val="20"/>
              </w:rPr>
              <w:t>12 Jan 2021 - 20 Apr 2021</w:t>
            </w:r>
          </w:p>
        </w:tc>
        <w:tc>
          <w:tcPr>
            <w:tcW w:w="1744" w:type="dxa"/>
            <w:tcBorders>
              <w:top w:val="nil"/>
              <w:left w:val="nil"/>
              <w:bottom w:val="nil"/>
              <w:right w:val="nil"/>
            </w:tcBorders>
            <w:shd w:val="clear" w:color="auto" w:fill="auto"/>
            <w:tcMar>
              <w:top w:w="0" w:type="dxa"/>
              <w:left w:w="0" w:type="dxa"/>
              <w:bottom w:w="0" w:type="dxa"/>
              <w:right w:w="0" w:type="dxa"/>
            </w:tcMar>
          </w:tcPr>
          <w:p w14:paraId="6DEB140E" w14:textId="77777777" w:rsidR="00D77A76" w:rsidRPr="00F64F91" w:rsidRDefault="00000000">
            <w:pPr>
              <w:widowControl w:val="0"/>
              <w:spacing w:after="200" w:line="240" w:lineRule="auto"/>
              <w:ind w:left="140" w:right="140"/>
              <w:rPr>
                <w:sz w:val="20"/>
                <w:szCs w:val="20"/>
              </w:rPr>
            </w:pPr>
            <w:r w:rsidRPr="00F64F91">
              <w:rPr>
                <w:sz w:val="20"/>
                <w:szCs w:val="20"/>
              </w:rPr>
              <w:t>18 May 2021 - 11 Dec 2021</w:t>
            </w:r>
          </w:p>
        </w:tc>
        <w:tc>
          <w:tcPr>
            <w:tcW w:w="1744" w:type="dxa"/>
            <w:tcBorders>
              <w:top w:val="nil"/>
              <w:left w:val="nil"/>
              <w:bottom w:val="nil"/>
              <w:right w:val="nil"/>
            </w:tcBorders>
            <w:shd w:val="clear" w:color="auto" w:fill="auto"/>
            <w:tcMar>
              <w:top w:w="0" w:type="dxa"/>
              <w:left w:w="0" w:type="dxa"/>
              <w:bottom w:w="0" w:type="dxa"/>
              <w:right w:w="0" w:type="dxa"/>
            </w:tcMar>
          </w:tcPr>
          <w:p w14:paraId="6E6D5259" w14:textId="77777777" w:rsidR="00D77A76" w:rsidRPr="00F64F91" w:rsidRDefault="00000000">
            <w:pPr>
              <w:widowControl w:val="0"/>
              <w:spacing w:after="200" w:line="240" w:lineRule="auto"/>
              <w:ind w:left="140" w:right="140"/>
              <w:rPr>
                <w:sz w:val="20"/>
                <w:szCs w:val="20"/>
              </w:rPr>
            </w:pPr>
            <w:r w:rsidRPr="00F64F91">
              <w:rPr>
                <w:sz w:val="20"/>
                <w:szCs w:val="20"/>
              </w:rPr>
              <w:t>19 Dec 2021 - 6 Mar 2022</w:t>
            </w:r>
          </w:p>
        </w:tc>
        <w:tc>
          <w:tcPr>
            <w:tcW w:w="1744" w:type="dxa"/>
            <w:tcBorders>
              <w:top w:val="nil"/>
              <w:left w:val="nil"/>
              <w:bottom w:val="nil"/>
              <w:right w:val="nil"/>
            </w:tcBorders>
            <w:shd w:val="clear" w:color="auto" w:fill="auto"/>
            <w:tcMar>
              <w:top w:w="0" w:type="dxa"/>
              <w:left w:w="0" w:type="dxa"/>
              <w:bottom w:w="0" w:type="dxa"/>
              <w:right w:w="0" w:type="dxa"/>
            </w:tcMar>
          </w:tcPr>
          <w:p w14:paraId="72FD0482"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nil"/>
              <w:right w:val="nil"/>
            </w:tcBorders>
            <w:shd w:val="clear" w:color="auto" w:fill="auto"/>
            <w:tcMar>
              <w:top w:w="0" w:type="dxa"/>
              <w:left w:w="0" w:type="dxa"/>
              <w:bottom w:w="0" w:type="dxa"/>
              <w:right w:w="0" w:type="dxa"/>
            </w:tcMar>
          </w:tcPr>
          <w:p w14:paraId="6FA2E9E2"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nil"/>
              <w:right w:val="nil"/>
            </w:tcBorders>
            <w:shd w:val="clear" w:color="auto" w:fill="auto"/>
            <w:tcMar>
              <w:top w:w="0" w:type="dxa"/>
              <w:left w:w="0" w:type="dxa"/>
              <w:bottom w:w="0" w:type="dxa"/>
              <w:right w:w="0" w:type="dxa"/>
            </w:tcMar>
          </w:tcPr>
          <w:p w14:paraId="57F36A47"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r w:rsidR="00D77A76" w14:paraId="4C54DC41" w14:textId="77777777">
        <w:trPr>
          <w:trHeight w:val="713"/>
        </w:trPr>
        <w:tc>
          <w:tcPr>
            <w:tcW w:w="1744" w:type="dxa"/>
            <w:tcBorders>
              <w:top w:val="nil"/>
              <w:left w:val="nil"/>
              <w:bottom w:val="nil"/>
              <w:right w:val="nil"/>
            </w:tcBorders>
            <w:shd w:val="clear" w:color="auto" w:fill="auto"/>
            <w:tcMar>
              <w:top w:w="0" w:type="dxa"/>
              <w:left w:w="0" w:type="dxa"/>
              <w:bottom w:w="0" w:type="dxa"/>
              <w:right w:w="0" w:type="dxa"/>
            </w:tcMar>
          </w:tcPr>
          <w:p w14:paraId="494DF381" w14:textId="77777777" w:rsidR="00D77A76" w:rsidRPr="00F64F91" w:rsidRDefault="00000000">
            <w:pPr>
              <w:widowControl w:val="0"/>
              <w:spacing w:after="200" w:line="240" w:lineRule="auto"/>
              <w:ind w:left="140" w:right="140"/>
              <w:rPr>
                <w:b/>
                <w:sz w:val="20"/>
                <w:szCs w:val="20"/>
              </w:rPr>
            </w:pPr>
            <w:r w:rsidRPr="00F64F91">
              <w:rPr>
                <w:b/>
                <w:sz w:val="20"/>
                <w:szCs w:val="20"/>
              </w:rPr>
              <w:t>South East</w:t>
            </w:r>
          </w:p>
        </w:tc>
        <w:tc>
          <w:tcPr>
            <w:tcW w:w="1744" w:type="dxa"/>
            <w:tcBorders>
              <w:top w:val="nil"/>
              <w:left w:val="nil"/>
              <w:bottom w:val="nil"/>
              <w:right w:val="nil"/>
            </w:tcBorders>
            <w:shd w:val="clear" w:color="auto" w:fill="auto"/>
            <w:tcMar>
              <w:top w:w="0" w:type="dxa"/>
              <w:left w:w="0" w:type="dxa"/>
              <w:bottom w:w="0" w:type="dxa"/>
              <w:right w:w="0" w:type="dxa"/>
            </w:tcMar>
          </w:tcPr>
          <w:p w14:paraId="4E83824A" w14:textId="77777777" w:rsidR="00D77A76" w:rsidRPr="00F64F91" w:rsidRDefault="00000000">
            <w:pPr>
              <w:widowControl w:val="0"/>
              <w:spacing w:after="200" w:line="240" w:lineRule="auto"/>
              <w:ind w:left="140" w:right="140"/>
              <w:rPr>
                <w:sz w:val="20"/>
                <w:szCs w:val="20"/>
              </w:rPr>
            </w:pPr>
            <w:r w:rsidRPr="00F64F91">
              <w:rPr>
                <w:sz w:val="20"/>
                <w:szCs w:val="20"/>
              </w:rPr>
              <w:t>1 Feb 2020 - 9 Nov 2020</w:t>
            </w:r>
          </w:p>
        </w:tc>
        <w:tc>
          <w:tcPr>
            <w:tcW w:w="1744" w:type="dxa"/>
            <w:tcBorders>
              <w:top w:val="nil"/>
              <w:left w:val="nil"/>
              <w:bottom w:val="nil"/>
              <w:right w:val="nil"/>
            </w:tcBorders>
            <w:shd w:val="clear" w:color="auto" w:fill="auto"/>
            <w:tcMar>
              <w:top w:w="0" w:type="dxa"/>
              <w:left w:w="0" w:type="dxa"/>
              <w:bottom w:w="0" w:type="dxa"/>
              <w:right w:w="0" w:type="dxa"/>
            </w:tcMar>
          </w:tcPr>
          <w:p w14:paraId="262A3656" w14:textId="77777777" w:rsidR="00D77A76" w:rsidRPr="00F64F91" w:rsidRDefault="00000000">
            <w:pPr>
              <w:widowControl w:val="0"/>
              <w:spacing w:after="200" w:line="240" w:lineRule="auto"/>
              <w:ind w:left="140" w:right="140"/>
              <w:rPr>
                <w:sz w:val="20"/>
                <w:szCs w:val="20"/>
              </w:rPr>
            </w:pPr>
            <w:r w:rsidRPr="00F64F91">
              <w:rPr>
                <w:sz w:val="20"/>
                <w:szCs w:val="20"/>
              </w:rPr>
              <w:t>8 Dec 2020 - 27 Apr 2021</w:t>
            </w:r>
          </w:p>
        </w:tc>
        <w:tc>
          <w:tcPr>
            <w:tcW w:w="1744" w:type="dxa"/>
            <w:tcBorders>
              <w:top w:val="nil"/>
              <w:left w:val="nil"/>
              <w:bottom w:val="nil"/>
              <w:right w:val="nil"/>
            </w:tcBorders>
            <w:shd w:val="clear" w:color="auto" w:fill="auto"/>
            <w:tcMar>
              <w:top w:w="0" w:type="dxa"/>
              <w:left w:w="0" w:type="dxa"/>
              <w:bottom w:w="0" w:type="dxa"/>
              <w:right w:w="0" w:type="dxa"/>
            </w:tcMar>
          </w:tcPr>
          <w:p w14:paraId="3C7358D5" w14:textId="77777777" w:rsidR="00D77A76" w:rsidRPr="00F64F91" w:rsidRDefault="00000000">
            <w:pPr>
              <w:widowControl w:val="0"/>
              <w:spacing w:after="200" w:line="240" w:lineRule="auto"/>
              <w:ind w:left="140" w:right="140"/>
              <w:rPr>
                <w:sz w:val="20"/>
                <w:szCs w:val="20"/>
              </w:rPr>
            </w:pPr>
            <w:r w:rsidRPr="00F64F91">
              <w:rPr>
                <w:sz w:val="20"/>
                <w:szCs w:val="20"/>
              </w:rPr>
              <w:t>25 May 2021 - 10 Dec 2021</w:t>
            </w:r>
          </w:p>
        </w:tc>
        <w:tc>
          <w:tcPr>
            <w:tcW w:w="1744" w:type="dxa"/>
            <w:tcBorders>
              <w:top w:val="nil"/>
              <w:left w:val="nil"/>
              <w:bottom w:val="nil"/>
              <w:right w:val="nil"/>
            </w:tcBorders>
            <w:shd w:val="clear" w:color="auto" w:fill="auto"/>
            <w:tcMar>
              <w:top w:w="0" w:type="dxa"/>
              <w:left w:w="0" w:type="dxa"/>
              <w:bottom w:w="0" w:type="dxa"/>
              <w:right w:w="0" w:type="dxa"/>
            </w:tcMar>
          </w:tcPr>
          <w:p w14:paraId="3023CA2F" w14:textId="77777777" w:rsidR="00D77A76" w:rsidRPr="00F64F91" w:rsidRDefault="00000000">
            <w:pPr>
              <w:widowControl w:val="0"/>
              <w:spacing w:after="200" w:line="240" w:lineRule="auto"/>
              <w:ind w:left="140" w:right="140"/>
              <w:rPr>
                <w:sz w:val="20"/>
                <w:szCs w:val="20"/>
              </w:rPr>
            </w:pPr>
            <w:r w:rsidRPr="00F64F91">
              <w:rPr>
                <w:sz w:val="20"/>
                <w:szCs w:val="20"/>
              </w:rPr>
              <w:t>19 Dec 2021 - 6 Mar 2022</w:t>
            </w:r>
          </w:p>
        </w:tc>
        <w:tc>
          <w:tcPr>
            <w:tcW w:w="1744" w:type="dxa"/>
            <w:tcBorders>
              <w:top w:val="nil"/>
              <w:left w:val="nil"/>
              <w:bottom w:val="nil"/>
              <w:right w:val="nil"/>
            </w:tcBorders>
            <w:shd w:val="clear" w:color="auto" w:fill="auto"/>
            <w:tcMar>
              <w:top w:w="0" w:type="dxa"/>
              <w:left w:w="0" w:type="dxa"/>
              <w:bottom w:w="0" w:type="dxa"/>
              <w:right w:w="0" w:type="dxa"/>
            </w:tcMar>
          </w:tcPr>
          <w:p w14:paraId="681028A4"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nil"/>
              <w:right w:val="nil"/>
            </w:tcBorders>
            <w:shd w:val="clear" w:color="auto" w:fill="auto"/>
            <w:tcMar>
              <w:top w:w="0" w:type="dxa"/>
              <w:left w:w="0" w:type="dxa"/>
              <w:bottom w:w="0" w:type="dxa"/>
              <w:right w:w="0" w:type="dxa"/>
            </w:tcMar>
          </w:tcPr>
          <w:p w14:paraId="4EF404ED"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nil"/>
              <w:right w:val="nil"/>
            </w:tcBorders>
            <w:shd w:val="clear" w:color="auto" w:fill="auto"/>
            <w:tcMar>
              <w:top w:w="0" w:type="dxa"/>
              <w:left w:w="0" w:type="dxa"/>
              <w:bottom w:w="0" w:type="dxa"/>
              <w:right w:w="0" w:type="dxa"/>
            </w:tcMar>
          </w:tcPr>
          <w:p w14:paraId="026DE0C7"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r w:rsidR="00D77A76" w14:paraId="210D2D0A" w14:textId="77777777">
        <w:trPr>
          <w:trHeight w:val="713"/>
        </w:trPr>
        <w:tc>
          <w:tcPr>
            <w:tcW w:w="1744" w:type="dxa"/>
            <w:tcBorders>
              <w:top w:val="nil"/>
              <w:left w:val="nil"/>
              <w:bottom w:val="nil"/>
              <w:right w:val="nil"/>
            </w:tcBorders>
            <w:shd w:val="clear" w:color="auto" w:fill="auto"/>
            <w:tcMar>
              <w:top w:w="0" w:type="dxa"/>
              <w:left w:w="0" w:type="dxa"/>
              <w:bottom w:w="0" w:type="dxa"/>
              <w:right w:w="0" w:type="dxa"/>
            </w:tcMar>
          </w:tcPr>
          <w:p w14:paraId="6E9278AA" w14:textId="77777777" w:rsidR="00D77A76" w:rsidRPr="00F64F91" w:rsidRDefault="00000000">
            <w:pPr>
              <w:widowControl w:val="0"/>
              <w:spacing w:after="200" w:line="240" w:lineRule="auto"/>
              <w:ind w:left="140" w:right="140"/>
              <w:rPr>
                <w:b/>
                <w:sz w:val="20"/>
                <w:szCs w:val="20"/>
              </w:rPr>
            </w:pPr>
            <w:r w:rsidRPr="00F64F91">
              <w:rPr>
                <w:b/>
                <w:sz w:val="20"/>
                <w:szCs w:val="20"/>
              </w:rPr>
              <w:t>South West</w:t>
            </w:r>
          </w:p>
        </w:tc>
        <w:tc>
          <w:tcPr>
            <w:tcW w:w="1744" w:type="dxa"/>
            <w:tcBorders>
              <w:top w:val="nil"/>
              <w:left w:val="nil"/>
              <w:bottom w:val="nil"/>
              <w:right w:val="nil"/>
            </w:tcBorders>
            <w:shd w:val="clear" w:color="auto" w:fill="auto"/>
            <w:tcMar>
              <w:top w:w="0" w:type="dxa"/>
              <w:left w:w="0" w:type="dxa"/>
              <w:bottom w:w="0" w:type="dxa"/>
              <w:right w:w="0" w:type="dxa"/>
            </w:tcMar>
          </w:tcPr>
          <w:p w14:paraId="042BF471" w14:textId="77777777" w:rsidR="00D77A76" w:rsidRPr="00F64F91" w:rsidRDefault="00000000">
            <w:pPr>
              <w:widowControl w:val="0"/>
              <w:spacing w:after="200" w:line="240" w:lineRule="auto"/>
              <w:ind w:left="140" w:right="140"/>
              <w:rPr>
                <w:sz w:val="20"/>
                <w:szCs w:val="20"/>
              </w:rPr>
            </w:pPr>
            <w:r w:rsidRPr="00F64F91">
              <w:rPr>
                <w:sz w:val="20"/>
                <w:szCs w:val="20"/>
              </w:rPr>
              <w:t>1 Feb 2020 - 2 Dec 2020</w:t>
            </w:r>
          </w:p>
        </w:tc>
        <w:tc>
          <w:tcPr>
            <w:tcW w:w="1744" w:type="dxa"/>
            <w:tcBorders>
              <w:top w:val="nil"/>
              <w:left w:val="nil"/>
              <w:bottom w:val="nil"/>
              <w:right w:val="nil"/>
            </w:tcBorders>
            <w:shd w:val="clear" w:color="auto" w:fill="auto"/>
            <w:tcMar>
              <w:top w:w="0" w:type="dxa"/>
              <w:left w:w="0" w:type="dxa"/>
              <w:bottom w:w="0" w:type="dxa"/>
              <w:right w:w="0" w:type="dxa"/>
            </w:tcMar>
          </w:tcPr>
          <w:p w14:paraId="254D4F12" w14:textId="77777777" w:rsidR="00D77A76" w:rsidRPr="00F64F91" w:rsidRDefault="00000000">
            <w:pPr>
              <w:widowControl w:val="0"/>
              <w:spacing w:after="200" w:line="240" w:lineRule="auto"/>
              <w:ind w:left="140" w:right="140"/>
              <w:rPr>
                <w:sz w:val="20"/>
                <w:szCs w:val="20"/>
              </w:rPr>
            </w:pPr>
            <w:r w:rsidRPr="00F64F91">
              <w:rPr>
                <w:sz w:val="20"/>
                <w:szCs w:val="20"/>
              </w:rPr>
              <w:t>5 Jan 2021 - 13 Apr 2021</w:t>
            </w:r>
          </w:p>
        </w:tc>
        <w:tc>
          <w:tcPr>
            <w:tcW w:w="1744" w:type="dxa"/>
            <w:tcBorders>
              <w:top w:val="nil"/>
              <w:left w:val="nil"/>
              <w:bottom w:val="nil"/>
              <w:right w:val="nil"/>
            </w:tcBorders>
            <w:shd w:val="clear" w:color="auto" w:fill="auto"/>
            <w:tcMar>
              <w:top w:w="0" w:type="dxa"/>
              <w:left w:w="0" w:type="dxa"/>
              <w:bottom w:w="0" w:type="dxa"/>
              <w:right w:w="0" w:type="dxa"/>
            </w:tcMar>
          </w:tcPr>
          <w:p w14:paraId="21DF2BF9" w14:textId="77777777" w:rsidR="00D77A76" w:rsidRPr="00F64F91" w:rsidRDefault="00000000">
            <w:pPr>
              <w:widowControl w:val="0"/>
              <w:spacing w:after="200" w:line="240" w:lineRule="auto"/>
              <w:ind w:left="140" w:right="140"/>
              <w:rPr>
                <w:sz w:val="20"/>
                <w:szCs w:val="20"/>
              </w:rPr>
            </w:pPr>
            <w:r w:rsidRPr="00F64F91">
              <w:rPr>
                <w:sz w:val="20"/>
                <w:szCs w:val="20"/>
              </w:rPr>
              <w:t>25 May 2021 - 12 Dec 2021</w:t>
            </w:r>
          </w:p>
        </w:tc>
        <w:tc>
          <w:tcPr>
            <w:tcW w:w="1744" w:type="dxa"/>
            <w:tcBorders>
              <w:top w:val="nil"/>
              <w:left w:val="nil"/>
              <w:bottom w:val="nil"/>
              <w:right w:val="nil"/>
            </w:tcBorders>
            <w:shd w:val="clear" w:color="auto" w:fill="auto"/>
            <w:tcMar>
              <w:top w:w="0" w:type="dxa"/>
              <w:left w:w="0" w:type="dxa"/>
              <w:bottom w:w="0" w:type="dxa"/>
              <w:right w:w="0" w:type="dxa"/>
            </w:tcMar>
          </w:tcPr>
          <w:p w14:paraId="09A6BF69" w14:textId="77777777" w:rsidR="00D77A76" w:rsidRPr="00F64F91" w:rsidRDefault="00000000">
            <w:pPr>
              <w:widowControl w:val="0"/>
              <w:spacing w:after="200" w:line="240" w:lineRule="auto"/>
              <w:ind w:left="140" w:right="140"/>
              <w:rPr>
                <w:sz w:val="20"/>
                <w:szCs w:val="20"/>
              </w:rPr>
            </w:pPr>
            <w:r w:rsidRPr="00F64F91">
              <w:rPr>
                <w:sz w:val="20"/>
                <w:szCs w:val="20"/>
              </w:rPr>
              <w:t>20 Dec 2021 - 6 Mar 2022</w:t>
            </w:r>
          </w:p>
        </w:tc>
        <w:tc>
          <w:tcPr>
            <w:tcW w:w="1744" w:type="dxa"/>
            <w:tcBorders>
              <w:top w:val="nil"/>
              <w:left w:val="nil"/>
              <w:bottom w:val="nil"/>
              <w:right w:val="nil"/>
            </w:tcBorders>
            <w:shd w:val="clear" w:color="auto" w:fill="auto"/>
            <w:tcMar>
              <w:top w:w="0" w:type="dxa"/>
              <w:left w:w="0" w:type="dxa"/>
              <w:bottom w:w="0" w:type="dxa"/>
              <w:right w:w="0" w:type="dxa"/>
            </w:tcMar>
          </w:tcPr>
          <w:p w14:paraId="5D09CB5A"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nil"/>
              <w:right w:val="nil"/>
            </w:tcBorders>
            <w:shd w:val="clear" w:color="auto" w:fill="auto"/>
            <w:tcMar>
              <w:top w:w="0" w:type="dxa"/>
              <w:left w:w="0" w:type="dxa"/>
              <w:bottom w:w="0" w:type="dxa"/>
              <w:right w:w="0" w:type="dxa"/>
            </w:tcMar>
          </w:tcPr>
          <w:p w14:paraId="5BCB1BFA"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nil"/>
              <w:right w:val="nil"/>
            </w:tcBorders>
            <w:shd w:val="clear" w:color="auto" w:fill="auto"/>
            <w:tcMar>
              <w:top w:w="0" w:type="dxa"/>
              <w:left w:w="0" w:type="dxa"/>
              <w:bottom w:w="0" w:type="dxa"/>
              <w:right w:w="0" w:type="dxa"/>
            </w:tcMar>
          </w:tcPr>
          <w:p w14:paraId="19FD2F52"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r w:rsidR="00D77A76" w14:paraId="550CC654" w14:textId="77777777">
        <w:trPr>
          <w:trHeight w:val="713"/>
        </w:trPr>
        <w:tc>
          <w:tcPr>
            <w:tcW w:w="1744" w:type="dxa"/>
            <w:tcBorders>
              <w:top w:val="nil"/>
              <w:left w:val="nil"/>
              <w:bottom w:val="nil"/>
              <w:right w:val="nil"/>
            </w:tcBorders>
            <w:shd w:val="clear" w:color="auto" w:fill="auto"/>
            <w:tcMar>
              <w:top w:w="0" w:type="dxa"/>
              <w:left w:w="0" w:type="dxa"/>
              <w:bottom w:w="0" w:type="dxa"/>
              <w:right w:w="0" w:type="dxa"/>
            </w:tcMar>
          </w:tcPr>
          <w:p w14:paraId="1185A0B8" w14:textId="77777777" w:rsidR="00D77A76" w:rsidRPr="00F64F91" w:rsidRDefault="00000000">
            <w:pPr>
              <w:widowControl w:val="0"/>
              <w:spacing w:after="200" w:line="240" w:lineRule="auto"/>
              <w:ind w:left="140" w:right="140"/>
              <w:rPr>
                <w:b/>
                <w:sz w:val="20"/>
                <w:szCs w:val="20"/>
              </w:rPr>
            </w:pPr>
            <w:r w:rsidRPr="00F64F91">
              <w:rPr>
                <w:b/>
                <w:sz w:val="20"/>
                <w:szCs w:val="20"/>
              </w:rPr>
              <w:t>West Midlands</w:t>
            </w:r>
          </w:p>
        </w:tc>
        <w:tc>
          <w:tcPr>
            <w:tcW w:w="1744" w:type="dxa"/>
            <w:tcBorders>
              <w:top w:val="nil"/>
              <w:left w:val="nil"/>
              <w:bottom w:val="nil"/>
              <w:right w:val="nil"/>
            </w:tcBorders>
            <w:shd w:val="clear" w:color="auto" w:fill="auto"/>
            <w:tcMar>
              <w:top w:w="0" w:type="dxa"/>
              <w:left w:w="0" w:type="dxa"/>
              <w:bottom w:w="0" w:type="dxa"/>
              <w:right w:w="0" w:type="dxa"/>
            </w:tcMar>
          </w:tcPr>
          <w:p w14:paraId="4E735C47" w14:textId="77777777" w:rsidR="00D77A76" w:rsidRPr="00F64F91" w:rsidRDefault="00000000">
            <w:pPr>
              <w:widowControl w:val="0"/>
              <w:spacing w:after="200" w:line="240" w:lineRule="auto"/>
              <w:ind w:left="140" w:right="140"/>
              <w:rPr>
                <w:sz w:val="20"/>
                <w:szCs w:val="20"/>
              </w:rPr>
            </w:pPr>
            <w:r w:rsidRPr="00F64F91">
              <w:rPr>
                <w:sz w:val="20"/>
                <w:szCs w:val="20"/>
              </w:rPr>
              <w:t>1 Feb 2020 - 7 Dec 2020</w:t>
            </w:r>
          </w:p>
        </w:tc>
        <w:tc>
          <w:tcPr>
            <w:tcW w:w="1744" w:type="dxa"/>
            <w:tcBorders>
              <w:top w:val="nil"/>
              <w:left w:val="nil"/>
              <w:bottom w:val="nil"/>
              <w:right w:val="nil"/>
            </w:tcBorders>
            <w:shd w:val="clear" w:color="auto" w:fill="auto"/>
            <w:tcMar>
              <w:top w:w="0" w:type="dxa"/>
              <w:left w:w="0" w:type="dxa"/>
              <w:bottom w:w="0" w:type="dxa"/>
              <w:right w:w="0" w:type="dxa"/>
            </w:tcMar>
          </w:tcPr>
          <w:p w14:paraId="3AA7FACB" w14:textId="77777777" w:rsidR="00D77A76" w:rsidRPr="00F64F91" w:rsidRDefault="00000000">
            <w:pPr>
              <w:widowControl w:val="0"/>
              <w:spacing w:after="200" w:line="240" w:lineRule="auto"/>
              <w:ind w:left="140" w:right="140"/>
              <w:rPr>
                <w:sz w:val="20"/>
                <w:szCs w:val="20"/>
              </w:rPr>
            </w:pPr>
            <w:r w:rsidRPr="00F64F91">
              <w:rPr>
                <w:sz w:val="20"/>
                <w:szCs w:val="20"/>
              </w:rPr>
              <w:t>31 Dec 2020 - 11 May 2021</w:t>
            </w:r>
          </w:p>
        </w:tc>
        <w:tc>
          <w:tcPr>
            <w:tcW w:w="1744" w:type="dxa"/>
            <w:tcBorders>
              <w:top w:val="nil"/>
              <w:left w:val="nil"/>
              <w:bottom w:val="nil"/>
              <w:right w:val="nil"/>
            </w:tcBorders>
            <w:shd w:val="clear" w:color="auto" w:fill="auto"/>
            <w:tcMar>
              <w:top w:w="0" w:type="dxa"/>
              <w:left w:w="0" w:type="dxa"/>
              <w:bottom w:w="0" w:type="dxa"/>
              <w:right w:w="0" w:type="dxa"/>
            </w:tcMar>
          </w:tcPr>
          <w:p w14:paraId="594CFFE8" w14:textId="77777777" w:rsidR="00D77A76" w:rsidRPr="00F64F91" w:rsidRDefault="00000000">
            <w:pPr>
              <w:widowControl w:val="0"/>
              <w:spacing w:after="200" w:line="240" w:lineRule="auto"/>
              <w:ind w:left="140" w:right="140"/>
              <w:rPr>
                <w:sz w:val="20"/>
                <w:szCs w:val="20"/>
              </w:rPr>
            </w:pPr>
            <w:r w:rsidRPr="00F64F91">
              <w:rPr>
                <w:sz w:val="20"/>
                <w:szCs w:val="20"/>
              </w:rPr>
              <w:t>25 May 2021 - 12 Dec 2021</w:t>
            </w:r>
          </w:p>
        </w:tc>
        <w:tc>
          <w:tcPr>
            <w:tcW w:w="1744" w:type="dxa"/>
            <w:tcBorders>
              <w:top w:val="nil"/>
              <w:left w:val="nil"/>
              <w:bottom w:val="nil"/>
              <w:right w:val="nil"/>
            </w:tcBorders>
            <w:shd w:val="clear" w:color="auto" w:fill="auto"/>
            <w:tcMar>
              <w:top w:w="0" w:type="dxa"/>
              <w:left w:w="0" w:type="dxa"/>
              <w:bottom w:w="0" w:type="dxa"/>
              <w:right w:w="0" w:type="dxa"/>
            </w:tcMar>
          </w:tcPr>
          <w:p w14:paraId="7A025007" w14:textId="77777777" w:rsidR="00D77A76" w:rsidRPr="00F64F91" w:rsidRDefault="00000000">
            <w:pPr>
              <w:widowControl w:val="0"/>
              <w:spacing w:after="200" w:line="240" w:lineRule="auto"/>
              <w:ind w:left="140" w:right="140"/>
              <w:rPr>
                <w:sz w:val="20"/>
                <w:szCs w:val="20"/>
              </w:rPr>
            </w:pPr>
            <w:r w:rsidRPr="00F64F91">
              <w:rPr>
                <w:sz w:val="20"/>
                <w:szCs w:val="20"/>
              </w:rPr>
              <w:t>20 Dec 2021 - 6 Mar 2022</w:t>
            </w:r>
          </w:p>
        </w:tc>
        <w:tc>
          <w:tcPr>
            <w:tcW w:w="1744" w:type="dxa"/>
            <w:tcBorders>
              <w:top w:val="nil"/>
              <w:left w:val="nil"/>
              <w:bottom w:val="nil"/>
              <w:right w:val="nil"/>
            </w:tcBorders>
            <w:shd w:val="clear" w:color="auto" w:fill="auto"/>
            <w:tcMar>
              <w:top w:w="0" w:type="dxa"/>
              <w:left w:w="0" w:type="dxa"/>
              <w:bottom w:w="0" w:type="dxa"/>
              <w:right w:w="0" w:type="dxa"/>
            </w:tcMar>
          </w:tcPr>
          <w:p w14:paraId="45C51A33"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nil"/>
              <w:right w:val="nil"/>
            </w:tcBorders>
            <w:shd w:val="clear" w:color="auto" w:fill="auto"/>
            <w:tcMar>
              <w:top w:w="0" w:type="dxa"/>
              <w:left w:w="0" w:type="dxa"/>
              <w:bottom w:w="0" w:type="dxa"/>
              <w:right w:w="0" w:type="dxa"/>
            </w:tcMar>
          </w:tcPr>
          <w:p w14:paraId="358AE188"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nil"/>
              <w:right w:val="nil"/>
            </w:tcBorders>
            <w:shd w:val="clear" w:color="auto" w:fill="auto"/>
            <w:tcMar>
              <w:top w:w="0" w:type="dxa"/>
              <w:left w:w="0" w:type="dxa"/>
              <w:bottom w:w="0" w:type="dxa"/>
              <w:right w:w="0" w:type="dxa"/>
            </w:tcMar>
          </w:tcPr>
          <w:p w14:paraId="2BFAF16E"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r w:rsidR="00D77A76" w14:paraId="1F5E461F" w14:textId="77777777">
        <w:trPr>
          <w:trHeight w:val="658"/>
        </w:trPr>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66215549" w14:textId="77777777" w:rsidR="00D77A76" w:rsidRPr="00F64F91" w:rsidRDefault="00000000">
            <w:pPr>
              <w:widowControl w:val="0"/>
              <w:spacing w:after="200" w:line="240" w:lineRule="auto"/>
              <w:ind w:left="140" w:right="140"/>
              <w:rPr>
                <w:b/>
                <w:sz w:val="20"/>
                <w:szCs w:val="20"/>
              </w:rPr>
            </w:pPr>
            <w:r w:rsidRPr="00F64F91">
              <w:rPr>
                <w:b/>
                <w:sz w:val="20"/>
                <w:szCs w:val="20"/>
              </w:rPr>
              <w:t>Yorkshire and the Humber</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27D1CA61" w14:textId="77777777" w:rsidR="00D77A76" w:rsidRPr="00F64F91" w:rsidRDefault="00000000">
            <w:pPr>
              <w:widowControl w:val="0"/>
              <w:spacing w:after="200" w:line="240" w:lineRule="auto"/>
              <w:ind w:left="140" w:right="140"/>
              <w:rPr>
                <w:sz w:val="20"/>
                <w:szCs w:val="20"/>
              </w:rPr>
            </w:pPr>
            <w:r w:rsidRPr="00F64F91">
              <w:rPr>
                <w:sz w:val="20"/>
                <w:szCs w:val="20"/>
              </w:rPr>
              <w:t>1 Feb 2020 - 16 Dec 2020</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364DC48E" w14:textId="77777777" w:rsidR="00D77A76" w:rsidRPr="00F64F91" w:rsidRDefault="00000000">
            <w:pPr>
              <w:widowControl w:val="0"/>
              <w:spacing w:after="200" w:line="240" w:lineRule="auto"/>
              <w:ind w:left="140" w:right="140"/>
              <w:rPr>
                <w:sz w:val="20"/>
                <w:szCs w:val="20"/>
              </w:rPr>
            </w:pPr>
            <w:r w:rsidRPr="00F64F91">
              <w:rPr>
                <w:sz w:val="20"/>
                <w:szCs w:val="20"/>
              </w:rPr>
              <w:t>19 Jan 2021 - 17 May 2021</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607A42D7" w14:textId="77777777" w:rsidR="00D77A76" w:rsidRPr="00F64F91" w:rsidRDefault="00000000">
            <w:pPr>
              <w:widowControl w:val="0"/>
              <w:spacing w:after="200" w:line="240" w:lineRule="auto"/>
              <w:ind w:left="140" w:right="140"/>
              <w:rPr>
                <w:sz w:val="20"/>
                <w:szCs w:val="20"/>
              </w:rPr>
            </w:pPr>
            <w:r w:rsidRPr="00F64F91">
              <w:rPr>
                <w:sz w:val="20"/>
                <w:szCs w:val="20"/>
              </w:rPr>
              <w:t>08 Jun 2021 - 12 Dec 2021</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4D632858" w14:textId="77777777" w:rsidR="00D77A76" w:rsidRPr="00F64F91" w:rsidRDefault="00000000">
            <w:pPr>
              <w:widowControl w:val="0"/>
              <w:spacing w:after="200" w:line="240" w:lineRule="auto"/>
              <w:ind w:left="140" w:right="140"/>
              <w:rPr>
                <w:sz w:val="20"/>
                <w:szCs w:val="20"/>
              </w:rPr>
            </w:pPr>
            <w:r w:rsidRPr="00F64F91">
              <w:rPr>
                <w:sz w:val="20"/>
                <w:szCs w:val="20"/>
              </w:rPr>
              <w:t>20 Dec 2021 - 6 Mar 2022</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700F8392" w14:textId="77777777" w:rsidR="00D77A76" w:rsidRPr="00F64F91" w:rsidRDefault="00000000">
            <w:pPr>
              <w:widowControl w:val="0"/>
              <w:spacing w:after="200" w:line="240" w:lineRule="auto"/>
              <w:ind w:left="140" w:right="140"/>
              <w:rPr>
                <w:sz w:val="20"/>
                <w:szCs w:val="20"/>
              </w:rPr>
            </w:pPr>
            <w:r w:rsidRPr="00F64F91">
              <w:rPr>
                <w:sz w:val="20"/>
                <w:szCs w:val="20"/>
              </w:rPr>
              <w:t>7 Mar 2022 - 12 June 2022</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1E375C72" w14:textId="77777777" w:rsidR="00D77A76" w:rsidRPr="00F64F91" w:rsidRDefault="00000000">
            <w:pPr>
              <w:widowControl w:val="0"/>
              <w:spacing w:after="200" w:line="240" w:lineRule="auto"/>
              <w:ind w:left="140" w:right="140"/>
              <w:rPr>
                <w:sz w:val="20"/>
                <w:szCs w:val="20"/>
              </w:rPr>
            </w:pPr>
            <w:r w:rsidRPr="00F64F91">
              <w:rPr>
                <w:sz w:val="20"/>
                <w:szCs w:val="20"/>
              </w:rPr>
              <w:t>4 Jul 2022 - 20 Nov 2022</w:t>
            </w:r>
          </w:p>
        </w:tc>
        <w:tc>
          <w:tcPr>
            <w:tcW w:w="1744" w:type="dxa"/>
            <w:tcBorders>
              <w:top w:val="nil"/>
              <w:left w:val="nil"/>
              <w:bottom w:val="single" w:sz="7" w:space="0" w:color="000000"/>
              <w:right w:val="nil"/>
            </w:tcBorders>
            <w:shd w:val="clear" w:color="auto" w:fill="auto"/>
            <w:tcMar>
              <w:top w:w="0" w:type="dxa"/>
              <w:left w:w="0" w:type="dxa"/>
              <w:bottom w:w="0" w:type="dxa"/>
              <w:right w:w="0" w:type="dxa"/>
            </w:tcMar>
          </w:tcPr>
          <w:p w14:paraId="4CE2442D" w14:textId="77777777" w:rsidR="00D77A76" w:rsidRPr="00F64F91" w:rsidRDefault="00000000">
            <w:pPr>
              <w:widowControl w:val="0"/>
              <w:spacing w:after="200" w:line="240" w:lineRule="auto"/>
              <w:ind w:left="140" w:right="140"/>
              <w:rPr>
                <w:sz w:val="20"/>
                <w:szCs w:val="20"/>
              </w:rPr>
            </w:pPr>
            <w:r w:rsidRPr="00F64F91">
              <w:rPr>
                <w:sz w:val="20"/>
                <w:szCs w:val="20"/>
              </w:rPr>
              <w:t>&lt; 7 Mar 2023</w:t>
            </w:r>
          </w:p>
        </w:tc>
      </w:tr>
    </w:tbl>
    <w:p w14:paraId="7EB4C995" w14:textId="77777777" w:rsidR="00D77A76" w:rsidRDefault="00000000">
      <w:pPr>
        <w:rPr>
          <w:sz w:val="20"/>
          <w:szCs w:val="20"/>
        </w:rPr>
        <w:sectPr w:rsidR="00D77A76" w:rsidSect="00581B7C">
          <w:pgSz w:w="16834" w:h="11909" w:orient="landscape"/>
          <w:pgMar w:top="1440" w:right="1440" w:bottom="1440" w:left="1440" w:header="720" w:footer="720" w:gutter="0"/>
          <w:cols w:space="720"/>
        </w:sectPr>
      </w:pPr>
      <w:r>
        <w:rPr>
          <w:b/>
          <w:sz w:val="20"/>
          <w:szCs w:val="20"/>
        </w:rPr>
        <w:t xml:space="preserve">Note: </w:t>
      </w:r>
      <w:r>
        <w:rPr>
          <w:sz w:val="20"/>
          <w:szCs w:val="20"/>
        </w:rPr>
        <w:t>Missing dates represent time with no variant attributed to &gt;75% of infections; dates for Omicron sub-lineages were only available for England overall; final Omicron Other date represents the closing date of the final survey, with all Omicron dates outside the specified sub-lineages before this date included</w:t>
      </w:r>
    </w:p>
    <w:p w14:paraId="78A64D6A" w14:textId="77777777" w:rsidR="00D77A76" w:rsidRDefault="00000000">
      <w:pPr>
        <w:rPr>
          <w:b/>
        </w:rPr>
      </w:pPr>
      <w:r>
        <w:rPr>
          <w:b/>
        </w:rPr>
        <w:lastRenderedPageBreak/>
        <w:t>Occupational Categories</w:t>
      </w:r>
    </w:p>
    <w:p w14:paraId="1EF4D81E" w14:textId="77777777" w:rsidR="00D77A76" w:rsidRDefault="00D77A76">
      <w:pPr>
        <w:rPr>
          <w:b/>
        </w:rPr>
      </w:pPr>
    </w:p>
    <w:p w14:paraId="3213AD13" w14:textId="77777777" w:rsidR="00D77A76" w:rsidRDefault="00000000">
      <w:r>
        <w:t xml:space="preserve">Occupational categories were developed to triangulate occupation, work-related exposure risk, and employment status while preserving statistical power in the current analysis. Occupations had been previously coded in Virus Watch using methodology described elsewhere </w:t>
      </w:r>
      <w:hyperlink r:id="rId10">
        <w:r>
          <w:rPr>
            <w:color w:val="000000"/>
          </w:rPr>
          <w:t>(1)</w:t>
        </w:r>
      </w:hyperlink>
      <w:r>
        <w:t>, with categories collapsed to reflect exposure risk based on findings from other Virus Watch studies and previous literature</w:t>
      </w:r>
      <w:hyperlink r:id="rId11">
        <w:r>
          <w:rPr>
            <w:color w:val="000000"/>
          </w:rPr>
          <w:t>(1)</w:t>
        </w:r>
      </w:hyperlink>
      <w:hyperlink r:id="rId12">
        <w:r>
          <w:rPr>
            <w:color w:val="000000"/>
          </w:rPr>
          <w:t>(2,3)</w:t>
        </w:r>
      </w:hyperlink>
      <w:r>
        <w:t>. The following groups were consequently included in each category:</w:t>
      </w:r>
    </w:p>
    <w:p w14:paraId="37E371E4" w14:textId="77777777" w:rsidR="00D77A76" w:rsidRDefault="00D77A76"/>
    <w:p w14:paraId="2B951650" w14:textId="77777777" w:rsidR="00D77A76" w:rsidRDefault="00D77A76"/>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77A76" w14:paraId="06509884" w14:textId="77777777">
        <w:tc>
          <w:tcPr>
            <w:tcW w:w="4514" w:type="dxa"/>
            <w:shd w:val="clear" w:color="auto" w:fill="auto"/>
            <w:tcMar>
              <w:top w:w="100" w:type="dxa"/>
              <w:left w:w="100" w:type="dxa"/>
              <w:bottom w:w="100" w:type="dxa"/>
              <w:right w:w="100" w:type="dxa"/>
            </w:tcMar>
          </w:tcPr>
          <w:p w14:paraId="1185D6C7" w14:textId="77777777" w:rsidR="00D77A76" w:rsidRDefault="00000000">
            <w:pPr>
              <w:widowControl w:val="0"/>
              <w:pBdr>
                <w:top w:val="nil"/>
                <w:left w:val="nil"/>
                <w:bottom w:val="nil"/>
                <w:right w:val="nil"/>
                <w:between w:val="nil"/>
              </w:pBdr>
              <w:spacing w:line="240" w:lineRule="auto"/>
              <w:rPr>
                <w:b/>
              </w:rPr>
            </w:pPr>
            <w:r>
              <w:rPr>
                <w:b/>
              </w:rPr>
              <w:t>Category</w:t>
            </w:r>
          </w:p>
        </w:tc>
        <w:tc>
          <w:tcPr>
            <w:tcW w:w="4514" w:type="dxa"/>
            <w:shd w:val="clear" w:color="auto" w:fill="auto"/>
            <w:tcMar>
              <w:top w:w="100" w:type="dxa"/>
              <w:left w:w="100" w:type="dxa"/>
              <w:bottom w:w="100" w:type="dxa"/>
              <w:right w:w="100" w:type="dxa"/>
            </w:tcMar>
          </w:tcPr>
          <w:p w14:paraId="568D505B" w14:textId="77777777" w:rsidR="00D77A76" w:rsidRDefault="00000000">
            <w:pPr>
              <w:widowControl w:val="0"/>
              <w:pBdr>
                <w:top w:val="nil"/>
                <w:left w:val="nil"/>
                <w:bottom w:val="nil"/>
                <w:right w:val="nil"/>
                <w:between w:val="nil"/>
              </w:pBdr>
              <w:spacing w:line="240" w:lineRule="auto"/>
              <w:rPr>
                <w:b/>
              </w:rPr>
            </w:pPr>
            <w:r>
              <w:rPr>
                <w:b/>
              </w:rPr>
              <w:t>Included groups - n (%) of current study population (</w:t>
            </w:r>
            <w:r>
              <w:rPr>
                <w:b/>
                <w:i/>
              </w:rPr>
              <w:t>N</w:t>
            </w:r>
            <w:r>
              <w:rPr>
                <w:b/>
              </w:rPr>
              <w:t>=5,630)</w:t>
            </w:r>
          </w:p>
        </w:tc>
      </w:tr>
      <w:tr w:rsidR="00D77A76" w14:paraId="4EEC6A67" w14:textId="77777777">
        <w:tc>
          <w:tcPr>
            <w:tcW w:w="4514" w:type="dxa"/>
            <w:shd w:val="clear" w:color="auto" w:fill="auto"/>
            <w:tcMar>
              <w:top w:w="100" w:type="dxa"/>
              <w:left w:w="100" w:type="dxa"/>
              <w:bottom w:w="100" w:type="dxa"/>
              <w:right w:w="100" w:type="dxa"/>
            </w:tcMar>
          </w:tcPr>
          <w:p w14:paraId="5CF7B12E" w14:textId="77777777" w:rsidR="00D77A76" w:rsidRDefault="00000000">
            <w:pPr>
              <w:widowControl w:val="0"/>
              <w:pBdr>
                <w:top w:val="nil"/>
                <w:left w:val="nil"/>
                <w:bottom w:val="nil"/>
                <w:right w:val="nil"/>
                <w:between w:val="nil"/>
              </w:pBdr>
              <w:spacing w:line="240" w:lineRule="auto"/>
            </w:pPr>
            <w:r>
              <w:t>Higher exposure risk occupation</w:t>
            </w:r>
          </w:p>
        </w:tc>
        <w:tc>
          <w:tcPr>
            <w:tcW w:w="4514" w:type="dxa"/>
            <w:shd w:val="clear" w:color="auto" w:fill="auto"/>
            <w:tcMar>
              <w:top w:w="100" w:type="dxa"/>
              <w:left w:w="100" w:type="dxa"/>
              <w:bottom w:w="100" w:type="dxa"/>
              <w:right w:w="100" w:type="dxa"/>
            </w:tcMar>
          </w:tcPr>
          <w:p w14:paraId="25551884" w14:textId="77777777" w:rsidR="00D77A76" w:rsidRDefault="00000000">
            <w:pPr>
              <w:widowControl w:val="0"/>
              <w:pBdr>
                <w:top w:val="nil"/>
                <w:left w:val="nil"/>
                <w:bottom w:val="nil"/>
                <w:right w:val="nil"/>
                <w:between w:val="nil"/>
              </w:pBdr>
              <w:spacing w:line="240" w:lineRule="auto"/>
            </w:pPr>
            <w:r>
              <w:t>Healthcare</w:t>
            </w:r>
          </w:p>
          <w:p w14:paraId="4C9A3B85" w14:textId="77777777" w:rsidR="00D77A76" w:rsidRDefault="00000000">
            <w:pPr>
              <w:widowControl w:val="0"/>
              <w:pBdr>
                <w:top w:val="nil"/>
                <w:left w:val="nil"/>
                <w:bottom w:val="nil"/>
                <w:right w:val="nil"/>
                <w:between w:val="nil"/>
              </w:pBdr>
              <w:spacing w:line="240" w:lineRule="auto"/>
            </w:pPr>
            <w:r>
              <w:t>219 (3.9%)</w:t>
            </w:r>
          </w:p>
          <w:p w14:paraId="53EA46AA" w14:textId="77777777" w:rsidR="00D77A76" w:rsidRDefault="00D77A76">
            <w:pPr>
              <w:widowControl w:val="0"/>
              <w:pBdr>
                <w:top w:val="nil"/>
                <w:left w:val="nil"/>
                <w:bottom w:val="nil"/>
                <w:right w:val="nil"/>
                <w:between w:val="nil"/>
              </w:pBdr>
              <w:spacing w:line="240" w:lineRule="auto"/>
            </w:pPr>
          </w:p>
          <w:p w14:paraId="5DA5D06E" w14:textId="77777777" w:rsidR="00D77A76" w:rsidRDefault="00000000">
            <w:pPr>
              <w:widowControl w:val="0"/>
              <w:pBdr>
                <w:top w:val="nil"/>
                <w:left w:val="nil"/>
                <w:bottom w:val="nil"/>
                <w:right w:val="nil"/>
                <w:between w:val="nil"/>
              </w:pBdr>
              <w:spacing w:line="240" w:lineRule="auto"/>
            </w:pPr>
            <w:r>
              <w:t>Indoor Trades, Process &amp; Plant</w:t>
            </w:r>
          </w:p>
          <w:p w14:paraId="3D3A02A6" w14:textId="77777777" w:rsidR="00D77A76" w:rsidRDefault="00000000">
            <w:pPr>
              <w:widowControl w:val="0"/>
              <w:pBdr>
                <w:top w:val="nil"/>
                <w:left w:val="nil"/>
                <w:bottom w:val="nil"/>
                <w:right w:val="nil"/>
                <w:between w:val="nil"/>
              </w:pBdr>
              <w:spacing w:line="240" w:lineRule="auto"/>
            </w:pPr>
            <w:r>
              <w:t>142 (2.5%)</w:t>
            </w:r>
          </w:p>
          <w:p w14:paraId="7584695A" w14:textId="77777777" w:rsidR="00D77A76" w:rsidRDefault="00D77A76">
            <w:pPr>
              <w:widowControl w:val="0"/>
              <w:pBdr>
                <w:top w:val="nil"/>
                <w:left w:val="nil"/>
                <w:bottom w:val="nil"/>
                <w:right w:val="nil"/>
                <w:between w:val="nil"/>
              </w:pBdr>
              <w:spacing w:line="240" w:lineRule="auto"/>
            </w:pPr>
          </w:p>
          <w:p w14:paraId="73CA93BC" w14:textId="77777777" w:rsidR="00D77A76" w:rsidRDefault="00000000">
            <w:pPr>
              <w:widowControl w:val="0"/>
              <w:pBdr>
                <w:top w:val="nil"/>
                <w:left w:val="nil"/>
                <w:bottom w:val="nil"/>
                <w:right w:val="nil"/>
                <w:between w:val="nil"/>
              </w:pBdr>
              <w:spacing w:line="240" w:lineRule="auto"/>
            </w:pPr>
            <w:r>
              <w:t>Leisure &amp; Personal Service</w:t>
            </w:r>
          </w:p>
          <w:p w14:paraId="3D927ED2" w14:textId="77777777" w:rsidR="00D77A76" w:rsidRDefault="00000000">
            <w:pPr>
              <w:widowControl w:val="0"/>
              <w:pBdr>
                <w:top w:val="nil"/>
                <w:left w:val="nil"/>
                <w:bottom w:val="nil"/>
                <w:right w:val="nil"/>
                <w:between w:val="nil"/>
              </w:pBdr>
              <w:spacing w:line="240" w:lineRule="auto"/>
            </w:pPr>
            <w:r>
              <w:t>99 (1.8%)</w:t>
            </w:r>
          </w:p>
          <w:p w14:paraId="38180AF1" w14:textId="77777777" w:rsidR="00D77A76" w:rsidRDefault="00D77A76">
            <w:pPr>
              <w:widowControl w:val="0"/>
              <w:pBdr>
                <w:top w:val="nil"/>
                <w:left w:val="nil"/>
                <w:bottom w:val="nil"/>
                <w:right w:val="nil"/>
                <w:between w:val="nil"/>
              </w:pBdr>
              <w:spacing w:line="240" w:lineRule="auto"/>
            </w:pPr>
          </w:p>
          <w:p w14:paraId="0D68926D" w14:textId="77777777" w:rsidR="00D77A76" w:rsidRDefault="00000000">
            <w:pPr>
              <w:widowControl w:val="0"/>
              <w:pBdr>
                <w:top w:val="nil"/>
                <w:left w:val="nil"/>
                <w:bottom w:val="nil"/>
                <w:right w:val="nil"/>
                <w:between w:val="nil"/>
              </w:pBdr>
              <w:spacing w:line="240" w:lineRule="auto"/>
            </w:pPr>
            <w:r>
              <w:t>Sales &amp; Customer Service</w:t>
            </w:r>
          </w:p>
          <w:p w14:paraId="7FC60F06" w14:textId="77777777" w:rsidR="00D77A76" w:rsidRDefault="00000000">
            <w:pPr>
              <w:widowControl w:val="0"/>
              <w:pBdr>
                <w:top w:val="nil"/>
                <w:left w:val="nil"/>
                <w:bottom w:val="nil"/>
                <w:right w:val="nil"/>
                <w:between w:val="nil"/>
              </w:pBdr>
              <w:spacing w:line="240" w:lineRule="auto"/>
            </w:pPr>
            <w:r>
              <w:t>114 (2.0%)</w:t>
            </w:r>
          </w:p>
          <w:p w14:paraId="6C3B588E" w14:textId="77777777" w:rsidR="00D77A76" w:rsidRDefault="00D77A76">
            <w:pPr>
              <w:widowControl w:val="0"/>
              <w:pBdr>
                <w:top w:val="nil"/>
                <w:left w:val="nil"/>
                <w:bottom w:val="nil"/>
                <w:right w:val="nil"/>
                <w:between w:val="nil"/>
              </w:pBdr>
              <w:spacing w:line="240" w:lineRule="auto"/>
            </w:pPr>
          </w:p>
          <w:p w14:paraId="3BC137B2" w14:textId="77777777" w:rsidR="00D77A76" w:rsidRDefault="00000000">
            <w:pPr>
              <w:widowControl w:val="0"/>
              <w:pBdr>
                <w:top w:val="nil"/>
                <w:left w:val="nil"/>
                <w:bottom w:val="nil"/>
                <w:right w:val="nil"/>
                <w:between w:val="nil"/>
              </w:pBdr>
              <w:spacing w:line="240" w:lineRule="auto"/>
            </w:pPr>
            <w:r>
              <w:t>Social Care &amp; Community Protective Services</w:t>
            </w:r>
          </w:p>
          <w:p w14:paraId="7E828818" w14:textId="77777777" w:rsidR="00D77A76" w:rsidRDefault="00000000">
            <w:pPr>
              <w:widowControl w:val="0"/>
              <w:pBdr>
                <w:top w:val="nil"/>
                <w:left w:val="nil"/>
                <w:bottom w:val="nil"/>
                <w:right w:val="nil"/>
                <w:between w:val="nil"/>
              </w:pBdr>
              <w:spacing w:line="240" w:lineRule="auto"/>
            </w:pPr>
            <w:r>
              <w:t>130 (2.3%)</w:t>
            </w:r>
          </w:p>
          <w:p w14:paraId="70ABF827" w14:textId="77777777" w:rsidR="00D77A76" w:rsidRDefault="00D77A76">
            <w:pPr>
              <w:widowControl w:val="0"/>
              <w:pBdr>
                <w:top w:val="nil"/>
                <w:left w:val="nil"/>
                <w:bottom w:val="nil"/>
                <w:right w:val="nil"/>
                <w:between w:val="nil"/>
              </w:pBdr>
              <w:spacing w:line="240" w:lineRule="auto"/>
            </w:pPr>
          </w:p>
          <w:p w14:paraId="105BDEB1" w14:textId="77777777" w:rsidR="00D77A76" w:rsidRDefault="00000000">
            <w:pPr>
              <w:widowControl w:val="0"/>
              <w:pBdr>
                <w:top w:val="nil"/>
                <w:left w:val="nil"/>
                <w:bottom w:val="nil"/>
                <w:right w:val="nil"/>
                <w:between w:val="nil"/>
              </w:pBdr>
              <w:spacing w:line="240" w:lineRule="auto"/>
            </w:pPr>
            <w:r>
              <w:t>Teaching, Education &amp; Childcare</w:t>
            </w:r>
          </w:p>
          <w:p w14:paraId="2F7ADCC8" w14:textId="77777777" w:rsidR="00D77A76" w:rsidRDefault="00000000">
            <w:pPr>
              <w:widowControl w:val="0"/>
              <w:pBdr>
                <w:top w:val="nil"/>
                <w:left w:val="nil"/>
                <w:bottom w:val="nil"/>
                <w:right w:val="nil"/>
                <w:between w:val="nil"/>
              </w:pBdr>
              <w:spacing w:line="240" w:lineRule="auto"/>
            </w:pPr>
            <w:r>
              <w:t>250 (4.4%)</w:t>
            </w:r>
          </w:p>
          <w:p w14:paraId="1774AC24" w14:textId="77777777" w:rsidR="00D77A76" w:rsidRDefault="00D77A76">
            <w:pPr>
              <w:widowControl w:val="0"/>
              <w:pBdr>
                <w:top w:val="nil"/>
                <w:left w:val="nil"/>
                <w:bottom w:val="nil"/>
                <w:right w:val="nil"/>
                <w:between w:val="nil"/>
              </w:pBdr>
              <w:spacing w:line="240" w:lineRule="auto"/>
            </w:pPr>
          </w:p>
          <w:p w14:paraId="71FC9F7E" w14:textId="77777777" w:rsidR="00D77A76" w:rsidRDefault="00000000">
            <w:pPr>
              <w:widowControl w:val="0"/>
              <w:pBdr>
                <w:top w:val="nil"/>
                <w:left w:val="nil"/>
                <w:bottom w:val="nil"/>
                <w:right w:val="nil"/>
                <w:between w:val="nil"/>
              </w:pBdr>
              <w:spacing w:line="240" w:lineRule="auto"/>
            </w:pPr>
            <w:r>
              <w:t>Transport &amp; Mobile Machine</w:t>
            </w:r>
          </w:p>
          <w:p w14:paraId="037F8A61" w14:textId="77777777" w:rsidR="00D77A76" w:rsidRDefault="00000000">
            <w:pPr>
              <w:widowControl w:val="0"/>
              <w:pBdr>
                <w:top w:val="nil"/>
                <w:left w:val="nil"/>
                <w:bottom w:val="nil"/>
                <w:right w:val="nil"/>
                <w:between w:val="nil"/>
              </w:pBdr>
              <w:spacing w:line="240" w:lineRule="auto"/>
            </w:pPr>
            <w:r>
              <w:t>41 (0.7%)</w:t>
            </w:r>
          </w:p>
        </w:tc>
      </w:tr>
      <w:tr w:rsidR="00D77A76" w14:paraId="07499405" w14:textId="77777777">
        <w:tc>
          <w:tcPr>
            <w:tcW w:w="4514" w:type="dxa"/>
            <w:shd w:val="clear" w:color="auto" w:fill="auto"/>
            <w:tcMar>
              <w:top w:w="100" w:type="dxa"/>
              <w:left w:w="100" w:type="dxa"/>
              <w:bottom w:w="100" w:type="dxa"/>
              <w:right w:w="100" w:type="dxa"/>
            </w:tcMar>
          </w:tcPr>
          <w:p w14:paraId="5EBACFFA" w14:textId="77777777" w:rsidR="00D77A76" w:rsidRDefault="00000000">
            <w:pPr>
              <w:widowControl w:val="0"/>
              <w:pBdr>
                <w:top w:val="nil"/>
                <w:left w:val="nil"/>
                <w:bottom w:val="nil"/>
                <w:right w:val="nil"/>
                <w:between w:val="nil"/>
              </w:pBdr>
              <w:spacing w:line="240" w:lineRule="auto"/>
            </w:pPr>
            <w:r>
              <w:t>Lower exposure risk occupation</w:t>
            </w:r>
          </w:p>
        </w:tc>
        <w:tc>
          <w:tcPr>
            <w:tcW w:w="4514" w:type="dxa"/>
            <w:shd w:val="clear" w:color="auto" w:fill="auto"/>
            <w:tcMar>
              <w:top w:w="100" w:type="dxa"/>
              <w:left w:w="100" w:type="dxa"/>
              <w:bottom w:w="100" w:type="dxa"/>
              <w:right w:w="100" w:type="dxa"/>
            </w:tcMar>
          </w:tcPr>
          <w:p w14:paraId="3FC98C80" w14:textId="77777777" w:rsidR="00D77A76" w:rsidRDefault="00000000">
            <w:pPr>
              <w:widowControl w:val="0"/>
              <w:spacing w:line="240" w:lineRule="auto"/>
            </w:pPr>
            <w:r>
              <w:t>Administrative &amp; Secretarial</w:t>
            </w:r>
          </w:p>
          <w:p w14:paraId="321FECCF" w14:textId="77777777" w:rsidR="00D77A76" w:rsidRDefault="00000000">
            <w:pPr>
              <w:widowControl w:val="0"/>
              <w:spacing w:line="240" w:lineRule="auto"/>
            </w:pPr>
            <w:r>
              <w:t>322 (5.7%)</w:t>
            </w:r>
          </w:p>
          <w:p w14:paraId="0DCC80AB" w14:textId="77777777" w:rsidR="00D77A76" w:rsidRDefault="00D77A76">
            <w:pPr>
              <w:widowControl w:val="0"/>
              <w:spacing w:line="240" w:lineRule="auto"/>
            </w:pPr>
          </w:p>
          <w:p w14:paraId="7970CDD3" w14:textId="77777777" w:rsidR="00D77A76" w:rsidRDefault="00000000">
            <w:pPr>
              <w:widowControl w:val="0"/>
              <w:spacing w:line="240" w:lineRule="auto"/>
            </w:pPr>
            <w:r>
              <w:t>Managers, Directors &amp; Senior Officials</w:t>
            </w:r>
          </w:p>
          <w:p w14:paraId="77951035" w14:textId="77777777" w:rsidR="00D77A76" w:rsidRDefault="00000000">
            <w:pPr>
              <w:widowControl w:val="0"/>
              <w:spacing w:line="240" w:lineRule="auto"/>
            </w:pPr>
            <w:r>
              <w:t>191 (3.4%)</w:t>
            </w:r>
          </w:p>
          <w:p w14:paraId="2C9BCB80" w14:textId="77777777" w:rsidR="00D77A76" w:rsidRDefault="00D77A76">
            <w:pPr>
              <w:widowControl w:val="0"/>
              <w:spacing w:line="240" w:lineRule="auto"/>
            </w:pPr>
          </w:p>
          <w:p w14:paraId="6FDAA5EB" w14:textId="77777777" w:rsidR="00D77A76" w:rsidRDefault="00000000">
            <w:pPr>
              <w:widowControl w:val="0"/>
              <w:spacing w:line="240" w:lineRule="auto"/>
            </w:pPr>
            <w:r>
              <w:t>Other Professional &amp; Associate Occupations</w:t>
            </w:r>
          </w:p>
          <w:p w14:paraId="321C1FF5" w14:textId="77777777" w:rsidR="00D77A76" w:rsidRDefault="00000000">
            <w:pPr>
              <w:widowControl w:val="0"/>
              <w:spacing w:line="240" w:lineRule="auto"/>
            </w:pPr>
            <w:r>
              <w:t>687 (12%)</w:t>
            </w:r>
          </w:p>
          <w:p w14:paraId="7C02CFF1" w14:textId="77777777" w:rsidR="00D77A76" w:rsidRDefault="00D77A76">
            <w:pPr>
              <w:widowControl w:val="0"/>
              <w:spacing w:line="240" w:lineRule="auto"/>
            </w:pPr>
          </w:p>
          <w:p w14:paraId="12F05DDE" w14:textId="77777777" w:rsidR="00D77A76" w:rsidRDefault="00000000">
            <w:pPr>
              <w:widowControl w:val="0"/>
              <w:spacing w:line="240" w:lineRule="auto"/>
            </w:pPr>
            <w:r>
              <w:t>Outdoor Trades</w:t>
            </w:r>
          </w:p>
          <w:p w14:paraId="2A4DD74E" w14:textId="77777777" w:rsidR="00D77A76" w:rsidRDefault="00000000">
            <w:pPr>
              <w:widowControl w:val="0"/>
              <w:spacing w:line="240" w:lineRule="auto"/>
            </w:pPr>
            <w:r>
              <w:t>57 (1.0%)</w:t>
            </w:r>
          </w:p>
        </w:tc>
      </w:tr>
      <w:tr w:rsidR="00D77A76" w14:paraId="3B289BF0" w14:textId="77777777">
        <w:tc>
          <w:tcPr>
            <w:tcW w:w="4514" w:type="dxa"/>
            <w:shd w:val="clear" w:color="auto" w:fill="auto"/>
            <w:tcMar>
              <w:top w:w="100" w:type="dxa"/>
              <w:left w:w="100" w:type="dxa"/>
              <w:bottom w:w="100" w:type="dxa"/>
              <w:right w:w="100" w:type="dxa"/>
            </w:tcMar>
          </w:tcPr>
          <w:p w14:paraId="2CC03EA3" w14:textId="77777777" w:rsidR="00D77A76" w:rsidRDefault="00000000">
            <w:pPr>
              <w:widowControl w:val="0"/>
              <w:pBdr>
                <w:top w:val="nil"/>
                <w:left w:val="nil"/>
                <w:bottom w:val="nil"/>
                <w:right w:val="nil"/>
                <w:between w:val="nil"/>
              </w:pBdr>
              <w:spacing w:line="240" w:lineRule="auto"/>
            </w:pPr>
            <w:r>
              <w:t>Retired</w:t>
            </w:r>
          </w:p>
        </w:tc>
        <w:tc>
          <w:tcPr>
            <w:tcW w:w="4514" w:type="dxa"/>
            <w:shd w:val="clear" w:color="auto" w:fill="auto"/>
            <w:tcMar>
              <w:top w:w="100" w:type="dxa"/>
              <w:left w:w="100" w:type="dxa"/>
              <w:bottom w:w="100" w:type="dxa"/>
              <w:right w:w="100" w:type="dxa"/>
            </w:tcMar>
          </w:tcPr>
          <w:p w14:paraId="662FBD3E" w14:textId="77777777" w:rsidR="00D77A76" w:rsidRDefault="00000000">
            <w:pPr>
              <w:widowControl w:val="0"/>
              <w:spacing w:line="240" w:lineRule="auto"/>
            </w:pPr>
            <w:r>
              <w:t>Retired</w:t>
            </w:r>
          </w:p>
          <w:p w14:paraId="507BDF0B" w14:textId="77777777" w:rsidR="00D77A76" w:rsidRDefault="00000000">
            <w:pPr>
              <w:widowControl w:val="0"/>
              <w:spacing w:line="240" w:lineRule="auto"/>
            </w:pPr>
            <w:r>
              <w:t>2,444 (43%)</w:t>
            </w:r>
          </w:p>
        </w:tc>
      </w:tr>
      <w:tr w:rsidR="00D77A76" w14:paraId="77F9F98E" w14:textId="77777777">
        <w:tc>
          <w:tcPr>
            <w:tcW w:w="4514" w:type="dxa"/>
            <w:shd w:val="clear" w:color="auto" w:fill="auto"/>
            <w:tcMar>
              <w:top w:w="100" w:type="dxa"/>
              <w:left w:w="100" w:type="dxa"/>
              <w:bottom w:w="100" w:type="dxa"/>
              <w:right w:w="100" w:type="dxa"/>
            </w:tcMar>
          </w:tcPr>
          <w:p w14:paraId="1FF31218" w14:textId="77777777" w:rsidR="00D77A76" w:rsidRDefault="00000000">
            <w:pPr>
              <w:widowControl w:val="0"/>
              <w:pBdr>
                <w:top w:val="nil"/>
                <w:left w:val="nil"/>
                <w:bottom w:val="nil"/>
                <w:right w:val="nil"/>
                <w:between w:val="nil"/>
              </w:pBdr>
              <w:spacing w:line="240" w:lineRule="auto"/>
            </w:pPr>
            <w:r>
              <w:t>Not in employment</w:t>
            </w:r>
          </w:p>
        </w:tc>
        <w:tc>
          <w:tcPr>
            <w:tcW w:w="4514" w:type="dxa"/>
            <w:shd w:val="clear" w:color="auto" w:fill="auto"/>
            <w:tcMar>
              <w:top w:w="100" w:type="dxa"/>
              <w:left w:w="100" w:type="dxa"/>
              <w:bottom w:w="100" w:type="dxa"/>
              <w:right w:w="100" w:type="dxa"/>
            </w:tcMar>
          </w:tcPr>
          <w:p w14:paraId="4B09D645" w14:textId="77777777" w:rsidR="00D77A76" w:rsidRDefault="00000000">
            <w:pPr>
              <w:widowControl w:val="0"/>
              <w:spacing w:line="240" w:lineRule="auto"/>
            </w:pPr>
            <w:r>
              <w:t>Not in Employment or Homemaker</w:t>
            </w:r>
          </w:p>
          <w:p w14:paraId="536DEDB5" w14:textId="77777777" w:rsidR="00D77A76" w:rsidRDefault="00000000">
            <w:pPr>
              <w:widowControl w:val="0"/>
              <w:spacing w:line="240" w:lineRule="auto"/>
            </w:pPr>
            <w:r>
              <w:t>129 (2.3%)</w:t>
            </w:r>
          </w:p>
          <w:p w14:paraId="3B450E06" w14:textId="77777777" w:rsidR="00D77A76" w:rsidRDefault="00D77A76">
            <w:pPr>
              <w:widowControl w:val="0"/>
              <w:spacing w:line="240" w:lineRule="auto"/>
            </w:pPr>
          </w:p>
          <w:p w14:paraId="6337CAC7" w14:textId="77777777" w:rsidR="00D77A76" w:rsidRDefault="00000000">
            <w:pPr>
              <w:widowControl w:val="0"/>
              <w:spacing w:line="240" w:lineRule="auto"/>
            </w:pPr>
            <w:r>
              <w:t>Permanently sick or disabled</w:t>
            </w:r>
          </w:p>
          <w:p w14:paraId="6E6B22E2" w14:textId="77777777" w:rsidR="00D77A76" w:rsidRDefault="00000000">
            <w:pPr>
              <w:widowControl w:val="0"/>
              <w:spacing w:line="240" w:lineRule="auto"/>
            </w:pPr>
            <w:r>
              <w:t>66 (1.2%)</w:t>
            </w:r>
          </w:p>
          <w:p w14:paraId="1F263C34" w14:textId="77777777" w:rsidR="00D77A76" w:rsidRDefault="00D77A76">
            <w:pPr>
              <w:widowControl w:val="0"/>
              <w:pBdr>
                <w:top w:val="nil"/>
                <w:left w:val="nil"/>
                <w:bottom w:val="nil"/>
                <w:right w:val="nil"/>
                <w:between w:val="nil"/>
              </w:pBdr>
              <w:spacing w:line="240" w:lineRule="auto"/>
            </w:pPr>
          </w:p>
          <w:p w14:paraId="18E0535C" w14:textId="77777777" w:rsidR="00D77A76" w:rsidRDefault="00000000">
            <w:pPr>
              <w:widowControl w:val="0"/>
              <w:spacing w:line="240" w:lineRule="auto"/>
            </w:pPr>
            <w:r>
              <w:t>Student</w:t>
            </w:r>
          </w:p>
          <w:p w14:paraId="70EABA4C" w14:textId="77777777" w:rsidR="00D77A76" w:rsidRDefault="00000000">
            <w:pPr>
              <w:widowControl w:val="0"/>
              <w:spacing w:line="240" w:lineRule="auto"/>
            </w:pPr>
            <w:r>
              <w:t>46 (0.8%)</w:t>
            </w:r>
          </w:p>
        </w:tc>
      </w:tr>
      <w:tr w:rsidR="00D77A76" w14:paraId="0449780F" w14:textId="77777777">
        <w:tc>
          <w:tcPr>
            <w:tcW w:w="4514" w:type="dxa"/>
            <w:shd w:val="clear" w:color="auto" w:fill="auto"/>
            <w:tcMar>
              <w:top w:w="100" w:type="dxa"/>
              <w:left w:w="100" w:type="dxa"/>
              <w:bottom w:w="100" w:type="dxa"/>
              <w:right w:w="100" w:type="dxa"/>
            </w:tcMar>
          </w:tcPr>
          <w:p w14:paraId="4BE7B7D8" w14:textId="77777777" w:rsidR="00D77A76" w:rsidRDefault="00000000">
            <w:pPr>
              <w:widowControl w:val="0"/>
              <w:spacing w:line="240" w:lineRule="auto"/>
            </w:pPr>
            <w:r>
              <w:lastRenderedPageBreak/>
              <w:t>Unknown or Other Status</w:t>
            </w:r>
          </w:p>
        </w:tc>
        <w:tc>
          <w:tcPr>
            <w:tcW w:w="4514" w:type="dxa"/>
            <w:shd w:val="clear" w:color="auto" w:fill="auto"/>
            <w:tcMar>
              <w:top w:w="100" w:type="dxa"/>
              <w:left w:w="100" w:type="dxa"/>
              <w:bottom w:w="100" w:type="dxa"/>
              <w:right w:w="100" w:type="dxa"/>
            </w:tcMar>
          </w:tcPr>
          <w:p w14:paraId="1384ABAB" w14:textId="77777777" w:rsidR="00D77A76" w:rsidRDefault="00000000">
            <w:pPr>
              <w:widowControl w:val="0"/>
              <w:spacing w:line="240" w:lineRule="auto"/>
            </w:pPr>
            <w:r>
              <w:t>Unknown or Other Status</w:t>
            </w:r>
          </w:p>
          <w:p w14:paraId="63BA7C8F" w14:textId="77777777" w:rsidR="00D77A76" w:rsidRDefault="00000000">
            <w:pPr>
              <w:widowControl w:val="0"/>
              <w:spacing w:line="240" w:lineRule="auto"/>
            </w:pPr>
            <w:r>
              <w:t>693 (12%)</w:t>
            </w:r>
          </w:p>
        </w:tc>
      </w:tr>
    </w:tbl>
    <w:p w14:paraId="118F7F77" w14:textId="77777777" w:rsidR="00D77A76" w:rsidRDefault="00000000">
      <w:r>
        <w:t xml:space="preserve">  </w:t>
      </w:r>
    </w:p>
    <w:p w14:paraId="4919AB8E" w14:textId="77777777" w:rsidR="00D77A76" w:rsidRDefault="00D77A76"/>
    <w:p w14:paraId="78D750AE" w14:textId="77777777" w:rsidR="00D77A76" w:rsidRDefault="00000000">
      <w:pPr>
        <w:rPr>
          <w:b/>
        </w:rPr>
      </w:pPr>
      <w:r>
        <w:rPr>
          <w:b/>
        </w:rPr>
        <w:t>References</w:t>
      </w:r>
    </w:p>
    <w:p w14:paraId="773F2B34" w14:textId="77777777" w:rsidR="00D77A76" w:rsidRPr="00F64F91" w:rsidRDefault="00000000">
      <w:pPr>
        <w:widowControl w:val="0"/>
        <w:spacing w:before="240" w:after="240" w:line="240" w:lineRule="auto"/>
        <w:ind w:left="480"/>
        <w:rPr>
          <w:sz w:val="20"/>
          <w:szCs w:val="20"/>
        </w:rPr>
      </w:pPr>
      <w:r w:rsidRPr="00F64F91">
        <w:rPr>
          <w:sz w:val="20"/>
          <w:szCs w:val="20"/>
        </w:rPr>
        <w:t>1.</w:t>
      </w:r>
      <w:r w:rsidRPr="00F64F91">
        <w:rPr>
          <w:sz w:val="20"/>
          <w:szCs w:val="20"/>
        </w:rPr>
        <w:tab/>
      </w:r>
      <w:hyperlink r:id="rId13">
        <w:r w:rsidRPr="00F64F91">
          <w:rPr>
            <w:sz w:val="20"/>
            <w:szCs w:val="20"/>
          </w:rPr>
          <w:t>Beale S, Hoskins S, Byrne T, Fong WLE, Fragaszy E, Geismar C, et al. Differential Risk of SARS-CoV-2 Infection by Occupation: Evidence from the Virus Watch prospective cohort study in England and Wales. J Occup Med Toxicol. 2023 Apr 3;18(1):1–11.</w:t>
        </w:r>
      </w:hyperlink>
    </w:p>
    <w:p w14:paraId="4D695DCE" w14:textId="77777777" w:rsidR="00D77A76" w:rsidRPr="00F64F91" w:rsidRDefault="00000000">
      <w:pPr>
        <w:widowControl w:val="0"/>
        <w:spacing w:after="240" w:line="240" w:lineRule="auto"/>
        <w:ind w:left="480"/>
        <w:rPr>
          <w:sz w:val="20"/>
          <w:szCs w:val="20"/>
        </w:rPr>
      </w:pPr>
      <w:r w:rsidRPr="00F64F91">
        <w:rPr>
          <w:sz w:val="20"/>
          <w:szCs w:val="20"/>
        </w:rPr>
        <w:t>2.</w:t>
      </w:r>
      <w:r w:rsidRPr="00F64F91">
        <w:rPr>
          <w:sz w:val="20"/>
          <w:szCs w:val="20"/>
        </w:rPr>
        <w:tab/>
        <w:t xml:space="preserve">Beale S, Hoskins S, Byrne T, Fong WL, Fragaszy E,et al. </w:t>
      </w:r>
      <w:hyperlink r:id="rId14">
        <w:r w:rsidRPr="00F64F91">
          <w:rPr>
            <w:sz w:val="20"/>
            <w:szCs w:val="20"/>
          </w:rPr>
          <w:t>Workplace contact patterns in England during the COVID-19 pandemic: Analysis of the Virus Watch prospective cohort study. The Lancet Regional Health - Europe. 2022 May 1;16:100352.</w:t>
        </w:r>
      </w:hyperlink>
    </w:p>
    <w:p w14:paraId="5E4081AC" w14:textId="77777777" w:rsidR="00D77A76" w:rsidRPr="00F64F91" w:rsidRDefault="00000000">
      <w:pPr>
        <w:widowControl w:val="0"/>
        <w:spacing w:after="240" w:line="240" w:lineRule="auto"/>
        <w:ind w:left="480"/>
        <w:rPr>
          <w:b/>
          <w:sz w:val="20"/>
          <w:szCs w:val="20"/>
        </w:rPr>
      </w:pPr>
      <w:r w:rsidRPr="00F64F91">
        <w:rPr>
          <w:sz w:val="20"/>
          <w:szCs w:val="20"/>
        </w:rPr>
        <w:t>3.</w:t>
      </w:r>
      <w:r w:rsidRPr="00F64F91">
        <w:rPr>
          <w:sz w:val="20"/>
          <w:szCs w:val="20"/>
        </w:rPr>
        <w:tab/>
      </w:r>
      <w:hyperlink r:id="rId15">
        <w:r w:rsidRPr="00F64F91">
          <w:rPr>
            <w:sz w:val="20"/>
            <w:szCs w:val="20"/>
          </w:rPr>
          <w:t>Beale S, Patel P, Rodger A, Braithwaite I, Byrne T, Fong WLE, et al. Occupation, work-related contact and SARS-CoV-2 anti-nucleocapsid serological status: findings from the Virus Watch prospective cohort study. Occup Environ Med. 2022 Nov 1;79(11):729–35.</w:t>
        </w:r>
      </w:hyperlink>
    </w:p>
    <w:p w14:paraId="6BBB9B84" w14:textId="77777777" w:rsidR="00D77A76" w:rsidRDefault="00D77A76"/>
    <w:p w14:paraId="174A16B5" w14:textId="77777777" w:rsidR="00D77A76" w:rsidRDefault="00D77A76"/>
    <w:p w14:paraId="1055EC0F" w14:textId="77777777" w:rsidR="00D77A76" w:rsidRDefault="00D77A76"/>
    <w:p w14:paraId="4B4DA7CE" w14:textId="77777777" w:rsidR="00D77A76" w:rsidRDefault="00D77A76">
      <w:pPr>
        <w:sectPr w:rsidR="00D77A76" w:rsidSect="00581B7C">
          <w:pgSz w:w="11909" w:h="16834"/>
          <w:pgMar w:top="1440" w:right="1440" w:bottom="1440" w:left="1440" w:header="720" w:footer="720" w:gutter="0"/>
          <w:cols w:space="720"/>
        </w:sectPr>
      </w:pPr>
    </w:p>
    <w:p w14:paraId="7D2B780D" w14:textId="77777777" w:rsidR="00D77A76" w:rsidRDefault="00000000">
      <w:pPr>
        <w:rPr>
          <w:b/>
        </w:rPr>
      </w:pPr>
      <w:r>
        <w:rPr>
          <w:b/>
        </w:rPr>
        <w:lastRenderedPageBreak/>
        <w:t>Supplementary Figure S2. Directed Acyclic Graph for the Impact of Infection Status during each Variant Period on Development of Long-Term Symptoms</w:t>
      </w:r>
    </w:p>
    <w:p w14:paraId="07A99259" w14:textId="1457FFA3" w:rsidR="00D77A76" w:rsidRDefault="0027390D" w:rsidP="0027390D">
      <w:pPr>
        <w:jc w:val="center"/>
      </w:pPr>
      <w:r>
        <w:rPr>
          <w:noProof/>
        </w:rPr>
        <w:drawing>
          <wp:inline distT="0" distB="0" distL="0" distR="0" wp14:anchorId="5159D078" wp14:editId="32D2B7A5">
            <wp:extent cx="7957185" cy="5065219"/>
            <wp:effectExtent l="0" t="0" r="5715" b="2540"/>
            <wp:docPr id="640540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8973" cy="5066357"/>
                    </a:xfrm>
                    <a:prstGeom prst="rect">
                      <a:avLst/>
                    </a:prstGeom>
                    <a:noFill/>
                    <a:ln>
                      <a:noFill/>
                    </a:ln>
                  </pic:spPr>
                </pic:pic>
              </a:graphicData>
            </a:graphic>
          </wp:inline>
        </w:drawing>
      </w:r>
    </w:p>
    <w:p w14:paraId="0F600B1F" w14:textId="77777777" w:rsidR="00D77A76" w:rsidRDefault="00D77A76">
      <w:pPr>
        <w:rPr>
          <w:b/>
        </w:rPr>
      </w:pPr>
    </w:p>
    <w:p w14:paraId="72974CDF" w14:textId="77777777" w:rsidR="00D77A76" w:rsidRDefault="00D77A76">
      <w:pPr>
        <w:rPr>
          <w:b/>
        </w:rPr>
      </w:pPr>
    </w:p>
    <w:p w14:paraId="316CF216" w14:textId="77777777" w:rsidR="00D77A76" w:rsidRDefault="00000000">
      <w:pPr>
        <w:rPr>
          <w:b/>
        </w:rPr>
      </w:pPr>
      <w:r>
        <w:rPr>
          <w:b/>
        </w:rPr>
        <w:t>Supplementary Table S2. Development of New-Onset Long-Term Symptoms by Infection Status and Variant Period</w:t>
      </w:r>
    </w:p>
    <w:p w14:paraId="3B8FFF33" w14:textId="77777777" w:rsidR="00D77A76" w:rsidRDefault="00D77A76">
      <w:pPr>
        <w:rPr>
          <w:b/>
        </w:rPr>
      </w:pPr>
    </w:p>
    <w:tbl>
      <w:tblPr>
        <w:tblStyle w:val="a3"/>
        <w:tblW w:w="13620" w:type="dxa"/>
        <w:tblBorders>
          <w:top w:val="nil"/>
          <w:left w:val="nil"/>
          <w:bottom w:val="nil"/>
          <w:right w:val="nil"/>
          <w:insideH w:val="nil"/>
          <w:insideV w:val="nil"/>
        </w:tblBorders>
        <w:tblLayout w:type="fixed"/>
        <w:tblLook w:val="0600" w:firstRow="0" w:lastRow="0" w:firstColumn="0" w:lastColumn="0" w:noHBand="1" w:noVBand="1"/>
      </w:tblPr>
      <w:tblGrid>
        <w:gridCol w:w="1275"/>
        <w:gridCol w:w="1275"/>
        <w:gridCol w:w="1275"/>
        <w:gridCol w:w="1230"/>
        <w:gridCol w:w="1515"/>
        <w:gridCol w:w="1515"/>
        <w:gridCol w:w="1245"/>
        <w:gridCol w:w="1530"/>
        <w:gridCol w:w="1530"/>
        <w:gridCol w:w="1230"/>
      </w:tblGrid>
      <w:tr w:rsidR="00D77A76" w14:paraId="1C7E2A44" w14:textId="77777777">
        <w:trPr>
          <w:trHeight w:val="435"/>
        </w:trPr>
        <w:tc>
          <w:tcPr>
            <w:tcW w:w="127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tcPr>
          <w:p w14:paraId="1E3E0CC3" w14:textId="77777777" w:rsidR="00D77A76" w:rsidRPr="00F64F91" w:rsidRDefault="00000000">
            <w:pPr>
              <w:spacing w:before="40" w:after="40"/>
              <w:ind w:left="100" w:right="100"/>
              <w:rPr>
                <w:sz w:val="20"/>
                <w:szCs w:val="20"/>
              </w:rPr>
            </w:pPr>
            <w:r w:rsidRPr="00F64F91">
              <w:rPr>
                <w:sz w:val="20"/>
                <w:szCs w:val="20"/>
              </w:rPr>
              <w:t xml:space="preserve"> </w:t>
            </w:r>
          </w:p>
        </w:tc>
        <w:tc>
          <w:tcPr>
            <w:tcW w:w="3780" w:type="dxa"/>
            <w:gridSpan w:val="3"/>
            <w:tcBorders>
              <w:top w:val="single" w:sz="6" w:space="0" w:color="000000"/>
              <w:left w:val="nil"/>
              <w:bottom w:val="single" w:sz="6" w:space="0" w:color="000000"/>
              <w:right w:val="nil"/>
            </w:tcBorders>
            <w:shd w:val="clear" w:color="auto" w:fill="FFFFFF"/>
            <w:tcMar>
              <w:top w:w="0" w:type="dxa"/>
              <w:left w:w="0" w:type="dxa"/>
              <w:bottom w:w="0" w:type="dxa"/>
              <w:right w:w="0" w:type="dxa"/>
            </w:tcMar>
          </w:tcPr>
          <w:p w14:paraId="4D7C6862" w14:textId="77777777" w:rsidR="00D77A76" w:rsidRPr="00F64F91" w:rsidRDefault="00D77A76">
            <w:pPr>
              <w:spacing w:before="40" w:after="40"/>
              <w:ind w:left="100" w:right="100"/>
              <w:jc w:val="center"/>
              <w:rPr>
                <w:b/>
                <w:sz w:val="20"/>
                <w:szCs w:val="20"/>
              </w:rPr>
            </w:pPr>
          </w:p>
          <w:p w14:paraId="38BD65BF" w14:textId="77777777" w:rsidR="00D77A76" w:rsidRPr="00F64F91" w:rsidRDefault="00000000">
            <w:pPr>
              <w:spacing w:before="40" w:after="40"/>
              <w:ind w:left="100" w:right="100"/>
              <w:jc w:val="center"/>
              <w:rPr>
                <w:b/>
                <w:sz w:val="20"/>
                <w:szCs w:val="20"/>
              </w:rPr>
            </w:pPr>
            <w:r w:rsidRPr="00F64F91">
              <w:rPr>
                <w:b/>
                <w:sz w:val="20"/>
                <w:szCs w:val="20"/>
              </w:rPr>
              <w:t>SARS-CoV-2</w:t>
            </w:r>
          </w:p>
        </w:tc>
        <w:tc>
          <w:tcPr>
            <w:tcW w:w="4275" w:type="dxa"/>
            <w:gridSpan w:val="3"/>
            <w:tcBorders>
              <w:top w:val="single" w:sz="6" w:space="0" w:color="000000"/>
              <w:left w:val="nil"/>
              <w:bottom w:val="single" w:sz="6" w:space="0" w:color="000000"/>
              <w:right w:val="nil"/>
            </w:tcBorders>
            <w:shd w:val="clear" w:color="auto" w:fill="FFFFFF"/>
            <w:tcMar>
              <w:top w:w="0" w:type="dxa"/>
              <w:left w:w="0" w:type="dxa"/>
              <w:bottom w:w="0" w:type="dxa"/>
              <w:right w:w="0" w:type="dxa"/>
            </w:tcMar>
          </w:tcPr>
          <w:p w14:paraId="54F52AAD" w14:textId="77777777" w:rsidR="00D77A76" w:rsidRPr="00F64F91" w:rsidRDefault="00D77A76">
            <w:pPr>
              <w:spacing w:before="40" w:after="40"/>
              <w:ind w:left="100" w:right="100"/>
              <w:jc w:val="center"/>
              <w:rPr>
                <w:b/>
                <w:sz w:val="20"/>
                <w:szCs w:val="20"/>
              </w:rPr>
            </w:pPr>
          </w:p>
          <w:p w14:paraId="5C7303F7" w14:textId="77777777" w:rsidR="00D77A76" w:rsidRPr="00F64F91" w:rsidRDefault="00000000">
            <w:pPr>
              <w:spacing w:before="40" w:after="40"/>
              <w:ind w:left="100" w:right="100"/>
              <w:jc w:val="center"/>
              <w:rPr>
                <w:b/>
                <w:sz w:val="20"/>
                <w:szCs w:val="20"/>
              </w:rPr>
            </w:pPr>
            <w:r w:rsidRPr="00F64F91">
              <w:rPr>
                <w:b/>
                <w:sz w:val="20"/>
                <w:szCs w:val="20"/>
              </w:rPr>
              <w:t>Other ARI</w:t>
            </w:r>
          </w:p>
        </w:tc>
        <w:tc>
          <w:tcPr>
            <w:tcW w:w="4290" w:type="dxa"/>
            <w:gridSpan w:val="3"/>
            <w:tcBorders>
              <w:top w:val="single" w:sz="6" w:space="0" w:color="000000"/>
              <w:left w:val="nil"/>
              <w:bottom w:val="single" w:sz="6" w:space="0" w:color="000000"/>
              <w:right w:val="nil"/>
            </w:tcBorders>
            <w:shd w:val="clear" w:color="auto" w:fill="FFFFFF"/>
            <w:tcMar>
              <w:top w:w="0" w:type="dxa"/>
              <w:left w:w="0" w:type="dxa"/>
              <w:bottom w:w="0" w:type="dxa"/>
              <w:right w:w="0" w:type="dxa"/>
            </w:tcMar>
          </w:tcPr>
          <w:p w14:paraId="436C01C2" w14:textId="77777777" w:rsidR="00D77A76" w:rsidRPr="00F64F91" w:rsidRDefault="00D77A76">
            <w:pPr>
              <w:spacing w:before="40" w:after="40"/>
              <w:ind w:left="100" w:right="100"/>
              <w:jc w:val="center"/>
              <w:rPr>
                <w:b/>
                <w:sz w:val="20"/>
                <w:szCs w:val="20"/>
              </w:rPr>
            </w:pPr>
          </w:p>
          <w:p w14:paraId="218C3FF4" w14:textId="77777777" w:rsidR="00D77A76" w:rsidRPr="00F64F91" w:rsidRDefault="00000000">
            <w:pPr>
              <w:spacing w:before="40" w:after="40"/>
              <w:ind w:left="100" w:right="100"/>
              <w:jc w:val="center"/>
              <w:rPr>
                <w:b/>
                <w:sz w:val="20"/>
                <w:szCs w:val="20"/>
              </w:rPr>
            </w:pPr>
            <w:r w:rsidRPr="00F64F91">
              <w:rPr>
                <w:b/>
                <w:sz w:val="20"/>
                <w:szCs w:val="20"/>
              </w:rPr>
              <w:t>No Infection</w:t>
            </w:r>
          </w:p>
        </w:tc>
      </w:tr>
      <w:tr w:rsidR="00D77A76" w14:paraId="02028363" w14:textId="77777777">
        <w:trPr>
          <w:trHeight w:val="800"/>
        </w:trPr>
        <w:tc>
          <w:tcPr>
            <w:tcW w:w="1275" w:type="dxa"/>
            <w:tcBorders>
              <w:top w:val="nil"/>
              <w:left w:val="nil"/>
              <w:bottom w:val="single" w:sz="6" w:space="0" w:color="000000"/>
              <w:right w:val="nil"/>
            </w:tcBorders>
            <w:shd w:val="clear" w:color="auto" w:fill="FFFFFF"/>
            <w:tcMar>
              <w:top w:w="0" w:type="dxa"/>
              <w:left w:w="0" w:type="dxa"/>
              <w:bottom w:w="0" w:type="dxa"/>
              <w:right w:w="0" w:type="dxa"/>
            </w:tcMar>
          </w:tcPr>
          <w:p w14:paraId="2F283624" w14:textId="77777777" w:rsidR="00D77A76" w:rsidRPr="00F64F91" w:rsidRDefault="00D77A76">
            <w:pPr>
              <w:spacing w:before="40" w:after="40"/>
              <w:ind w:left="100" w:right="100"/>
              <w:rPr>
                <w:b/>
                <w:sz w:val="20"/>
                <w:szCs w:val="20"/>
              </w:rPr>
            </w:pPr>
          </w:p>
        </w:tc>
        <w:tc>
          <w:tcPr>
            <w:tcW w:w="1275" w:type="dxa"/>
            <w:tcBorders>
              <w:top w:val="nil"/>
              <w:left w:val="nil"/>
              <w:bottom w:val="single" w:sz="6" w:space="0" w:color="000000"/>
              <w:right w:val="nil"/>
            </w:tcBorders>
            <w:shd w:val="clear" w:color="auto" w:fill="FFFFFF"/>
            <w:tcMar>
              <w:top w:w="0" w:type="dxa"/>
              <w:left w:w="0" w:type="dxa"/>
              <w:bottom w:w="0" w:type="dxa"/>
              <w:right w:w="0" w:type="dxa"/>
            </w:tcMar>
          </w:tcPr>
          <w:p w14:paraId="34B1C8D6" w14:textId="77777777" w:rsidR="00D77A76" w:rsidRPr="00F64F91" w:rsidRDefault="00000000">
            <w:pPr>
              <w:spacing w:line="240" w:lineRule="auto"/>
              <w:jc w:val="center"/>
              <w:rPr>
                <w:b/>
                <w:sz w:val="20"/>
                <w:szCs w:val="20"/>
              </w:rPr>
            </w:pPr>
            <w:r w:rsidRPr="00F64F91">
              <w:rPr>
                <w:b/>
                <w:sz w:val="20"/>
                <w:szCs w:val="20"/>
              </w:rPr>
              <w:t>Total</w:t>
            </w:r>
          </w:p>
        </w:tc>
        <w:tc>
          <w:tcPr>
            <w:tcW w:w="1275" w:type="dxa"/>
            <w:tcBorders>
              <w:top w:val="nil"/>
              <w:left w:val="nil"/>
              <w:bottom w:val="single" w:sz="6" w:space="0" w:color="000000"/>
              <w:right w:val="nil"/>
            </w:tcBorders>
            <w:shd w:val="clear" w:color="auto" w:fill="FFFFFF"/>
            <w:tcMar>
              <w:top w:w="0" w:type="dxa"/>
              <w:left w:w="0" w:type="dxa"/>
              <w:bottom w:w="0" w:type="dxa"/>
              <w:right w:w="0" w:type="dxa"/>
            </w:tcMar>
          </w:tcPr>
          <w:p w14:paraId="237297B4" w14:textId="77777777" w:rsidR="00D77A76" w:rsidRPr="00F64F91" w:rsidRDefault="00000000">
            <w:pPr>
              <w:spacing w:line="240" w:lineRule="auto"/>
              <w:jc w:val="center"/>
              <w:rPr>
                <w:b/>
                <w:sz w:val="20"/>
                <w:szCs w:val="20"/>
              </w:rPr>
            </w:pPr>
            <w:r w:rsidRPr="00F64F91">
              <w:rPr>
                <w:b/>
                <w:sz w:val="20"/>
                <w:szCs w:val="20"/>
              </w:rPr>
              <w:t>No Long-Term Symptoms</w:t>
            </w:r>
          </w:p>
        </w:tc>
        <w:tc>
          <w:tcPr>
            <w:tcW w:w="1230" w:type="dxa"/>
            <w:tcBorders>
              <w:top w:val="nil"/>
              <w:left w:val="nil"/>
              <w:bottom w:val="single" w:sz="6" w:space="0" w:color="000000"/>
              <w:right w:val="nil"/>
            </w:tcBorders>
            <w:shd w:val="clear" w:color="auto" w:fill="FFFFFF"/>
            <w:tcMar>
              <w:top w:w="0" w:type="dxa"/>
              <w:left w:w="0" w:type="dxa"/>
              <w:bottom w:w="0" w:type="dxa"/>
              <w:right w:w="0" w:type="dxa"/>
            </w:tcMar>
          </w:tcPr>
          <w:p w14:paraId="7E32A5AF" w14:textId="77777777" w:rsidR="00D77A76" w:rsidRPr="00F64F91" w:rsidRDefault="00000000">
            <w:pPr>
              <w:spacing w:line="240" w:lineRule="auto"/>
              <w:jc w:val="center"/>
              <w:rPr>
                <w:b/>
                <w:sz w:val="20"/>
                <w:szCs w:val="20"/>
              </w:rPr>
            </w:pPr>
            <w:r w:rsidRPr="00F64F91">
              <w:rPr>
                <w:b/>
                <w:sz w:val="20"/>
                <w:szCs w:val="20"/>
              </w:rPr>
              <w:t>Long-Term Symptoms</w:t>
            </w:r>
          </w:p>
        </w:tc>
        <w:tc>
          <w:tcPr>
            <w:tcW w:w="1515" w:type="dxa"/>
            <w:tcBorders>
              <w:top w:val="nil"/>
              <w:left w:val="nil"/>
              <w:bottom w:val="single" w:sz="6" w:space="0" w:color="000000"/>
              <w:right w:val="nil"/>
            </w:tcBorders>
            <w:shd w:val="clear" w:color="auto" w:fill="FFFFFF"/>
            <w:tcMar>
              <w:top w:w="0" w:type="dxa"/>
              <w:left w:w="0" w:type="dxa"/>
              <w:bottom w:w="0" w:type="dxa"/>
              <w:right w:w="0" w:type="dxa"/>
            </w:tcMar>
          </w:tcPr>
          <w:p w14:paraId="780B2DD8" w14:textId="77777777" w:rsidR="00D77A76" w:rsidRPr="00F64F91" w:rsidRDefault="00000000">
            <w:pPr>
              <w:spacing w:line="240" w:lineRule="auto"/>
              <w:jc w:val="center"/>
              <w:rPr>
                <w:b/>
                <w:sz w:val="20"/>
                <w:szCs w:val="20"/>
              </w:rPr>
            </w:pPr>
            <w:r w:rsidRPr="00F64F91">
              <w:rPr>
                <w:b/>
                <w:sz w:val="20"/>
                <w:szCs w:val="20"/>
              </w:rPr>
              <w:t>Total</w:t>
            </w:r>
          </w:p>
        </w:tc>
        <w:tc>
          <w:tcPr>
            <w:tcW w:w="1515" w:type="dxa"/>
            <w:tcBorders>
              <w:top w:val="nil"/>
              <w:left w:val="nil"/>
              <w:bottom w:val="single" w:sz="6" w:space="0" w:color="000000"/>
              <w:right w:val="nil"/>
            </w:tcBorders>
            <w:shd w:val="clear" w:color="auto" w:fill="FFFFFF"/>
            <w:tcMar>
              <w:top w:w="0" w:type="dxa"/>
              <w:left w:w="0" w:type="dxa"/>
              <w:bottom w:w="0" w:type="dxa"/>
              <w:right w:w="0" w:type="dxa"/>
            </w:tcMar>
          </w:tcPr>
          <w:p w14:paraId="5FEAC0A9" w14:textId="77777777" w:rsidR="00D77A76" w:rsidRPr="00F64F91" w:rsidRDefault="00000000">
            <w:pPr>
              <w:spacing w:line="240" w:lineRule="auto"/>
              <w:jc w:val="center"/>
              <w:rPr>
                <w:b/>
                <w:sz w:val="20"/>
                <w:szCs w:val="20"/>
              </w:rPr>
            </w:pPr>
            <w:r w:rsidRPr="00F64F91">
              <w:rPr>
                <w:b/>
                <w:sz w:val="20"/>
                <w:szCs w:val="20"/>
              </w:rPr>
              <w:t>No Long-Term Symptoms</w:t>
            </w:r>
          </w:p>
        </w:tc>
        <w:tc>
          <w:tcPr>
            <w:tcW w:w="1245" w:type="dxa"/>
            <w:tcBorders>
              <w:top w:val="nil"/>
              <w:left w:val="nil"/>
              <w:bottom w:val="single" w:sz="6" w:space="0" w:color="000000"/>
              <w:right w:val="nil"/>
            </w:tcBorders>
            <w:shd w:val="clear" w:color="auto" w:fill="FFFFFF"/>
            <w:tcMar>
              <w:top w:w="0" w:type="dxa"/>
              <w:left w:w="0" w:type="dxa"/>
              <w:bottom w:w="0" w:type="dxa"/>
              <w:right w:w="0" w:type="dxa"/>
            </w:tcMar>
          </w:tcPr>
          <w:p w14:paraId="4BEE03B6" w14:textId="77777777" w:rsidR="00D77A76" w:rsidRPr="00F64F91" w:rsidRDefault="00000000">
            <w:pPr>
              <w:spacing w:line="240" w:lineRule="auto"/>
              <w:jc w:val="center"/>
              <w:rPr>
                <w:b/>
                <w:sz w:val="20"/>
                <w:szCs w:val="20"/>
              </w:rPr>
            </w:pPr>
            <w:r w:rsidRPr="00F64F91">
              <w:rPr>
                <w:b/>
                <w:sz w:val="20"/>
                <w:szCs w:val="20"/>
              </w:rPr>
              <w:t>Long-Term Symptoms</w:t>
            </w:r>
          </w:p>
        </w:tc>
        <w:tc>
          <w:tcPr>
            <w:tcW w:w="1530" w:type="dxa"/>
            <w:tcBorders>
              <w:top w:val="nil"/>
              <w:left w:val="nil"/>
              <w:bottom w:val="single" w:sz="6" w:space="0" w:color="000000"/>
              <w:right w:val="nil"/>
            </w:tcBorders>
            <w:shd w:val="clear" w:color="auto" w:fill="FFFFFF"/>
            <w:tcMar>
              <w:top w:w="0" w:type="dxa"/>
              <w:left w:w="0" w:type="dxa"/>
              <w:bottom w:w="0" w:type="dxa"/>
              <w:right w:w="0" w:type="dxa"/>
            </w:tcMar>
          </w:tcPr>
          <w:p w14:paraId="051141AD" w14:textId="77777777" w:rsidR="00D77A76" w:rsidRPr="00F64F91" w:rsidRDefault="00000000">
            <w:pPr>
              <w:spacing w:line="240" w:lineRule="auto"/>
              <w:jc w:val="center"/>
              <w:rPr>
                <w:b/>
                <w:sz w:val="20"/>
                <w:szCs w:val="20"/>
              </w:rPr>
            </w:pPr>
            <w:r w:rsidRPr="00F64F91">
              <w:rPr>
                <w:b/>
                <w:sz w:val="20"/>
                <w:szCs w:val="20"/>
              </w:rPr>
              <w:t>Total</w:t>
            </w:r>
          </w:p>
        </w:tc>
        <w:tc>
          <w:tcPr>
            <w:tcW w:w="1530" w:type="dxa"/>
            <w:tcBorders>
              <w:top w:val="nil"/>
              <w:left w:val="nil"/>
              <w:bottom w:val="single" w:sz="6" w:space="0" w:color="000000"/>
              <w:right w:val="nil"/>
            </w:tcBorders>
            <w:shd w:val="clear" w:color="auto" w:fill="FFFFFF"/>
            <w:tcMar>
              <w:top w:w="0" w:type="dxa"/>
              <w:left w:w="0" w:type="dxa"/>
              <w:bottom w:w="0" w:type="dxa"/>
              <w:right w:w="0" w:type="dxa"/>
            </w:tcMar>
          </w:tcPr>
          <w:p w14:paraId="02113430" w14:textId="77777777" w:rsidR="00D77A76" w:rsidRPr="00F64F91" w:rsidRDefault="00000000">
            <w:pPr>
              <w:spacing w:line="240" w:lineRule="auto"/>
              <w:jc w:val="center"/>
              <w:rPr>
                <w:b/>
                <w:sz w:val="20"/>
                <w:szCs w:val="20"/>
              </w:rPr>
            </w:pPr>
            <w:r w:rsidRPr="00F64F91">
              <w:rPr>
                <w:b/>
                <w:sz w:val="20"/>
                <w:szCs w:val="20"/>
              </w:rPr>
              <w:t>No Long-Term Symptoms</w:t>
            </w:r>
          </w:p>
        </w:tc>
        <w:tc>
          <w:tcPr>
            <w:tcW w:w="1230" w:type="dxa"/>
            <w:tcBorders>
              <w:top w:val="nil"/>
              <w:left w:val="nil"/>
              <w:bottom w:val="single" w:sz="6" w:space="0" w:color="000000"/>
              <w:right w:val="nil"/>
            </w:tcBorders>
            <w:shd w:val="clear" w:color="auto" w:fill="FFFFFF"/>
            <w:tcMar>
              <w:top w:w="0" w:type="dxa"/>
              <w:left w:w="0" w:type="dxa"/>
              <w:bottom w:w="0" w:type="dxa"/>
              <w:right w:w="0" w:type="dxa"/>
            </w:tcMar>
          </w:tcPr>
          <w:p w14:paraId="690BBA9A" w14:textId="77777777" w:rsidR="00D77A76" w:rsidRPr="00F64F91" w:rsidRDefault="00000000">
            <w:pPr>
              <w:spacing w:line="240" w:lineRule="auto"/>
              <w:jc w:val="center"/>
              <w:rPr>
                <w:b/>
                <w:sz w:val="20"/>
                <w:szCs w:val="20"/>
              </w:rPr>
            </w:pPr>
            <w:r w:rsidRPr="00F64F91">
              <w:rPr>
                <w:b/>
                <w:sz w:val="20"/>
                <w:szCs w:val="20"/>
              </w:rPr>
              <w:t>Long-Term Symptoms</w:t>
            </w:r>
          </w:p>
        </w:tc>
      </w:tr>
      <w:tr w:rsidR="00D77A76" w14:paraId="3C43AA42" w14:textId="77777777">
        <w:trPr>
          <w:trHeight w:val="800"/>
        </w:trPr>
        <w:tc>
          <w:tcPr>
            <w:tcW w:w="1275" w:type="dxa"/>
            <w:tcBorders>
              <w:top w:val="nil"/>
              <w:left w:val="nil"/>
              <w:bottom w:val="nil"/>
              <w:right w:val="nil"/>
            </w:tcBorders>
            <w:shd w:val="clear" w:color="auto" w:fill="FFFFFF"/>
            <w:tcMar>
              <w:top w:w="0" w:type="dxa"/>
              <w:left w:w="0" w:type="dxa"/>
              <w:bottom w:w="0" w:type="dxa"/>
              <w:right w:w="0" w:type="dxa"/>
            </w:tcMar>
          </w:tcPr>
          <w:p w14:paraId="3577247D" w14:textId="77777777" w:rsidR="00D77A76" w:rsidRPr="00F64F91" w:rsidRDefault="00000000">
            <w:pPr>
              <w:spacing w:before="100" w:after="100"/>
              <w:ind w:left="300" w:right="100"/>
              <w:rPr>
                <w:sz w:val="20"/>
                <w:szCs w:val="20"/>
              </w:rPr>
            </w:pPr>
            <w:r w:rsidRPr="00F64F91">
              <w:rPr>
                <w:sz w:val="20"/>
                <w:szCs w:val="20"/>
              </w:rPr>
              <w:t>Wild Type</w:t>
            </w:r>
          </w:p>
        </w:tc>
        <w:tc>
          <w:tcPr>
            <w:tcW w:w="1275" w:type="dxa"/>
            <w:tcBorders>
              <w:top w:val="nil"/>
              <w:left w:val="nil"/>
              <w:bottom w:val="nil"/>
              <w:right w:val="nil"/>
            </w:tcBorders>
            <w:shd w:val="clear" w:color="auto" w:fill="FFFFFF"/>
            <w:tcMar>
              <w:top w:w="0" w:type="dxa"/>
              <w:left w:w="0" w:type="dxa"/>
              <w:bottom w:w="0" w:type="dxa"/>
              <w:right w:w="0" w:type="dxa"/>
            </w:tcMar>
          </w:tcPr>
          <w:p w14:paraId="36BF99BE" w14:textId="77777777" w:rsidR="00D77A76" w:rsidRPr="00F64F91" w:rsidRDefault="00000000">
            <w:pPr>
              <w:spacing w:before="100" w:after="100"/>
              <w:ind w:left="100" w:right="100"/>
              <w:jc w:val="center"/>
              <w:rPr>
                <w:sz w:val="20"/>
                <w:szCs w:val="20"/>
              </w:rPr>
            </w:pPr>
            <w:r w:rsidRPr="00F64F91">
              <w:rPr>
                <w:sz w:val="20"/>
                <w:szCs w:val="20"/>
              </w:rPr>
              <w:t>119</w:t>
            </w:r>
          </w:p>
        </w:tc>
        <w:tc>
          <w:tcPr>
            <w:tcW w:w="1275" w:type="dxa"/>
            <w:tcBorders>
              <w:top w:val="nil"/>
              <w:left w:val="nil"/>
              <w:bottom w:val="nil"/>
              <w:right w:val="nil"/>
            </w:tcBorders>
            <w:shd w:val="clear" w:color="auto" w:fill="FFFFFF"/>
            <w:tcMar>
              <w:top w:w="0" w:type="dxa"/>
              <w:left w:w="0" w:type="dxa"/>
              <w:bottom w:w="0" w:type="dxa"/>
              <w:right w:w="0" w:type="dxa"/>
            </w:tcMar>
          </w:tcPr>
          <w:p w14:paraId="6F79DFB1" w14:textId="77777777" w:rsidR="00D77A76" w:rsidRPr="00F64F91" w:rsidRDefault="00000000">
            <w:pPr>
              <w:spacing w:before="100" w:after="100"/>
              <w:ind w:left="100" w:right="100"/>
              <w:jc w:val="center"/>
              <w:rPr>
                <w:sz w:val="20"/>
                <w:szCs w:val="20"/>
              </w:rPr>
            </w:pPr>
            <w:r w:rsidRPr="00F64F91">
              <w:rPr>
                <w:sz w:val="20"/>
                <w:szCs w:val="20"/>
              </w:rPr>
              <w:t>46 (39%)</w:t>
            </w:r>
          </w:p>
        </w:tc>
        <w:tc>
          <w:tcPr>
            <w:tcW w:w="1230" w:type="dxa"/>
            <w:tcBorders>
              <w:top w:val="nil"/>
              <w:left w:val="nil"/>
              <w:bottom w:val="nil"/>
              <w:right w:val="nil"/>
            </w:tcBorders>
            <w:shd w:val="clear" w:color="auto" w:fill="FFFFFF"/>
            <w:tcMar>
              <w:top w:w="0" w:type="dxa"/>
              <w:left w:w="0" w:type="dxa"/>
              <w:bottom w:w="0" w:type="dxa"/>
              <w:right w:w="0" w:type="dxa"/>
            </w:tcMar>
          </w:tcPr>
          <w:p w14:paraId="3187890E" w14:textId="77777777" w:rsidR="00D77A76" w:rsidRPr="00F64F91" w:rsidRDefault="00000000">
            <w:pPr>
              <w:spacing w:before="100" w:after="100"/>
              <w:ind w:left="100" w:right="100"/>
              <w:jc w:val="center"/>
              <w:rPr>
                <w:sz w:val="20"/>
                <w:szCs w:val="20"/>
              </w:rPr>
            </w:pPr>
            <w:r w:rsidRPr="00F64F91">
              <w:rPr>
                <w:sz w:val="20"/>
                <w:szCs w:val="20"/>
              </w:rPr>
              <w:t>73 (61%)</w:t>
            </w:r>
          </w:p>
        </w:tc>
        <w:tc>
          <w:tcPr>
            <w:tcW w:w="1515" w:type="dxa"/>
            <w:tcBorders>
              <w:top w:val="nil"/>
              <w:left w:val="nil"/>
              <w:bottom w:val="nil"/>
              <w:right w:val="nil"/>
            </w:tcBorders>
            <w:shd w:val="clear" w:color="auto" w:fill="FFFFFF"/>
            <w:tcMar>
              <w:top w:w="0" w:type="dxa"/>
              <w:left w:w="0" w:type="dxa"/>
              <w:bottom w:w="0" w:type="dxa"/>
              <w:right w:w="0" w:type="dxa"/>
            </w:tcMar>
          </w:tcPr>
          <w:p w14:paraId="37A1AC63" w14:textId="77777777" w:rsidR="00D77A76" w:rsidRPr="00F64F91" w:rsidRDefault="00000000">
            <w:pPr>
              <w:spacing w:before="100" w:after="100"/>
              <w:ind w:left="100" w:right="100"/>
              <w:jc w:val="center"/>
              <w:rPr>
                <w:sz w:val="20"/>
                <w:szCs w:val="20"/>
              </w:rPr>
            </w:pPr>
            <w:r w:rsidRPr="00F64F91">
              <w:rPr>
                <w:sz w:val="20"/>
                <w:szCs w:val="20"/>
              </w:rPr>
              <w:t>186</w:t>
            </w:r>
          </w:p>
        </w:tc>
        <w:tc>
          <w:tcPr>
            <w:tcW w:w="1515" w:type="dxa"/>
            <w:tcBorders>
              <w:top w:val="nil"/>
              <w:left w:val="nil"/>
              <w:bottom w:val="nil"/>
              <w:right w:val="nil"/>
            </w:tcBorders>
            <w:shd w:val="clear" w:color="auto" w:fill="FFFFFF"/>
            <w:tcMar>
              <w:top w:w="0" w:type="dxa"/>
              <w:left w:w="0" w:type="dxa"/>
              <w:bottom w:w="0" w:type="dxa"/>
              <w:right w:w="0" w:type="dxa"/>
            </w:tcMar>
          </w:tcPr>
          <w:p w14:paraId="505F24AF" w14:textId="77777777" w:rsidR="00D77A76" w:rsidRPr="00F64F91" w:rsidRDefault="00000000">
            <w:pPr>
              <w:spacing w:before="100" w:after="100"/>
              <w:ind w:left="100" w:right="100"/>
              <w:jc w:val="center"/>
              <w:rPr>
                <w:sz w:val="20"/>
                <w:szCs w:val="20"/>
              </w:rPr>
            </w:pPr>
            <w:r w:rsidRPr="00F64F91">
              <w:rPr>
                <w:sz w:val="20"/>
                <w:szCs w:val="20"/>
              </w:rPr>
              <w:t>145 (78%)</w:t>
            </w:r>
          </w:p>
        </w:tc>
        <w:tc>
          <w:tcPr>
            <w:tcW w:w="1245" w:type="dxa"/>
            <w:tcBorders>
              <w:top w:val="nil"/>
              <w:left w:val="nil"/>
              <w:bottom w:val="nil"/>
              <w:right w:val="nil"/>
            </w:tcBorders>
            <w:shd w:val="clear" w:color="auto" w:fill="FFFFFF"/>
            <w:tcMar>
              <w:top w:w="0" w:type="dxa"/>
              <w:left w:w="0" w:type="dxa"/>
              <w:bottom w:w="0" w:type="dxa"/>
              <w:right w:w="0" w:type="dxa"/>
            </w:tcMar>
          </w:tcPr>
          <w:p w14:paraId="6D0F3BCB" w14:textId="77777777" w:rsidR="00D77A76" w:rsidRPr="00F64F91" w:rsidRDefault="00000000">
            <w:pPr>
              <w:spacing w:before="100" w:after="100"/>
              <w:ind w:left="100" w:right="100"/>
              <w:jc w:val="center"/>
              <w:rPr>
                <w:sz w:val="20"/>
                <w:szCs w:val="20"/>
              </w:rPr>
            </w:pPr>
            <w:r w:rsidRPr="00F64F91">
              <w:rPr>
                <w:sz w:val="20"/>
                <w:szCs w:val="20"/>
              </w:rPr>
              <w:t>41 (22%)</w:t>
            </w:r>
          </w:p>
        </w:tc>
        <w:tc>
          <w:tcPr>
            <w:tcW w:w="1530" w:type="dxa"/>
            <w:tcBorders>
              <w:top w:val="nil"/>
              <w:left w:val="nil"/>
              <w:bottom w:val="nil"/>
              <w:right w:val="nil"/>
            </w:tcBorders>
            <w:shd w:val="clear" w:color="auto" w:fill="FFFFFF"/>
            <w:tcMar>
              <w:top w:w="0" w:type="dxa"/>
              <w:left w:w="0" w:type="dxa"/>
              <w:bottom w:w="0" w:type="dxa"/>
              <w:right w:w="0" w:type="dxa"/>
            </w:tcMar>
          </w:tcPr>
          <w:p w14:paraId="7C75BC00" w14:textId="77777777" w:rsidR="00D77A76" w:rsidRPr="00F64F91" w:rsidRDefault="00000000">
            <w:pPr>
              <w:spacing w:before="100" w:after="100"/>
              <w:ind w:left="100" w:right="100"/>
              <w:jc w:val="center"/>
              <w:rPr>
                <w:sz w:val="20"/>
                <w:szCs w:val="20"/>
              </w:rPr>
            </w:pPr>
            <w:r w:rsidRPr="00F64F91">
              <w:rPr>
                <w:sz w:val="20"/>
                <w:szCs w:val="20"/>
              </w:rPr>
              <w:t>3,818</w:t>
            </w:r>
          </w:p>
        </w:tc>
        <w:tc>
          <w:tcPr>
            <w:tcW w:w="1530" w:type="dxa"/>
            <w:tcBorders>
              <w:top w:val="nil"/>
              <w:left w:val="nil"/>
              <w:bottom w:val="nil"/>
              <w:right w:val="nil"/>
            </w:tcBorders>
            <w:shd w:val="clear" w:color="auto" w:fill="FFFFFF"/>
            <w:tcMar>
              <w:top w:w="0" w:type="dxa"/>
              <w:left w:w="0" w:type="dxa"/>
              <w:bottom w:w="0" w:type="dxa"/>
              <w:right w:w="0" w:type="dxa"/>
            </w:tcMar>
          </w:tcPr>
          <w:p w14:paraId="4BBA4383" w14:textId="77777777" w:rsidR="00D77A76" w:rsidRPr="00F64F91" w:rsidRDefault="00000000">
            <w:pPr>
              <w:spacing w:before="100" w:after="100"/>
              <w:ind w:left="100" w:right="100"/>
              <w:jc w:val="center"/>
              <w:rPr>
                <w:sz w:val="20"/>
                <w:szCs w:val="20"/>
              </w:rPr>
            </w:pPr>
            <w:r w:rsidRPr="00F64F91">
              <w:rPr>
                <w:sz w:val="20"/>
                <w:szCs w:val="20"/>
              </w:rPr>
              <w:t>3,741 (98%)</w:t>
            </w:r>
          </w:p>
        </w:tc>
        <w:tc>
          <w:tcPr>
            <w:tcW w:w="1230" w:type="dxa"/>
            <w:tcBorders>
              <w:top w:val="nil"/>
              <w:left w:val="nil"/>
              <w:bottom w:val="nil"/>
              <w:right w:val="nil"/>
            </w:tcBorders>
            <w:shd w:val="clear" w:color="auto" w:fill="FFFFFF"/>
            <w:tcMar>
              <w:top w:w="0" w:type="dxa"/>
              <w:left w:w="0" w:type="dxa"/>
              <w:bottom w:w="0" w:type="dxa"/>
              <w:right w:w="0" w:type="dxa"/>
            </w:tcMar>
          </w:tcPr>
          <w:p w14:paraId="43BCC7A4" w14:textId="77777777" w:rsidR="00D77A76" w:rsidRPr="00F64F91" w:rsidRDefault="00000000">
            <w:pPr>
              <w:spacing w:before="100" w:after="100"/>
              <w:ind w:left="100" w:right="100"/>
              <w:jc w:val="center"/>
              <w:rPr>
                <w:sz w:val="20"/>
                <w:szCs w:val="20"/>
              </w:rPr>
            </w:pPr>
            <w:r w:rsidRPr="00F64F91">
              <w:rPr>
                <w:sz w:val="20"/>
                <w:szCs w:val="20"/>
              </w:rPr>
              <w:t>77 (2.0%)</w:t>
            </w:r>
          </w:p>
        </w:tc>
      </w:tr>
      <w:tr w:rsidR="00D77A76" w14:paraId="2C77169C" w14:textId="77777777">
        <w:trPr>
          <w:trHeight w:val="800"/>
        </w:trPr>
        <w:tc>
          <w:tcPr>
            <w:tcW w:w="1275" w:type="dxa"/>
            <w:tcBorders>
              <w:top w:val="nil"/>
              <w:left w:val="nil"/>
              <w:bottom w:val="nil"/>
              <w:right w:val="nil"/>
            </w:tcBorders>
            <w:shd w:val="clear" w:color="auto" w:fill="FFFFFF"/>
            <w:tcMar>
              <w:top w:w="0" w:type="dxa"/>
              <w:left w:w="0" w:type="dxa"/>
              <w:bottom w:w="0" w:type="dxa"/>
              <w:right w:w="0" w:type="dxa"/>
            </w:tcMar>
          </w:tcPr>
          <w:p w14:paraId="0AE76AFD" w14:textId="77777777" w:rsidR="00D77A76" w:rsidRPr="00F64F91" w:rsidRDefault="00000000">
            <w:pPr>
              <w:spacing w:before="100" w:after="100"/>
              <w:ind w:left="300" w:right="100"/>
              <w:rPr>
                <w:sz w:val="20"/>
                <w:szCs w:val="20"/>
              </w:rPr>
            </w:pPr>
            <w:r w:rsidRPr="00F64F91">
              <w:rPr>
                <w:sz w:val="20"/>
                <w:szCs w:val="20"/>
              </w:rPr>
              <w:t>Alpha</w:t>
            </w:r>
          </w:p>
        </w:tc>
        <w:tc>
          <w:tcPr>
            <w:tcW w:w="1275" w:type="dxa"/>
            <w:tcBorders>
              <w:top w:val="nil"/>
              <w:left w:val="nil"/>
              <w:bottom w:val="nil"/>
              <w:right w:val="nil"/>
            </w:tcBorders>
            <w:shd w:val="clear" w:color="auto" w:fill="FFFFFF"/>
            <w:tcMar>
              <w:top w:w="0" w:type="dxa"/>
              <w:left w:w="0" w:type="dxa"/>
              <w:bottom w:w="0" w:type="dxa"/>
              <w:right w:w="0" w:type="dxa"/>
            </w:tcMar>
          </w:tcPr>
          <w:p w14:paraId="6B002A8C" w14:textId="77777777" w:rsidR="00D77A76" w:rsidRPr="00F64F91" w:rsidRDefault="00000000">
            <w:pPr>
              <w:spacing w:before="100" w:after="100"/>
              <w:ind w:left="100" w:right="100"/>
              <w:jc w:val="center"/>
              <w:rPr>
                <w:sz w:val="20"/>
                <w:szCs w:val="20"/>
              </w:rPr>
            </w:pPr>
            <w:r w:rsidRPr="00F64F91">
              <w:rPr>
                <w:sz w:val="20"/>
                <w:szCs w:val="20"/>
              </w:rPr>
              <w:t>127</w:t>
            </w:r>
          </w:p>
        </w:tc>
        <w:tc>
          <w:tcPr>
            <w:tcW w:w="1275" w:type="dxa"/>
            <w:tcBorders>
              <w:top w:val="nil"/>
              <w:left w:val="nil"/>
              <w:bottom w:val="nil"/>
              <w:right w:val="nil"/>
            </w:tcBorders>
            <w:shd w:val="clear" w:color="auto" w:fill="FFFFFF"/>
            <w:tcMar>
              <w:top w:w="0" w:type="dxa"/>
              <w:left w:w="0" w:type="dxa"/>
              <w:bottom w:w="0" w:type="dxa"/>
              <w:right w:w="0" w:type="dxa"/>
            </w:tcMar>
          </w:tcPr>
          <w:p w14:paraId="006D375F" w14:textId="77777777" w:rsidR="00D77A76" w:rsidRPr="00F64F91" w:rsidRDefault="00000000">
            <w:pPr>
              <w:spacing w:before="100" w:after="100"/>
              <w:ind w:left="100" w:right="100"/>
              <w:jc w:val="center"/>
              <w:rPr>
                <w:sz w:val="20"/>
                <w:szCs w:val="20"/>
              </w:rPr>
            </w:pPr>
            <w:r w:rsidRPr="00F64F91">
              <w:rPr>
                <w:sz w:val="20"/>
                <w:szCs w:val="20"/>
              </w:rPr>
              <w:t>59 (46%)</w:t>
            </w:r>
          </w:p>
        </w:tc>
        <w:tc>
          <w:tcPr>
            <w:tcW w:w="1230" w:type="dxa"/>
            <w:tcBorders>
              <w:top w:val="nil"/>
              <w:left w:val="nil"/>
              <w:bottom w:val="nil"/>
              <w:right w:val="nil"/>
            </w:tcBorders>
            <w:shd w:val="clear" w:color="auto" w:fill="FFFFFF"/>
            <w:tcMar>
              <w:top w:w="0" w:type="dxa"/>
              <w:left w:w="0" w:type="dxa"/>
              <w:bottom w:w="0" w:type="dxa"/>
              <w:right w:w="0" w:type="dxa"/>
            </w:tcMar>
          </w:tcPr>
          <w:p w14:paraId="78F1EA63" w14:textId="77777777" w:rsidR="00D77A76" w:rsidRPr="00F64F91" w:rsidRDefault="00000000">
            <w:pPr>
              <w:spacing w:before="100" w:after="100"/>
              <w:ind w:left="100" w:right="100"/>
              <w:jc w:val="center"/>
              <w:rPr>
                <w:sz w:val="20"/>
                <w:szCs w:val="20"/>
              </w:rPr>
            </w:pPr>
            <w:r w:rsidRPr="00F64F91">
              <w:rPr>
                <w:sz w:val="20"/>
                <w:szCs w:val="20"/>
              </w:rPr>
              <w:t>68 (54%)</w:t>
            </w:r>
          </w:p>
        </w:tc>
        <w:tc>
          <w:tcPr>
            <w:tcW w:w="1515" w:type="dxa"/>
            <w:tcBorders>
              <w:top w:val="nil"/>
              <w:left w:val="nil"/>
              <w:bottom w:val="nil"/>
              <w:right w:val="nil"/>
            </w:tcBorders>
            <w:shd w:val="clear" w:color="auto" w:fill="FFFFFF"/>
            <w:tcMar>
              <w:top w:w="0" w:type="dxa"/>
              <w:left w:w="0" w:type="dxa"/>
              <w:bottom w:w="0" w:type="dxa"/>
              <w:right w:w="0" w:type="dxa"/>
            </w:tcMar>
          </w:tcPr>
          <w:p w14:paraId="73B9BE9D" w14:textId="77777777" w:rsidR="00D77A76" w:rsidRPr="00F64F91" w:rsidRDefault="00000000">
            <w:pPr>
              <w:spacing w:before="100" w:after="100"/>
              <w:ind w:left="100" w:right="100"/>
              <w:jc w:val="center"/>
              <w:rPr>
                <w:sz w:val="20"/>
                <w:szCs w:val="20"/>
              </w:rPr>
            </w:pPr>
            <w:r w:rsidRPr="00F64F91">
              <w:rPr>
                <w:sz w:val="20"/>
                <w:szCs w:val="20"/>
              </w:rPr>
              <w:t>337</w:t>
            </w:r>
          </w:p>
        </w:tc>
        <w:tc>
          <w:tcPr>
            <w:tcW w:w="1515" w:type="dxa"/>
            <w:tcBorders>
              <w:top w:val="nil"/>
              <w:left w:val="nil"/>
              <w:bottom w:val="nil"/>
              <w:right w:val="nil"/>
            </w:tcBorders>
            <w:shd w:val="clear" w:color="auto" w:fill="FFFFFF"/>
            <w:tcMar>
              <w:top w:w="0" w:type="dxa"/>
              <w:left w:w="0" w:type="dxa"/>
              <w:bottom w:w="0" w:type="dxa"/>
              <w:right w:w="0" w:type="dxa"/>
            </w:tcMar>
          </w:tcPr>
          <w:p w14:paraId="37D292EF" w14:textId="77777777" w:rsidR="00D77A76" w:rsidRPr="00F64F91" w:rsidRDefault="00000000">
            <w:pPr>
              <w:spacing w:before="100" w:after="100"/>
              <w:ind w:left="100" w:right="100"/>
              <w:jc w:val="center"/>
              <w:rPr>
                <w:sz w:val="20"/>
                <w:szCs w:val="20"/>
              </w:rPr>
            </w:pPr>
            <w:r w:rsidRPr="00F64F91">
              <w:rPr>
                <w:sz w:val="20"/>
                <w:szCs w:val="20"/>
              </w:rPr>
              <w:t>279 (83%)</w:t>
            </w:r>
          </w:p>
        </w:tc>
        <w:tc>
          <w:tcPr>
            <w:tcW w:w="1245" w:type="dxa"/>
            <w:tcBorders>
              <w:top w:val="nil"/>
              <w:left w:val="nil"/>
              <w:bottom w:val="nil"/>
              <w:right w:val="nil"/>
            </w:tcBorders>
            <w:shd w:val="clear" w:color="auto" w:fill="FFFFFF"/>
            <w:tcMar>
              <w:top w:w="0" w:type="dxa"/>
              <w:left w:w="0" w:type="dxa"/>
              <w:bottom w:w="0" w:type="dxa"/>
              <w:right w:w="0" w:type="dxa"/>
            </w:tcMar>
          </w:tcPr>
          <w:p w14:paraId="245BA515" w14:textId="77777777" w:rsidR="00D77A76" w:rsidRPr="00F64F91" w:rsidRDefault="00000000">
            <w:pPr>
              <w:spacing w:before="100" w:after="100"/>
              <w:ind w:left="100" w:right="100"/>
              <w:jc w:val="center"/>
              <w:rPr>
                <w:sz w:val="20"/>
                <w:szCs w:val="20"/>
              </w:rPr>
            </w:pPr>
            <w:r w:rsidRPr="00F64F91">
              <w:rPr>
                <w:sz w:val="20"/>
                <w:szCs w:val="20"/>
              </w:rPr>
              <w:t>58 (17%)</w:t>
            </w:r>
          </w:p>
        </w:tc>
        <w:tc>
          <w:tcPr>
            <w:tcW w:w="1530" w:type="dxa"/>
            <w:tcBorders>
              <w:top w:val="nil"/>
              <w:left w:val="nil"/>
              <w:bottom w:val="nil"/>
              <w:right w:val="nil"/>
            </w:tcBorders>
            <w:shd w:val="clear" w:color="auto" w:fill="FFFFFF"/>
            <w:tcMar>
              <w:top w:w="0" w:type="dxa"/>
              <w:left w:w="0" w:type="dxa"/>
              <w:bottom w:w="0" w:type="dxa"/>
              <w:right w:w="0" w:type="dxa"/>
            </w:tcMar>
          </w:tcPr>
          <w:p w14:paraId="6AD8CA54" w14:textId="77777777" w:rsidR="00D77A76" w:rsidRPr="00F64F91" w:rsidRDefault="00000000">
            <w:pPr>
              <w:spacing w:before="100" w:after="100"/>
              <w:ind w:left="100" w:right="100"/>
              <w:jc w:val="center"/>
              <w:rPr>
                <w:sz w:val="20"/>
                <w:szCs w:val="20"/>
              </w:rPr>
            </w:pPr>
            <w:r w:rsidRPr="00F64F91">
              <w:rPr>
                <w:sz w:val="20"/>
                <w:szCs w:val="20"/>
              </w:rPr>
              <w:t>3,597</w:t>
            </w:r>
          </w:p>
        </w:tc>
        <w:tc>
          <w:tcPr>
            <w:tcW w:w="1530" w:type="dxa"/>
            <w:tcBorders>
              <w:top w:val="nil"/>
              <w:left w:val="nil"/>
              <w:bottom w:val="nil"/>
              <w:right w:val="nil"/>
            </w:tcBorders>
            <w:shd w:val="clear" w:color="auto" w:fill="FFFFFF"/>
            <w:tcMar>
              <w:top w:w="0" w:type="dxa"/>
              <w:left w:w="0" w:type="dxa"/>
              <w:bottom w:w="0" w:type="dxa"/>
              <w:right w:w="0" w:type="dxa"/>
            </w:tcMar>
          </w:tcPr>
          <w:p w14:paraId="19D6DF18" w14:textId="77777777" w:rsidR="00D77A76" w:rsidRPr="00F64F91" w:rsidRDefault="00000000">
            <w:pPr>
              <w:spacing w:before="100" w:after="100"/>
              <w:ind w:left="100" w:right="100"/>
              <w:jc w:val="center"/>
              <w:rPr>
                <w:sz w:val="20"/>
                <w:szCs w:val="20"/>
              </w:rPr>
            </w:pPr>
            <w:r w:rsidRPr="00F64F91">
              <w:rPr>
                <w:sz w:val="20"/>
                <w:szCs w:val="20"/>
              </w:rPr>
              <w:t>3,530 (98%)</w:t>
            </w:r>
          </w:p>
        </w:tc>
        <w:tc>
          <w:tcPr>
            <w:tcW w:w="1230" w:type="dxa"/>
            <w:tcBorders>
              <w:top w:val="nil"/>
              <w:left w:val="nil"/>
              <w:bottom w:val="nil"/>
              <w:right w:val="nil"/>
            </w:tcBorders>
            <w:shd w:val="clear" w:color="auto" w:fill="FFFFFF"/>
            <w:tcMar>
              <w:top w:w="0" w:type="dxa"/>
              <w:left w:w="0" w:type="dxa"/>
              <w:bottom w:w="0" w:type="dxa"/>
              <w:right w:w="0" w:type="dxa"/>
            </w:tcMar>
          </w:tcPr>
          <w:p w14:paraId="633968D1" w14:textId="77777777" w:rsidR="00D77A76" w:rsidRPr="00F64F91" w:rsidRDefault="00000000">
            <w:pPr>
              <w:spacing w:before="100" w:after="100"/>
              <w:ind w:left="100" w:right="100"/>
              <w:jc w:val="center"/>
              <w:rPr>
                <w:sz w:val="20"/>
                <w:szCs w:val="20"/>
              </w:rPr>
            </w:pPr>
            <w:r w:rsidRPr="00F64F91">
              <w:rPr>
                <w:sz w:val="20"/>
                <w:szCs w:val="20"/>
              </w:rPr>
              <w:t>67 (1.9%)</w:t>
            </w:r>
          </w:p>
        </w:tc>
      </w:tr>
      <w:tr w:rsidR="00D77A76" w14:paraId="46FE1ACE" w14:textId="77777777">
        <w:trPr>
          <w:trHeight w:val="800"/>
        </w:trPr>
        <w:tc>
          <w:tcPr>
            <w:tcW w:w="1275" w:type="dxa"/>
            <w:tcBorders>
              <w:top w:val="nil"/>
              <w:left w:val="nil"/>
              <w:bottom w:val="nil"/>
              <w:right w:val="nil"/>
            </w:tcBorders>
            <w:shd w:val="clear" w:color="auto" w:fill="FFFFFF"/>
            <w:tcMar>
              <w:top w:w="0" w:type="dxa"/>
              <w:left w:w="0" w:type="dxa"/>
              <w:bottom w:w="0" w:type="dxa"/>
              <w:right w:w="0" w:type="dxa"/>
            </w:tcMar>
          </w:tcPr>
          <w:p w14:paraId="6FAB1BBC" w14:textId="77777777" w:rsidR="00D77A76" w:rsidRPr="00F64F91" w:rsidRDefault="00000000">
            <w:pPr>
              <w:spacing w:before="100" w:after="100"/>
              <w:ind w:left="300" w:right="100"/>
              <w:rPr>
                <w:sz w:val="20"/>
                <w:szCs w:val="20"/>
              </w:rPr>
            </w:pPr>
            <w:r w:rsidRPr="00F64F91">
              <w:rPr>
                <w:sz w:val="20"/>
                <w:szCs w:val="20"/>
              </w:rPr>
              <w:t>Delta</w:t>
            </w:r>
          </w:p>
        </w:tc>
        <w:tc>
          <w:tcPr>
            <w:tcW w:w="1275" w:type="dxa"/>
            <w:tcBorders>
              <w:top w:val="nil"/>
              <w:left w:val="nil"/>
              <w:bottom w:val="nil"/>
              <w:right w:val="nil"/>
            </w:tcBorders>
            <w:shd w:val="clear" w:color="auto" w:fill="FFFFFF"/>
            <w:tcMar>
              <w:top w:w="0" w:type="dxa"/>
              <w:left w:w="0" w:type="dxa"/>
              <w:bottom w:w="0" w:type="dxa"/>
              <w:right w:w="0" w:type="dxa"/>
            </w:tcMar>
          </w:tcPr>
          <w:p w14:paraId="1253FCED" w14:textId="77777777" w:rsidR="00D77A76" w:rsidRPr="00F64F91" w:rsidRDefault="00000000">
            <w:pPr>
              <w:spacing w:before="100" w:after="100"/>
              <w:ind w:left="100" w:right="100"/>
              <w:jc w:val="center"/>
              <w:rPr>
                <w:sz w:val="20"/>
                <w:szCs w:val="20"/>
              </w:rPr>
            </w:pPr>
            <w:r w:rsidRPr="00F64F91">
              <w:rPr>
                <w:sz w:val="20"/>
                <w:szCs w:val="20"/>
              </w:rPr>
              <w:t>434</w:t>
            </w:r>
          </w:p>
        </w:tc>
        <w:tc>
          <w:tcPr>
            <w:tcW w:w="1275" w:type="dxa"/>
            <w:tcBorders>
              <w:top w:val="nil"/>
              <w:left w:val="nil"/>
              <w:bottom w:val="nil"/>
              <w:right w:val="nil"/>
            </w:tcBorders>
            <w:shd w:val="clear" w:color="auto" w:fill="FFFFFF"/>
            <w:tcMar>
              <w:top w:w="0" w:type="dxa"/>
              <w:left w:w="0" w:type="dxa"/>
              <w:bottom w:w="0" w:type="dxa"/>
              <w:right w:w="0" w:type="dxa"/>
            </w:tcMar>
          </w:tcPr>
          <w:p w14:paraId="3B1ACCDD" w14:textId="77777777" w:rsidR="00D77A76" w:rsidRPr="00F64F91" w:rsidRDefault="00000000">
            <w:pPr>
              <w:spacing w:before="100" w:after="100"/>
              <w:ind w:left="100" w:right="100"/>
              <w:jc w:val="center"/>
              <w:rPr>
                <w:sz w:val="20"/>
                <w:szCs w:val="20"/>
              </w:rPr>
            </w:pPr>
            <w:r w:rsidRPr="00F64F91">
              <w:rPr>
                <w:sz w:val="20"/>
                <w:szCs w:val="20"/>
              </w:rPr>
              <w:t>323 (74%)</w:t>
            </w:r>
          </w:p>
        </w:tc>
        <w:tc>
          <w:tcPr>
            <w:tcW w:w="1230" w:type="dxa"/>
            <w:tcBorders>
              <w:top w:val="nil"/>
              <w:left w:val="nil"/>
              <w:bottom w:val="nil"/>
              <w:right w:val="nil"/>
            </w:tcBorders>
            <w:shd w:val="clear" w:color="auto" w:fill="FFFFFF"/>
            <w:tcMar>
              <w:top w:w="0" w:type="dxa"/>
              <w:left w:w="0" w:type="dxa"/>
              <w:bottom w:w="0" w:type="dxa"/>
              <w:right w:w="0" w:type="dxa"/>
            </w:tcMar>
          </w:tcPr>
          <w:p w14:paraId="0E32200B" w14:textId="77777777" w:rsidR="00D77A76" w:rsidRPr="00F64F91" w:rsidRDefault="00000000">
            <w:pPr>
              <w:spacing w:before="100" w:after="100"/>
              <w:ind w:left="100" w:right="100"/>
              <w:jc w:val="center"/>
              <w:rPr>
                <w:sz w:val="20"/>
                <w:szCs w:val="20"/>
              </w:rPr>
            </w:pPr>
            <w:r w:rsidRPr="00F64F91">
              <w:rPr>
                <w:sz w:val="20"/>
                <w:szCs w:val="20"/>
              </w:rPr>
              <w:t>111 (26%)</w:t>
            </w:r>
          </w:p>
        </w:tc>
        <w:tc>
          <w:tcPr>
            <w:tcW w:w="1515" w:type="dxa"/>
            <w:tcBorders>
              <w:top w:val="nil"/>
              <w:left w:val="nil"/>
              <w:bottom w:val="nil"/>
              <w:right w:val="nil"/>
            </w:tcBorders>
            <w:shd w:val="clear" w:color="auto" w:fill="FFFFFF"/>
            <w:tcMar>
              <w:top w:w="0" w:type="dxa"/>
              <w:left w:w="0" w:type="dxa"/>
              <w:bottom w:w="0" w:type="dxa"/>
              <w:right w:w="0" w:type="dxa"/>
            </w:tcMar>
          </w:tcPr>
          <w:p w14:paraId="3403ECBC" w14:textId="77777777" w:rsidR="00D77A76" w:rsidRPr="00F64F91" w:rsidRDefault="00000000">
            <w:pPr>
              <w:spacing w:before="100" w:after="100"/>
              <w:ind w:left="100" w:right="100"/>
              <w:jc w:val="center"/>
              <w:rPr>
                <w:sz w:val="20"/>
                <w:szCs w:val="20"/>
              </w:rPr>
            </w:pPr>
            <w:r w:rsidRPr="00F64F91">
              <w:rPr>
                <w:sz w:val="20"/>
                <w:szCs w:val="20"/>
              </w:rPr>
              <w:t>1,165</w:t>
            </w:r>
          </w:p>
        </w:tc>
        <w:tc>
          <w:tcPr>
            <w:tcW w:w="1515" w:type="dxa"/>
            <w:tcBorders>
              <w:top w:val="nil"/>
              <w:left w:val="nil"/>
              <w:bottom w:val="nil"/>
              <w:right w:val="nil"/>
            </w:tcBorders>
            <w:shd w:val="clear" w:color="auto" w:fill="FFFFFF"/>
            <w:tcMar>
              <w:top w:w="0" w:type="dxa"/>
              <w:left w:w="0" w:type="dxa"/>
              <w:bottom w:w="0" w:type="dxa"/>
              <w:right w:w="0" w:type="dxa"/>
            </w:tcMar>
          </w:tcPr>
          <w:p w14:paraId="159DBE9E" w14:textId="77777777" w:rsidR="00D77A76" w:rsidRPr="00F64F91" w:rsidRDefault="00000000">
            <w:pPr>
              <w:spacing w:before="100" w:after="100"/>
              <w:ind w:left="100" w:right="100"/>
              <w:jc w:val="center"/>
              <w:rPr>
                <w:sz w:val="20"/>
                <w:szCs w:val="20"/>
              </w:rPr>
            </w:pPr>
            <w:r w:rsidRPr="00F64F91">
              <w:rPr>
                <w:sz w:val="20"/>
                <w:szCs w:val="20"/>
              </w:rPr>
              <w:t>1,011 (87%)</w:t>
            </w:r>
          </w:p>
        </w:tc>
        <w:tc>
          <w:tcPr>
            <w:tcW w:w="1245" w:type="dxa"/>
            <w:tcBorders>
              <w:top w:val="nil"/>
              <w:left w:val="nil"/>
              <w:bottom w:val="nil"/>
              <w:right w:val="nil"/>
            </w:tcBorders>
            <w:shd w:val="clear" w:color="auto" w:fill="FFFFFF"/>
            <w:tcMar>
              <w:top w:w="0" w:type="dxa"/>
              <w:left w:w="0" w:type="dxa"/>
              <w:bottom w:w="0" w:type="dxa"/>
              <w:right w:w="0" w:type="dxa"/>
            </w:tcMar>
          </w:tcPr>
          <w:p w14:paraId="5FA67077" w14:textId="77777777" w:rsidR="00D77A76" w:rsidRPr="00F64F91" w:rsidRDefault="00000000">
            <w:pPr>
              <w:spacing w:before="100" w:after="100"/>
              <w:ind w:left="100" w:right="100"/>
              <w:jc w:val="center"/>
              <w:rPr>
                <w:sz w:val="20"/>
                <w:szCs w:val="20"/>
              </w:rPr>
            </w:pPr>
            <w:r w:rsidRPr="00F64F91">
              <w:rPr>
                <w:sz w:val="20"/>
                <w:szCs w:val="20"/>
              </w:rPr>
              <w:t>154 (13%)</w:t>
            </w:r>
          </w:p>
        </w:tc>
        <w:tc>
          <w:tcPr>
            <w:tcW w:w="1530" w:type="dxa"/>
            <w:tcBorders>
              <w:top w:val="nil"/>
              <w:left w:val="nil"/>
              <w:bottom w:val="nil"/>
              <w:right w:val="nil"/>
            </w:tcBorders>
            <w:shd w:val="clear" w:color="auto" w:fill="FFFFFF"/>
            <w:tcMar>
              <w:top w:w="0" w:type="dxa"/>
              <w:left w:w="0" w:type="dxa"/>
              <w:bottom w:w="0" w:type="dxa"/>
              <w:right w:w="0" w:type="dxa"/>
            </w:tcMar>
          </w:tcPr>
          <w:p w14:paraId="0F35607F" w14:textId="77777777" w:rsidR="00D77A76" w:rsidRPr="00F64F91" w:rsidRDefault="00000000">
            <w:pPr>
              <w:spacing w:before="100" w:after="100"/>
              <w:ind w:left="100" w:right="100"/>
              <w:jc w:val="center"/>
              <w:rPr>
                <w:sz w:val="20"/>
                <w:szCs w:val="20"/>
              </w:rPr>
            </w:pPr>
            <w:r w:rsidRPr="00F64F91">
              <w:rPr>
                <w:sz w:val="20"/>
                <w:szCs w:val="20"/>
              </w:rPr>
              <w:t>2,531</w:t>
            </w:r>
          </w:p>
        </w:tc>
        <w:tc>
          <w:tcPr>
            <w:tcW w:w="1530" w:type="dxa"/>
            <w:tcBorders>
              <w:top w:val="nil"/>
              <w:left w:val="nil"/>
              <w:bottom w:val="nil"/>
              <w:right w:val="nil"/>
            </w:tcBorders>
            <w:shd w:val="clear" w:color="auto" w:fill="FFFFFF"/>
            <w:tcMar>
              <w:top w:w="0" w:type="dxa"/>
              <w:left w:w="0" w:type="dxa"/>
              <w:bottom w:w="0" w:type="dxa"/>
              <w:right w:w="0" w:type="dxa"/>
            </w:tcMar>
          </w:tcPr>
          <w:p w14:paraId="0DC3A4C2" w14:textId="77777777" w:rsidR="00D77A76" w:rsidRPr="00F64F91" w:rsidRDefault="00000000">
            <w:pPr>
              <w:spacing w:before="100" w:after="100"/>
              <w:ind w:left="100" w:right="100"/>
              <w:jc w:val="center"/>
              <w:rPr>
                <w:sz w:val="20"/>
                <w:szCs w:val="20"/>
              </w:rPr>
            </w:pPr>
            <w:r w:rsidRPr="00F64F91">
              <w:rPr>
                <w:sz w:val="20"/>
                <w:szCs w:val="20"/>
              </w:rPr>
              <w:t>2,489 (98%)</w:t>
            </w:r>
          </w:p>
        </w:tc>
        <w:tc>
          <w:tcPr>
            <w:tcW w:w="1230" w:type="dxa"/>
            <w:tcBorders>
              <w:top w:val="nil"/>
              <w:left w:val="nil"/>
              <w:bottom w:val="nil"/>
              <w:right w:val="nil"/>
            </w:tcBorders>
            <w:shd w:val="clear" w:color="auto" w:fill="FFFFFF"/>
            <w:tcMar>
              <w:top w:w="0" w:type="dxa"/>
              <w:left w:w="0" w:type="dxa"/>
              <w:bottom w:w="0" w:type="dxa"/>
              <w:right w:w="0" w:type="dxa"/>
            </w:tcMar>
          </w:tcPr>
          <w:p w14:paraId="259457EE" w14:textId="77777777" w:rsidR="00D77A76" w:rsidRPr="00F64F91" w:rsidRDefault="00000000">
            <w:pPr>
              <w:spacing w:before="100" w:after="100"/>
              <w:ind w:left="100" w:right="100"/>
              <w:jc w:val="center"/>
              <w:rPr>
                <w:sz w:val="20"/>
                <w:szCs w:val="20"/>
              </w:rPr>
            </w:pPr>
            <w:r w:rsidRPr="00F64F91">
              <w:rPr>
                <w:sz w:val="20"/>
                <w:szCs w:val="20"/>
              </w:rPr>
              <w:t>42 (1.7%)</w:t>
            </w:r>
          </w:p>
        </w:tc>
      </w:tr>
      <w:tr w:rsidR="00D77A76" w14:paraId="58787B34" w14:textId="77777777">
        <w:trPr>
          <w:trHeight w:val="800"/>
        </w:trPr>
        <w:tc>
          <w:tcPr>
            <w:tcW w:w="1275" w:type="dxa"/>
            <w:tcBorders>
              <w:top w:val="nil"/>
              <w:left w:val="nil"/>
              <w:bottom w:val="nil"/>
              <w:right w:val="nil"/>
            </w:tcBorders>
            <w:shd w:val="clear" w:color="auto" w:fill="FFFFFF"/>
            <w:tcMar>
              <w:top w:w="0" w:type="dxa"/>
              <w:left w:w="0" w:type="dxa"/>
              <w:bottom w:w="0" w:type="dxa"/>
              <w:right w:w="0" w:type="dxa"/>
            </w:tcMar>
          </w:tcPr>
          <w:p w14:paraId="1D572668" w14:textId="77777777" w:rsidR="00D77A76" w:rsidRPr="00F64F91" w:rsidRDefault="00000000">
            <w:pPr>
              <w:spacing w:before="100" w:after="100"/>
              <w:ind w:left="300" w:right="100"/>
              <w:rPr>
                <w:sz w:val="20"/>
                <w:szCs w:val="20"/>
              </w:rPr>
            </w:pPr>
            <w:r w:rsidRPr="00F64F91">
              <w:rPr>
                <w:sz w:val="20"/>
                <w:szCs w:val="20"/>
              </w:rPr>
              <w:t>Omicron BA.1</w:t>
            </w:r>
          </w:p>
        </w:tc>
        <w:tc>
          <w:tcPr>
            <w:tcW w:w="1275" w:type="dxa"/>
            <w:tcBorders>
              <w:top w:val="nil"/>
              <w:left w:val="nil"/>
              <w:bottom w:val="nil"/>
              <w:right w:val="nil"/>
            </w:tcBorders>
            <w:shd w:val="clear" w:color="auto" w:fill="FFFFFF"/>
            <w:tcMar>
              <w:top w:w="0" w:type="dxa"/>
              <w:left w:w="0" w:type="dxa"/>
              <w:bottom w:w="0" w:type="dxa"/>
              <w:right w:w="0" w:type="dxa"/>
            </w:tcMar>
          </w:tcPr>
          <w:p w14:paraId="336927E4" w14:textId="77777777" w:rsidR="00D77A76" w:rsidRPr="00F64F91" w:rsidRDefault="00000000">
            <w:pPr>
              <w:spacing w:before="100" w:after="100"/>
              <w:ind w:left="100" w:right="100"/>
              <w:jc w:val="center"/>
              <w:rPr>
                <w:sz w:val="20"/>
                <w:szCs w:val="20"/>
              </w:rPr>
            </w:pPr>
            <w:r w:rsidRPr="00F64F91">
              <w:rPr>
                <w:sz w:val="20"/>
                <w:szCs w:val="20"/>
              </w:rPr>
              <w:t>659</w:t>
            </w:r>
          </w:p>
        </w:tc>
        <w:tc>
          <w:tcPr>
            <w:tcW w:w="1275" w:type="dxa"/>
            <w:tcBorders>
              <w:top w:val="nil"/>
              <w:left w:val="nil"/>
              <w:bottom w:val="nil"/>
              <w:right w:val="nil"/>
            </w:tcBorders>
            <w:shd w:val="clear" w:color="auto" w:fill="FFFFFF"/>
            <w:tcMar>
              <w:top w:w="0" w:type="dxa"/>
              <w:left w:w="0" w:type="dxa"/>
              <w:bottom w:w="0" w:type="dxa"/>
              <w:right w:w="0" w:type="dxa"/>
            </w:tcMar>
          </w:tcPr>
          <w:p w14:paraId="642C33F0" w14:textId="77777777" w:rsidR="00D77A76" w:rsidRPr="00F64F91" w:rsidRDefault="00000000">
            <w:pPr>
              <w:spacing w:before="100" w:after="100"/>
              <w:ind w:left="100" w:right="100"/>
              <w:jc w:val="center"/>
              <w:rPr>
                <w:sz w:val="20"/>
                <w:szCs w:val="20"/>
              </w:rPr>
            </w:pPr>
            <w:r w:rsidRPr="00F64F91">
              <w:rPr>
                <w:sz w:val="20"/>
                <w:szCs w:val="20"/>
              </w:rPr>
              <w:t>546 (83%)</w:t>
            </w:r>
          </w:p>
        </w:tc>
        <w:tc>
          <w:tcPr>
            <w:tcW w:w="1230" w:type="dxa"/>
            <w:tcBorders>
              <w:top w:val="nil"/>
              <w:left w:val="nil"/>
              <w:bottom w:val="nil"/>
              <w:right w:val="nil"/>
            </w:tcBorders>
            <w:shd w:val="clear" w:color="auto" w:fill="FFFFFF"/>
            <w:tcMar>
              <w:top w:w="0" w:type="dxa"/>
              <w:left w:w="0" w:type="dxa"/>
              <w:bottom w:w="0" w:type="dxa"/>
              <w:right w:w="0" w:type="dxa"/>
            </w:tcMar>
          </w:tcPr>
          <w:p w14:paraId="0ED15D6D" w14:textId="77777777" w:rsidR="00D77A76" w:rsidRPr="00F64F91" w:rsidRDefault="00000000">
            <w:pPr>
              <w:spacing w:before="100" w:after="100"/>
              <w:ind w:left="100" w:right="100"/>
              <w:jc w:val="center"/>
              <w:rPr>
                <w:sz w:val="20"/>
                <w:szCs w:val="20"/>
              </w:rPr>
            </w:pPr>
            <w:r w:rsidRPr="00F64F91">
              <w:rPr>
                <w:sz w:val="20"/>
                <w:szCs w:val="20"/>
              </w:rPr>
              <w:t>113 (17%)</w:t>
            </w:r>
          </w:p>
        </w:tc>
        <w:tc>
          <w:tcPr>
            <w:tcW w:w="1515" w:type="dxa"/>
            <w:tcBorders>
              <w:top w:val="nil"/>
              <w:left w:val="nil"/>
              <w:bottom w:val="nil"/>
              <w:right w:val="nil"/>
            </w:tcBorders>
            <w:shd w:val="clear" w:color="auto" w:fill="FFFFFF"/>
            <w:tcMar>
              <w:top w:w="0" w:type="dxa"/>
              <w:left w:w="0" w:type="dxa"/>
              <w:bottom w:w="0" w:type="dxa"/>
              <w:right w:w="0" w:type="dxa"/>
            </w:tcMar>
          </w:tcPr>
          <w:p w14:paraId="10F9CCE8" w14:textId="77777777" w:rsidR="00D77A76" w:rsidRPr="00F64F91" w:rsidRDefault="00000000">
            <w:pPr>
              <w:spacing w:before="100" w:after="100"/>
              <w:ind w:left="100" w:right="100"/>
              <w:jc w:val="center"/>
              <w:rPr>
                <w:sz w:val="20"/>
                <w:szCs w:val="20"/>
              </w:rPr>
            </w:pPr>
            <w:r w:rsidRPr="00F64F91">
              <w:rPr>
                <w:sz w:val="20"/>
                <w:szCs w:val="20"/>
              </w:rPr>
              <w:t>522</w:t>
            </w:r>
          </w:p>
        </w:tc>
        <w:tc>
          <w:tcPr>
            <w:tcW w:w="1515" w:type="dxa"/>
            <w:tcBorders>
              <w:top w:val="nil"/>
              <w:left w:val="nil"/>
              <w:bottom w:val="nil"/>
              <w:right w:val="nil"/>
            </w:tcBorders>
            <w:shd w:val="clear" w:color="auto" w:fill="FFFFFF"/>
            <w:tcMar>
              <w:top w:w="0" w:type="dxa"/>
              <w:left w:w="0" w:type="dxa"/>
              <w:bottom w:w="0" w:type="dxa"/>
              <w:right w:w="0" w:type="dxa"/>
            </w:tcMar>
          </w:tcPr>
          <w:p w14:paraId="5A369D7F" w14:textId="77777777" w:rsidR="00D77A76" w:rsidRPr="00F64F91" w:rsidRDefault="00000000">
            <w:pPr>
              <w:spacing w:before="100" w:after="100"/>
              <w:ind w:left="100" w:right="100"/>
              <w:jc w:val="center"/>
              <w:rPr>
                <w:sz w:val="20"/>
                <w:szCs w:val="20"/>
              </w:rPr>
            </w:pPr>
            <w:r w:rsidRPr="00F64F91">
              <w:rPr>
                <w:sz w:val="20"/>
                <w:szCs w:val="20"/>
              </w:rPr>
              <w:t>458 (88%)</w:t>
            </w:r>
          </w:p>
        </w:tc>
        <w:tc>
          <w:tcPr>
            <w:tcW w:w="1245" w:type="dxa"/>
            <w:tcBorders>
              <w:top w:val="nil"/>
              <w:left w:val="nil"/>
              <w:bottom w:val="nil"/>
              <w:right w:val="nil"/>
            </w:tcBorders>
            <w:shd w:val="clear" w:color="auto" w:fill="FFFFFF"/>
            <w:tcMar>
              <w:top w:w="0" w:type="dxa"/>
              <w:left w:w="0" w:type="dxa"/>
              <w:bottom w:w="0" w:type="dxa"/>
              <w:right w:w="0" w:type="dxa"/>
            </w:tcMar>
          </w:tcPr>
          <w:p w14:paraId="7C44FA55" w14:textId="77777777" w:rsidR="00D77A76" w:rsidRPr="00F64F91" w:rsidRDefault="00000000">
            <w:pPr>
              <w:spacing w:before="100" w:after="100"/>
              <w:ind w:left="100" w:right="100"/>
              <w:jc w:val="center"/>
              <w:rPr>
                <w:sz w:val="20"/>
                <w:szCs w:val="20"/>
              </w:rPr>
            </w:pPr>
            <w:r w:rsidRPr="00F64F91">
              <w:rPr>
                <w:sz w:val="20"/>
                <w:szCs w:val="20"/>
              </w:rPr>
              <w:t>64 (12%)</w:t>
            </w:r>
          </w:p>
        </w:tc>
        <w:tc>
          <w:tcPr>
            <w:tcW w:w="1530" w:type="dxa"/>
            <w:tcBorders>
              <w:top w:val="nil"/>
              <w:left w:val="nil"/>
              <w:bottom w:val="nil"/>
              <w:right w:val="nil"/>
            </w:tcBorders>
            <w:shd w:val="clear" w:color="auto" w:fill="FFFFFF"/>
            <w:tcMar>
              <w:top w:w="0" w:type="dxa"/>
              <w:left w:w="0" w:type="dxa"/>
              <w:bottom w:w="0" w:type="dxa"/>
              <w:right w:w="0" w:type="dxa"/>
            </w:tcMar>
          </w:tcPr>
          <w:p w14:paraId="7D448FFA" w14:textId="77777777" w:rsidR="00D77A76" w:rsidRPr="00F64F91" w:rsidRDefault="00000000">
            <w:pPr>
              <w:spacing w:before="100" w:after="100"/>
              <w:ind w:left="100" w:right="100"/>
              <w:jc w:val="center"/>
              <w:rPr>
                <w:sz w:val="20"/>
                <w:szCs w:val="20"/>
              </w:rPr>
            </w:pPr>
            <w:r w:rsidRPr="00F64F91">
              <w:rPr>
                <w:sz w:val="20"/>
                <w:szCs w:val="20"/>
              </w:rPr>
              <w:t>2,865</w:t>
            </w:r>
          </w:p>
        </w:tc>
        <w:tc>
          <w:tcPr>
            <w:tcW w:w="1530" w:type="dxa"/>
            <w:tcBorders>
              <w:top w:val="nil"/>
              <w:left w:val="nil"/>
              <w:bottom w:val="nil"/>
              <w:right w:val="nil"/>
            </w:tcBorders>
            <w:shd w:val="clear" w:color="auto" w:fill="FFFFFF"/>
            <w:tcMar>
              <w:top w:w="0" w:type="dxa"/>
              <w:left w:w="0" w:type="dxa"/>
              <w:bottom w:w="0" w:type="dxa"/>
              <w:right w:w="0" w:type="dxa"/>
            </w:tcMar>
          </w:tcPr>
          <w:p w14:paraId="4A5468D3" w14:textId="77777777" w:rsidR="00D77A76" w:rsidRPr="00F64F91" w:rsidRDefault="00000000">
            <w:pPr>
              <w:spacing w:before="100" w:after="100"/>
              <w:ind w:left="100" w:right="100"/>
              <w:jc w:val="center"/>
              <w:rPr>
                <w:sz w:val="20"/>
                <w:szCs w:val="20"/>
              </w:rPr>
            </w:pPr>
            <w:r w:rsidRPr="00F64F91">
              <w:rPr>
                <w:sz w:val="20"/>
                <w:szCs w:val="20"/>
              </w:rPr>
              <w:t>2,827 (99%)</w:t>
            </w:r>
          </w:p>
        </w:tc>
        <w:tc>
          <w:tcPr>
            <w:tcW w:w="1230" w:type="dxa"/>
            <w:tcBorders>
              <w:top w:val="nil"/>
              <w:left w:val="nil"/>
              <w:bottom w:val="nil"/>
              <w:right w:val="nil"/>
            </w:tcBorders>
            <w:shd w:val="clear" w:color="auto" w:fill="FFFFFF"/>
            <w:tcMar>
              <w:top w:w="0" w:type="dxa"/>
              <w:left w:w="0" w:type="dxa"/>
              <w:bottom w:w="0" w:type="dxa"/>
              <w:right w:w="0" w:type="dxa"/>
            </w:tcMar>
          </w:tcPr>
          <w:p w14:paraId="23463BFF" w14:textId="77777777" w:rsidR="00D77A76" w:rsidRPr="00F64F91" w:rsidRDefault="00000000">
            <w:pPr>
              <w:spacing w:before="100" w:after="100"/>
              <w:ind w:left="100" w:right="100"/>
              <w:jc w:val="center"/>
              <w:rPr>
                <w:sz w:val="20"/>
                <w:szCs w:val="20"/>
              </w:rPr>
            </w:pPr>
            <w:r w:rsidRPr="00F64F91">
              <w:rPr>
                <w:sz w:val="20"/>
                <w:szCs w:val="20"/>
              </w:rPr>
              <w:t>38 (1.3%)</w:t>
            </w:r>
          </w:p>
        </w:tc>
      </w:tr>
      <w:tr w:rsidR="00D77A76" w14:paraId="0C4895CF" w14:textId="77777777">
        <w:trPr>
          <w:trHeight w:val="800"/>
        </w:trPr>
        <w:tc>
          <w:tcPr>
            <w:tcW w:w="1275" w:type="dxa"/>
            <w:tcBorders>
              <w:top w:val="nil"/>
              <w:left w:val="nil"/>
              <w:bottom w:val="nil"/>
              <w:right w:val="nil"/>
            </w:tcBorders>
            <w:shd w:val="clear" w:color="auto" w:fill="FFFFFF"/>
            <w:tcMar>
              <w:top w:w="0" w:type="dxa"/>
              <w:left w:w="0" w:type="dxa"/>
              <w:bottom w:w="0" w:type="dxa"/>
              <w:right w:w="0" w:type="dxa"/>
            </w:tcMar>
          </w:tcPr>
          <w:p w14:paraId="211B645E" w14:textId="77777777" w:rsidR="00D77A76" w:rsidRPr="00F64F91" w:rsidRDefault="00000000">
            <w:pPr>
              <w:spacing w:before="100" w:after="100"/>
              <w:ind w:left="300" w:right="100"/>
              <w:rPr>
                <w:sz w:val="20"/>
                <w:szCs w:val="20"/>
              </w:rPr>
            </w:pPr>
            <w:r w:rsidRPr="00F64F91">
              <w:rPr>
                <w:sz w:val="20"/>
                <w:szCs w:val="20"/>
              </w:rPr>
              <w:t>Omicron BA.2</w:t>
            </w:r>
          </w:p>
        </w:tc>
        <w:tc>
          <w:tcPr>
            <w:tcW w:w="1275" w:type="dxa"/>
            <w:tcBorders>
              <w:top w:val="nil"/>
              <w:left w:val="nil"/>
              <w:bottom w:val="nil"/>
              <w:right w:val="nil"/>
            </w:tcBorders>
            <w:shd w:val="clear" w:color="auto" w:fill="FFFFFF"/>
            <w:tcMar>
              <w:top w:w="0" w:type="dxa"/>
              <w:left w:w="0" w:type="dxa"/>
              <w:bottom w:w="0" w:type="dxa"/>
              <w:right w:w="0" w:type="dxa"/>
            </w:tcMar>
          </w:tcPr>
          <w:p w14:paraId="32E621E5" w14:textId="77777777" w:rsidR="00D77A76" w:rsidRPr="00F64F91" w:rsidRDefault="00000000">
            <w:pPr>
              <w:spacing w:before="100" w:after="100"/>
              <w:ind w:left="100" w:right="100"/>
              <w:jc w:val="center"/>
              <w:rPr>
                <w:sz w:val="20"/>
                <w:szCs w:val="20"/>
              </w:rPr>
            </w:pPr>
            <w:r w:rsidRPr="00F64F91">
              <w:rPr>
                <w:sz w:val="20"/>
                <w:szCs w:val="20"/>
              </w:rPr>
              <w:t>959</w:t>
            </w:r>
          </w:p>
        </w:tc>
        <w:tc>
          <w:tcPr>
            <w:tcW w:w="1275" w:type="dxa"/>
            <w:tcBorders>
              <w:top w:val="nil"/>
              <w:left w:val="nil"/>
              <w:bottom w:val="nil"/>
              <w:right w:val="nil"/>
            </w:tcBorders>
            <w:shd w:val="clear" w:color="auto" w:fill="FFFFFF"/>
            <w:tcMar>
              <w:top w:w="0" w:type="dxa"/>
              <w:left w:w="0" w:type="dxa"/>
              <w:bottom w:w="0" w:type="dxa"/>
              <w:right w:w="0" w:type="dxa"/>
            </w:tcMar>
          </w:tcPr>
          <w:p w14:paraId="41AF2D6D" w14:textId="77777777" w:rsidR="00D77A76" w:rsidRPr="00F64F91" w:rsidRDefault="00000000">
            <w:pPr>
              <w:spacing w:before="100" w:after="100"/>
              <w:ind w:left="100" w:right="100"/>
              <w:jc w:val="center"/>
              <w:rPr>
                <w:sz w:val="20"/>
                <w:szCs w:val="20"/>
              </w:rPr>
            </w:pPr>
            <w:r w:rsidRPr="00F64F91">
              <w:rPr>
                <w:sz w:val="20"/>
                <w:szCs w:val="20"/>
              </w:rPr>
              <w:t>865 (90%)</w:t>
            </w:r>
          </w:p>
        </w:tc>
        <w:tc>
          <w:tcPr>
            <w:tcW w:w="1230" w:type="dxa"/>
            <w:tcBorders>
              <w:top w:val="nil"/>
              <w:left w:val="nil"/>
              <w:bottom w:val="nil"/>
              <w:right w:val="nil"/>
            </w:tcBorders>
            <w:shd w:val="clear" w:color="auto" w:fill="FFFFFF"/>
            <w:tcMar>
              <w:top w:w="0" w:type="dxa"/>
              <w:left w:w="0" w:type="dxa"/>
              <w:bottom w:w="0" w:type="dxa"/>
              <w:right w:w="0" w:type="dxa"/>
            </w:tcMar>
          </w:tcPr>
          <w:p w14:paraId="786E8343" w14:textId="77777777" w:rsidR="00D77A76" w:rsidRPr="00F64F91" w:rsidRDefault="00000000">
            <w:pPr>
              <w:spacing w:before="100" w:after="100"/>
              <w:ind w:left="100" w:right="100"/>
              <w:jc w:val="center"/>
              <w:rPr>
                <w:sz w:val="20"/>
                <w:szCs w:val="20"/>
              </w:rPr>
            </w:pPr>
            <w:r w:rsidRPr="00F64F91">
              <w:rPr>
                <w:sz w:val="20"/>
                <w:szCs w:val="20"/>
              </w:rPr>
              <w:t>94 (9.8%)</w:t>
            </w:r>
          </w:p>
        </w:tc>
        <w:tc>
          <w:tcPr>
            <w:tcW w:w="1515" w:type="dxa"/>
            <w:tcBorders>
              <w:top w:val="nil"/>
              <w:left w:val="nil"/>
              <w:bottom w:val="nil"/>
              <w:right w:val="nil"/>
            </w:tcBorders>
            <w:shd w:val="clear" w:color="auto" w:fill="FFFFFF"/>
            <w:tcMar>
              <w:top w:w="0" w:type="dxa"/>
              <w:left w:w="0" w:type="dxa"/>
              <w:bottom w:w="0" w:type="dxa"/>
              <w:right w:w="0" w:type="dxa"/>
            </w:tcMar>
          </w:tcPr>
          <w:p w14:paraId="42AEAB48" w14:textId="77777777" w:rsidR="00D77A76" w:rsidRPr="00F64F91" w:rsidRDefault="00000000">
            <w:pPr>
              <w:spacing w:before="100" w:after="100"/>
              <w:ind w:left="100" w:right="100"/>
              <w:jc w:val="center"/>
              <w:rPr>
                <w:sz w:val="20"/>
                <w:szCs w:val="20"/>
              </w:rPr>
            </w:pPr>
            <w:r w:rsidRPr="00F64F91">
              <w:rPr>
                <w:sz w:val="20"/>
                <w:szCs w:val="20"/>
              </w:rPr>
              <w:t>486</w:t>
            </w:r>
          </w:p>
        </w:tc>
        <w:tc>
          <w:tcPr>
            <w:tcW w:w="1515" w:type="dxa"/>
            <w:tcBorders>
              <w:top w:val="nil"/>
              <w:left w:val="nil"/>
              <w:bottom w:val="nil"/>
              <w:right w:val="nil"/>
            </w:tcBorders>
            <w:shd w:val="clear" w:color="auto" w:fill="FFFFFF"/>
            <w:tcMar>
              <w:top w:w="0" w:type="dxa"/>
              <w:left w:w="0" w:type="dxa"/>
              <w:bottom w:w="0" w:type="dxa"/>
              <w:right w:w="0" w:type="dxa"/>
            </w:tcMar>
          </w:tcPr>
          <w:p w14:paraId="41EDD26E" w14:textId="77777777" w:rsidR="00D77A76" w:rsidRPr="00F64F91" w:rsidRDefault="00000000">
            <w:pPr>
              <w:spacing w:before="100" w:after="100"/>
              <w:ind w:left="100" w:right="100"/>
              <w:jc w:val="center"/>
              <w:rPr>
                <w:sz w:val="20"/>
                <w:szCs w:val="20"/>
              </w:rPr>
            </w:pPr>
            <w:r w:rsidRPr="00F64F91">
              <w:rPr>
                <w:sz w:val="20"/>
                <w:szCs w:val="20"/>
              </w:rPr>
              <w:t>455 (94%)</w:t>
            </w:r>
          </w:p>
        </w:tc>
        <w:tc>
          <w:tcPr>
            <w:tcW w:w="1245" w:type="dxa"/>
            <w:tcBorders>
              <w:top w:val="nil"/>
              <w:left w:val="nil"/>
              <w:bottom w:val="nil"/>
              <w:right w:val="nil"/>
            </w:tcBorders>
            <w:shd w:val="clear" w:color="auto" w:fill="FFFFFF"/>
            <w:tcMar>
              <w:top w:w="0" w:type="dxa"/>
              <w:left w:w="0" w:type="dxa"/>
              <w:bottom w:w="0" w:type="dxa"/>
              <w:right w:w="0" w:type="dxa"/>
            </w:tcMar>
          </w:tcPr>
          <w:p w14:paraId="5BAEA7AB" w14:textId="77777777" w:rsidR="00D77A76" w:rsidRPr="00F64F91" w:rsidRDefault="00000000">
            <w:pPr>
              <w:spacing w:before="100" w:after="100"/>
              <w:ind w:left="100" w:right="100"/>
              <w:jc w:val="center"/>
              <w:rPr>
                <w:sz w:val="20"/>
                <w:szCs w:val="20"/>
              </w:rPr>
            </w:pPr>
            <w:r w:rsidRPr="00F64F91">
              <w:rPr>
                <w:sz w:val="20"/>
                <w:szCs w:val="20"/>
              </w:rPr>
              <w:t>31 (6.4%)</w:t>
            </w:r>
          </w:p>
        </w:tc>
        <w:tc>
          <w:tcPr>
            <w:tcW w:w="1530" w:type="dxa"/>
            <w:tcBorders>
              <w:top w:val="nil"/>
              <w:left w:val="nil"/>
              <w:bottom w:val="nil"/>
              <w:right w:val="nil"/>
            </w:tcBorders>
            <w:shd w:val="clear" w:color="auto" w:fill="FFFFFF"/>
            <w:tcMar>
              <w:top w:w="0" w:type="dxa"/>
              <w:left w:w="0" w:type="dxa"/>
              <w:bottom w:w="0" w:type="dxa"/>
              <w:right w:w="0" w:type="dxa"/>
            </w:tcMar>
          </w:tcPr>
          <w:p w14:paraId="56631F90" w14:textId="77777777" w:rsidR="00D77A76" w:rsidRPr="00F64F91" w:rsidRDefault="00000000">
            <w:pPr>
              <w:spacing w:before="100" w:after="100"/>
              <w:ind w:left="100" w:right="100"/>
              <w:jc w:val="center"/>
              <w:rPr>
                <w:sz w:val="20"/>
                <w:szCs w:val="20"/>
              </w:rPr>
            </w:pPr>
            <w:r w:rsidRPr="00F64F91">
              <w:rPr>
                <w:sz w:val="20"/>
                <w:szCs w:val="20"/>
              </w:rPr>
              <w:t>2,428</w:t>
            </w:r>
          </w:p>
        </w:tc>
        <w:tc>
          <w:tcPr>
            <w:tcW w:w="1530" w:type="dxa"/>
            <w:tcBorders>
              <w:top w:val="nil"/>
              <w:left w:val="nil"/>
              <w:bottom w:val="nil"/>
              <w:right w:val="nil"/>
            </w:tcBorders>
            <w:shd w:val="clear" w:color="auto" w:fill="FFFFFF"/>
            <w:tcMar>
              <w:top w:w="0" w:type="dxa"/>
              <w:left w:w="0" w:type="dxa"/>
              <w:bottom w:w="0" w:type="dxa"/>
              <w:right w:w="0" w:type="dxa"/>
            </w:tcMar>
          </w:tcPr>
          <w:p w14:paraId="33BECC5A" w14:textId="77777777" w:rsidR="00D77A76" w:rsidRPr="00F64F91" w:rsidRDefault="00000000">
            <w:pPr>
              <w:spacing w:before="100" w:after="100"/>
              <w:ind w:left="100" w:right="100"/>
              <w:jc w:val="center"/>
              <w:rPr>
                <w:sz w:val="20"/>
                <w:szCs w:val="20"/>
              </w:rPr>
            </w:pPr>
            <w:r w:rsidRPr="00F64F91">
              <w:rPr>
                <w:sz w:val="20"/>
                <w:szCs w:val="20"/>
              </w:rPr>
              <w:t>2,415 (99%)</w:t>
            </w:r>
          </w:p>
        </w:tc>
        <w:tc>
          <w:tcPr>
            <w:tcW w:w="1230" w:type="dxa"/>
            <w:tcBorders>
              <w:top w:val="nil"/>
              <w:left w:val="nil"/>
              <w:bottom w:val="nil"/>
              <w:right w:val="nil"/>
            </w:tcBorders>
            <w:shd w:val="clear" w:color="auto" w:fill="FFFFFF"/>
            <w:tcMar>
              <w:top w:w="0" w:type="dxa"/>
              <w:left w:w="0" w:type="dxa"/>
              <w:bottom w:w="0" w:type="dxa"/>
              <w:right w:w="0" w:type="dxa"/>
            </w:tcMar>
          </w:tcPr>
          <w:p w14:paraId="39B267E5" w14:textId="77777777" w:rsidR="00D77A76" w:rsidRPr="00F64F91" w:rsidRDefault="00000000">
            <w:pPr>
              <w:spacing w:before="100" w:after="100"/>
              <w:ind w:left="100" w:right="100"/>
              <w:jc w:val="center"/>
              <w:rPr>
                <w:sz w:val="20"/>
                <w:szCs w:val="20"/>
              </w:rPr>
            </w:pPr>
            <w:r w:rsidRPr="00F64F91">
              <w:rPr>
                <w:sz w:val="20"/>
                <w:szCs w:val="20"/>
              </w:rPr>
              <w:t>13 (0.5%)</w:t>
            </w:r>
          </w:p>
        </w:tc>
      </w:tr>
      <w:tr w:rsidR="00D77A76" w14:paraId="0AB1E68F" w14:textId="77777777">
        <w:trPr>
          <w:trHeight w:val="800"/>
        </w:trPr>
        <w:tc>
          <w:tcPr>
            <w:tcW w:w="1275" w:type="dxa"/>
            <w:tcBorders>
              <w:top w:val="nil"/>
              <w:left w:val="nil"/>
              <w:bottom w:val="nil"/>
              <w:right w:val="nil"/>
            </w:tcBorders>
            <w:shd w:val="clear" w:color="auto" w:fill="FFFFFF"/>
            <w:tcMar>
              <w:top w:w="0" w:type="dxa"/>
              <w:left w:w="0" w:type="dxa"/>
              <w:bottom w:w="0" w:type="dxa"/>
              <w:right w:w="0" w:type="dxa"/>
            </w:tcMar>
          </w:tcPr>
          <w:p w14:paraId="57A7E2F7" w14:textId="77777777" w:rsidR="00D77A76" w:rsidRPr="00F64F91" w:rsidRDefault="00000000">
            <w:pPr>
              <w:spacing w:before="100" w:after="100"/>
              <w:ind w:left="300" w:right="100"/>
              <w:rPr>
                <w:sz w:val="20"/>
                <w:szCs w:val="20"/>
              </w:rPr>
            </w:pPr>
            <w:r w:rsidRPr="00F64F91">
              <w:rPr>
                <w:sz w:val="20"/>
                <w:szCs w:val="20"/>
              </w:rPr>
              <w:t>Omicron BA.5</w:t>
            </w:r>
          </w:p>
        </w:tc>
        <w:tc>
          <w:tcPr>
            <w:tcW w:w="1275" w:type="dxa"/>
            <w:tcBorders>
              <w:top w:val="nil"/>
              <w:left w:val="nil"/>
              <w:bottom w:val="nil"/>
              <w:right w:val="nil"/>
            </w:tcBorders>
            <w:shd w:val="clear" w:color="auto" w:fill="FFFFFF"/>
            <w:tcMar>
              <w:top w:w="0" w:type="dxa"/>
              <w:left w:w="0" w:type="dxa"/>
              <w:bottom w:w="0" w:type="dxa"/>
              <w:right w:w="0" w:type="dxa"/>
            </w:tcMar>
          </w:tcPr>
          <w:p w14:paraId="5EBB037B" w14:textId="77777777" w:rsidR="00D77A76" w:rsidRPr="00F64F91" w:rsidRDefault="00000000">
            <w:pPr>
              <w:spacing w:before="100" w:after="100"/>
              <w:ind w:left="100" w:right="100"/>
              <w:jc w:val="center"/>
              <w:rPr>
                <w:sz w:val="20"/>
                <w:szCs w:val="20"/>
              </w:rPr>
            </w:pPr>
            <w:r w:rsidRPr="00F64F91">
              <w:rPr>
                <w:sz w:val="20"/>
                <w:szCs w:val="20"/>
              </w:rPr>
              <w:t>790</w:t>
            </w:r>
          </w:p>
        </w:tc>
        <w:tc>
          <w:tcPr>
            <w:tcW w:w="1275" w:type="dxa"/>
            <w:tcBorders>
              <w:top w:val="nil"/>
              <w:left w:val="nil"/>
              <w:bottom w:val="nil"/>
              <w:right w:val="nil"/>
            </w:tcBorders>
            <w:shd w:val="clear" w:color="auto" w:fill="FFFFFF"/>
            <w:tcMar>
              <w:top w:w="0" w:type="dxa"/>
              <w:left w:w="0" w:type="dxa"/>
              <w:bottom w:w="0" w:type="dxa"/>
              <w:right w:w="0" w:type="dxa"/>
            </w:tcMar>
          </w:tcPr>
          <w:p w14:paraId="47817926" w14:textId="77777777" w:rsidR="00D77A76" w:rsidRPr="00F64F91" w:rsidRDefault="00000000">
            <w:pPr>
              <w:spacing w:before="100" w:after="100"/>
              <w:ind w:left="100" w:right="100"/>
              <w:jc w:val="center"/>
              <w:rPr>
                <w:sz w:val="20"/>
                <w:szCs w:val="20"/>
              </w:rPr>
            </w:pPr>
            <w:r w:rsidRPr="00F64F91">
              <w:rPr>
                <w:sz w:val="20"/>
                <w:szCs w:val="20"/>
              </w:rPr>
              <w:t>666 (84%)</w:t>
            </w:r>
          </w:p>
        </w:tc>
        <w:tc>
          <w:tcPr>
            <w:tcW w:w="1230" w:type="dxa"/>
            <w:tcBorders>
              <w:top w:val="nil"/>
              <w:left w:val="nil"/>
              <w:bottom w:val="nil"/>
              <w:right w:val="nil"/>
            </w:tcBorders>
            <w:shd w:val="clear" w:color="auto" w:fill="FFFFFF"/>
            <w:tcMar>
              <w:top w:w="0" w:type="dxa"/>
              <w:left w:w="0" w:type="dxa"/>
              <w:bottom w:w="0" w:type="dxa"/>
              <w:right w:w="0" w:type="dxa"/>
            </w:tcMar>
          </w:tcPr>
          <w:p w14:paraId="4D117D1F" w14:textId="77777777" w:rsidR="00D77A76" w:rsidRPr="00F64F91" w:rsidRDefault="00000000">
            <w:pPr>
              <w:spacing w:before="100" w:after="100"/>
              <w:ind w:left="100" w:right="100"/>
              <w:jc w:val="center"/>
              <w:rPr>
                <w:sz w:val="20"/>
                <w:szCs w:val="20"/>
              </w:rPr>
            </w:pPr>
            <w:r w:rsidRPr="00F64F91">
              <w:rPr>
                <w:sz w:val="20"/>
                <w:szCs w:val="20"/>
              </w:rPr>
              <w:t>124 (16%)</w:t>
            </w:r>
          </w:p>
        </w:tc>
        <w:tc>
          <w:tcPr>
            <w:tcW w:w="1515" w:type="dxa"/>
            <w:tcBorders>
              <w:top w:val="nil"/>
              <w:left w:val="nil"/>
              <w:bottom w:val="nil"/>
              <w:right w:val="nil"/>
            </w:tcBorders>
            <w:shd w:val="clear" w:color="auto" w:fill="FFFFFF"/>
            <w:tcMar>
              <w:top w:w="0" w:type="dxa"/>
              <w:left w:w="0" w:type="dxa"/>
              <w:bottom w:w="0" w:type="dxa"/>
              <w:right w:w="0" w:type="dxa"/>
            </w:tcMar>
          </w:tcPr>
          <w:p w14:paraId="32F9F1B1" w14:textId="77777777" w:rsidR="00D77A76" w:rsidRPr="00F64F91" w:rsidRDefault="00000000">
            <w:pPr>
              <w:spacing w:before="100" w:after="100"/>
              <w:ind w:left="100" w:right="100"/>
              <w:jc w:val="center"/>
              <w:rPr>
                <w:sz w:val="20"/>
                <w:szCs w:val="20"/>
              </w:rPr>
            </w:pPr>
            <w:r w:rsidRPr="00F64F91">
              <w:rPr>
                <w:sz w:val="20"/>
                <w:szCs w:val="20"/>
              </w:rPr>
              <w:t>424</w:t>
            </w:r>
          </w:p>
        </w:tc>
        <w:tc>
          <w:tcPr>
            <w:tcW w:w="1515" w:type="dxa"/>
            <w:tcBorders>
              <w:top w:val="nil"/>
              <w:left w:val="nil"/>
              <w:bottom w:val="nil"/>
              <w:right w:val="nil"/>
            </w:tcBorders>
            <w:shd w:val="clear" w:color="auto" w:fill="FFFFFF"/>
            <w:tcMar>
              <w:top w:w="0" w:type="dxa"/>
              <w:left w:w="0" w:type="dxa"/>
              <w:bottom w:w="0" w:type="dxa"/>
              <w:right w:w="0" w:type="dxa"/>
            </w:tcMar>
          </w:tcPr>
          <w:p w14:paraId="39B9EE90" w14:textId="77777777" w:rsidR="00D77A76" w:rsidRPr="00F64F91" w:rsidRDefault="00000000">
            <w:pPr>
              <w:spacing w:before="100" w:after="100"/>
              <w:ind w:left="100" w:right="100"/>
              <w:jc w:val="center"/>
              <w:rPr>
                <w:sz w:val="20"/>
                <w:szCs w:val="20"/>
              </w:rPr>
            </w:pPr>
            <w:r w:rsidRPr="00F64F91">
              <w:rPr>
                <w:sz w:val="20"/>
                <w:szCs w:val="20"/>
              </w:rPr>
              <w:t>363 (86%)</w:t>
            </w:r>
          </w:p>
        </w:tc>
        <w:tc>
          <w:tcPr>
            <w:tcW w:w="1245" w:type="dxa"/>
            <w:tcBorders>
              <w:top w:val="nil"/>
              <w:left w:val="nil"/>
              <w:bottom w:val="nil"/>
              <w:right w:val="nil"/>
            </w:tcBorders>
            <w:shd w:val="clear" w:color="auto" w:fill="FFFFFF"/>
            <w:tcMar>
              <w:top w:w="0" w:type="dxa"/>
              <w:left w:w="0" w:type="dxa"/>
              <w:bottom w:w="0" w:type="dxa"/>
              <w:right w:w="0" w:type="dxa"/>
            </w:tcMar>
          </w:tcPr>
          <w:p w14:paraId="2D01ED4B" w14:textId="77777777" w:rsidR="00D77A76" w:rsidRPr="00F64F91" w:rsidRDefault="00000000">
            <w:pPr>
              <w:spacing w:before="100" w:after="100"/>
              <w:ind w:left="100" w:right="100"/>
              <w:jc w:val="center"/>
              <w:rPr>
                <w:sz w:val="20"/>
                <w:szCs w:val="20"/>
              </w:rPr>
            </w:pPr>
            <w:r w:rsidRPr="00F64F91">
              <w:rPr>
                <w:sz w:val="20"/>
                <w:szCs w:val="20"/>
              </w:rPr>
              <w:t>61 (14%)</w:t>
            </w:r>
          </w:p>
        </w:tc>
        <w:tc>
          <w:tcPr>
            <w:tcW w:w="1530" w:type="dxa"/>
            <w:tcBorders>
              <w:top w:val="nil"/>
              <w:left w:val="nil"/>
              <w:bottom w:val="nil"/>
              <w:right w:val="nil"/>
            </w:tcBorders>
            <w:shd w:val="clear" w:color="auto" w:fill="FFFFFF"/>
            <w:tcMar>
              <w:top w:w="0" w:type="dxa"/>
              <w:left w:w="0" w:type="dxa"/>
              <w:bottom w:w="0" w:type="dxa"/>
              <w:right w:w="0" w:type="dxa"/>
            </w:tcMar>
          </w:tcPr>
          <w:p w14:paraId="3DF92E10" w14:textId="77777777" w:rsidR="00D77A76" w:rsidRPr="00F64F91" w:rsidRDefault="00000000">
            <w:pPr>
              <w:spacing w:before="100" w:after="100"/>
              <w:ind w:left="100" w:right="100"/>
              <w:jc w:val="center"/>
              <w:rPr>
                <w:sz w:val="20"/>
                <w:szCs w:val="20"/>
              </w:rPr>
            </w:pPr>
            <w:r w:rsidRPr="00F64F91">
              <w:rPr>
                <w:sz w:val="20"/>
                <w:szCs w:val="20"/>
              </w:rPr>
              <w:t>2,532</w:t>
            </w:r>
          </w:p>
        </w:tc>
        <w:tc>
          <w:tcPr>
            <w:tcW w:w="1530" w:type="dxa"/>
            <w:tcBorders>
              <w:top w:val="nil"/>
              <w:left w:val="nil"/>
              <w:bottom w:val="nil"/>
              <w:right w:val="nil"/>
            </w:tcBorders>
            <w:shd w:val="clear" w:color="auto" w:fill="FFFFFF"/>
            <w:tcMar>
              <w:top w:w="0" w:type="dxa"/>
              <w:left w:w="0" w:type="dxa"/>
              <w:bottom w:w="0" w:type="dxa"/>
              <w:right w:w="0" w:type="dxa"/>
            </w:tcMar>
          </w:tcPr>
          <w:p w14:paraId="1B68F129" w14:textId="77777777" w:rsidR="00D77A76" w:rsidRPr="00F64F91" w:rsidRDefault="00000000">
            <w:pPr>
              <w:spacing w:before="100" w:after="100"/>
              <w:ind w:left="100" w:right="100"/>
              <w:jc w:val="center"/>
              <w:rPr>
                <w:sz w:val="20"/>
                <w:szCs w:val="20"/>
              </w:rPr>
            </w:pPr>
            <w:r w:rsidRPr="00F64F91">
              <w:rPr>
                <w:sz w:val="20"/>
                <w:szCs w:val="20"/>
              </w:rPr>
              <w:t>2,495 (99%)</w:t>
            </w:r>
          </w:p>
        </w:tc>
        <w:tc>
          <w:tcPr>
            <w:tcW w:w="1230" w:type="dxa"/>
            <w:tcBorders>
              <w:top w:val="nil"/>
              <w:left w:val="nil"/>
              <w:bottom w:val="nil"/>
              <w:right w:val="nil"/>
            </w:tcBorders>
            <w:shd w:val="clear" w:color="auto" w:fill="FFFFFF"/>
            <w:tcMar>
              <w:top w:w="0" w:type="dxa"/>
              <w:left w:w="0" w:type="dxa"/>
              <w:bottom w:w="0" w:type="dxa"/>
              <w:right w:w="0" w:type="dxa"/>
            </w:tcMar>
          </w:tcPr>
          <w:p w14:paraId="23F8611A" w14:textId="77777777" w:rsidR="00D77A76" w:rsidRPr="00F64F91" w:rsidRDefault="00000000">
            <w:pPr>
              <w:spacing w:before="100" w:after="100"/>
              <w:ind w:left="100" w:right="100"/>
              <w:jc w:val="center"/>
              <w:rPr>
                <w:sz w:val="20"/>
                <w:szCs w:val="20"/>
              </w:rPr>
            </w:pPr>
            <w:r w:rsidRPr="00F64F91">
              <w:rPr>
                <w:sz w:val="20"/>
                <w:szCs w:val="20"/>
              </w:rPr>
              <w:t>37 (1.5%)</w:t>
            </w:r>
          </w:p>
        </w:tc>
      </w:tr>
      <w:tr w:rsidR="00D77A76" w14:paraId="521A320B" w14:textId="77777777">
        <w:trPr>
          <w:trHeight w:val="841"/>
        </w:trPr>
        <w:tc>
          <w:tcPr>
            <w:tcW w:w="1275" w:type="dxa"/>
            <w:tcBorders>
              <w:top w:val="nil"/>
              <w:left w:val="nil"/>
              <w:bottom w:val="single" w:sz="6" w:space="0" w:color="000000"/>
              <w:right w:val="nil"/>
            </w:tcBorders>
            <w:shd w:val="clear" w:color="auto" w:fill="FFFFFF"/>
            <w:tcMar>
              <w:top w:w="0" w:type="dxa"/>
              <w:left w:w="0" w:type="dxa"/>
              <w:bottom w:w="0" w:type="dxa"/>
              <w:right w:w="0" w:type="dxa"/>
            </w:tcMar>
          </w:tcPr>
          <w:p w14:paraId="65E6B3B2" w14:textId="77777777" w:rsidR="00D77A76" w:rsidRPr="00F64F91" w:rsidRDefault="00000000">
            <w:pPr>
              <w:spacing w:before="100" w:after="100"/>
              <w:ind w:left="300" w:right="100"/>
              <w:rPr>
                <w:sz w:val="20"/>
                <w:szCs w:val="20"/>
              </w:rPr>
            </w:pPr>
            <w:r w:rsidRPr="00F64F91">
              <w:rPr>
                <w:sz w:val="20"/>
                <w:szCs w:val="20"/>
              </w:rPr>
              <w:t>Omicron Other</w:t>
            </w:r>
          </w:p>
        </w:tc>
        <w:tc>
          <w:tcPr>
            <w:tcW w:w="1275" w:type="dxa"/>
            <w:tcBorders>
              <w:top w:val="nil"/>
              <w:left w:val="nil"/>
              <w:bottom w:val="single" w:sz="6" w:space="0" w:color="000000"/>
              <w:right w:val="nil"/>
            </w:tcBorders>
            <w:shd w:val="clear" w:color="auto" w:fill="FFFFFF"/>
            <w:tcMar>
              <w:top w:w="0" w:type="dxa"/>
              <w:left w:w="0" w:type="dxa"/>
              <w:bottom w:w="0" w:type="dxa"/>
              <w:right w:w="0" w:type="dxa"/>
            </w:tcMar>
          </w:tcPr>
          <w:p w14:paraId="5E8892E5" w14:textId="77777777" w:rsidR="00D77A76" w:rsidRPr="00F64F91" w:rsidRDefault="00000000">
            <w:pPr>
              <w:spacing w:before="100" w:after="100"/>
              <w:ind w:left="100" w:right="100"/>
              <w:jc w:val="center"/>
              <w:rPr>
                <w:sz w:val="20"/>
                <w:szCs w:val="20"/>
              </w:rPr>
            </w:pPr>
            <w:r w:rsidRPr="00F64F91">
              <w:rPr>
                <w:sz w:val="20"/>
                <w:szCs w:val="20"/>
              </w:rPr>
              <w:t>289</w:t>
            </w:r>
          </w:p>
        </w:tc>
        <w:tc>
          <w:tcPr>
            <w:tcW w:w="1275" w:type="dxa"/>
            <w:tcBorders>
              <w:top w:val="nil"/>
              <w:left w:val="nil"/>
              <w:bottom w:val="single" w:sz="6" w:space="0" w:color="000000"/>
              <w:right w:val="nil"/>
            </w:tcBorders>
            <w:shd w:val="clear" w:color="auto" w:fill="FFFFFF"/>
            <w:tcMar>
              <w:top w:w="0" w:type="dxa"/>
              <w:left w:w="0" w:type="dxa"/>
              <w:bottom w:w="0" w:type="dxa"/>
              <w:right w:w="0" w:type="dxa"/>
            </w:tcMar>
          </w:tcPr>
          <w:p w14:paraId="38785639" w14:textId="77777777" w:rsidR="00D77A76" w:rsidRPr="00F64F91" w:rsidRDefault="00000000">
            <w:pPr>
              <w:spacing w:before="100" w:after="100"/>
              <w:ind w:left="100" w:right="100"/>
              <w:jc w:val="center"/>
              <w:rPr>
                <w:sz w:val="20"/>
                <w:szCs w:val="20"/>
              </w:rPr>
            </w:pPr>
            <w:r w:rsidRPr="00F64F91">
              <w:rPr>
                <w:sz w:val="20"/>
                <w:szCs w:val="20"/>
              </w:rPr>
              <w:t>240 (83%)</w:t>
            </w:r>
          </w:p>
        </w:tc>
        <w:tc>
          <w:tcPr>
            <w:tcW w:w="1230" w:type="dxa"/>
            <w:tcBorders>
              <w:top w:val="nil"/>
              <w:left w:val="nil"/>
              <w:bottom w:val="single" w:sz="6" w:space="0" w:color="000000"/>
              <w:right w:val="nil"/>
            </w:tcBorders>
            <w:shd w:val="clear" w:color="auto" w:fill="FFFFFF"/>
            <w:tcMar>
              <w:top w:w="0" w:type="dxa"/>
              <w:left w:w="0" w:type="dxa"/>
              <w:bottom w:w="0" w:type="dxa"/>
              <w:right w:w="0" w:type="dxa"/>
            </w:tcMar>
          </w:tcPr>
          <w:p w14:paraId="7B90AC49" w14:textId="77777777" w:rsidR="00D77A76" w:rsidRPr="00F64F91" w:rsidRDefault="00000000">
            <w:pPr>
              <w:spacing w:before="100" w:after="100"/>
              <w:ind w:left="100" w:right="100"/>
              <w:jc w:val="center"/>
              <w:rPr>
                <w:sz w:val="20"/>
                <w:szCs w:val="20"/>
              </w:rPr>
            </w:pPr>
            <w:r w:rsidRPr="00F64F91">
              <w:rPr>
                <w:sz w:val="20"/>
                <w:szCs w:val="20"/>
              </w:rPr>
              <w:t>49 (17%)</w:t>
            </w:r>
          </w:p>
        </w:tc>
        <w:tc>
          <w:tcPr>
            <w:tcW w:w="1515" w:type="dxa"/>
            <w:tcBorders>
              <w:top w:val="nil"/>
              <w:left w:val="nil"/>
              <w:bottom w:val="single" w:sz="6" w:space="0" w:color="000000"/>
              <w:right w:val="nil"/>
            </w:tcBorders>
            <w:shd w:val="clear" w:color="auto" w:fill="FFFFFF"/>
            <w:tcMar>
              <w:top w:w="0" w:type="dxa"/>
              <w:left w:w="0" w:type="dxa"/>
              <w:bottom w:w="0" w:type="dxa"/>
              <w:right w:w="0" w:type="dxa"/>
            </w:tcMar>
          </w:tcPr>
          <w:p w14:paraId="782E55B7" w14:textId="77777777" w:rsidR="00D77A76" w:rsidRPr="00F64F91" w:rsidRDefault="00000000">
            <w:pPr>
              <w:spacing w:before="100" w:after="100"/>
              <w:ind w:left="100" w:right="100"/>
              <w:jc w:val="center"/>
              <w:rPr>
                <w:sz w:val="20"/>
                <w:szCs w:val="20"/>
              </w:rPr>
            </w:pPr>
            <w:r w:rsidRPr="00F64F91">
              <w:rPr>
                <w:sz w:val="20"/>
                <w:szCs w:val="20"/>
              </w:rPr>
              <w:t>125</w:t>
            </w:r>
          </w:p>
        </w:tc>
        <w:tc>
          <w:tcPr>
            <w:tcW w:w="1515" w:type="dxa"/>
            <w:tcBorders>
              <w:top w:val="nil"/>
              <w:left w:val="nil"/>
              <w:bottom w:val="single" w:sz="6" w:space="0" w:color="000000"/>
              <w:right w:val="nil"/>
            </w:tcBorders>
            <w:shd w:val="clear" w:color="auto" w:fill="FFFFFF"/>
            <w:tcMar>
              <w:top w:w="0" w:type="dxa"/>
              <w:left w:w="0" w:type="dxa"/>
              <w:bottom w:w="0" w:type="dxa"/>
              <w:right w:w="0" w:type="dxa"/>
            </w:tcMar>
          </w:tcPr>
          <w:p w14:paraId="249B4E95" w14:textId="77777777" w:rsidR="00D77A76" w:rsidRPr="00F64F91" w:rsidRDefault="00000000">
            <w:pPr>
              <w:spacing w:before="100" w:after="100"/>
              <w:ind w:left="100" w:right="100"/>
              <w:jc w:val="center"/>
              <w:rPr>
                <w:sz w:val="20"/>
                <w:szCs w:val="20"/>
              </w:rPr>
            </w:pPr>
            <w:r w:rsidRPr="00F64F91">
              <w:rPr>
                <w:sz w:val="20"/>
                <w:szCs w:val="20"/>
              </w:rPr>
              <w:t>93 (74%)</w:t>
            </w:r>
          </w:p>
        </w:tc>
        <w:tc>
          <w:tcPr>
            <w:tcW w:w="1245" w:type="dxa"/>
            <w:tcBorders>
              <w:top w:val="nil"/>
              <w:left w:val="nil"/>
              <w:bottom w:val="single" w:sz="6" w:space="0" w:color="000000"/>
              <w:right w:val="nil"/>
            </w:tcBorders>
            <w:shd w:val="clear" w:color="auto" w:fill="FFFFFF"/>
            <w:tcMar>
              <w:top w:w="0" w:type="dxa"/>
              <w:left w:w="0" w:type="dxa"/>
              <w:bottom w:w="0" w:type="dxa"/>
              <w:right w:w="0" w:type="dxa"/>
            </w:tcMar>
          </w:tcPr>
          <w:p w14:paraId="752282C4" w14:textId="77777777" w:rsidR="00D77A76" w:rsidRPr="00F64F91" w:rsidRDefault="00000000">
            <w:pPr>
              <w:spacing w:before="100" w:after="100"/>
              <w:ind w:left="100" w:right="100"/>
              <w:jc w:val="center"/>
              <w:rPr>
                <w:sz w:val="20"/>
                <w:szCs w:val="20"/>
              </w:rPr>
            </w:pPr>
            <w:r w:rsidRPr="00F64F91">
              <w:rPr>
                <w:sz w:val="20"/>
                <w:szCs w:val="20"/>
              </w:rPr>
              <w:t>32 (26%)</w:t>
            </w:r>
          </w:p>
        </w:tc>
        <w:tc>
          <w:tcPr>
            <w:tcW w:w="1530" w:type="dxa"/>
            <w:tcBorders>
              <w:top w:val="nil"/>
              <w:left w:val="nil"/>
              <w:bottom w:val="single" w:sz="6" w:space="0" w:color="000000"/>
              <w:right w:val="nil"/>
            </w:tcBorders>
            <w:shd w:val="clear" w:color="auto" w:fill="FFFFFF"/>
            <w:tcMar>
              <w:top w:w="0" w:type="dxa"/>
              <w:left w:w="0" w:type="dxa"/>
              <w:bottom w:w="0" w:type="dxa"/>
              <w:right w:w="0" w:type="dxa"/>
            </w:tcMar>
          </w:tcPr>
          <w:p w14:paraId="47FF94D6" w14:textId="77777777" w:rsidR="00D77A76" w:rsidRPr="00F64F91" w:rsidRDefault="00000000">
            <w:pPr>
              <w:spacing w:before="100" w:after="100"/>
              <w:ind w:left="100" w:right="100"/>
              <w:jc w:val="center"/>
              <w:rPr>
                <w:sz w:val="20"/>
                <w:szCs w:val="20"/>
              </w:rPr>
            </w:pPr>
            <w:r w:rsidRPr="00F64F91">
              <w:rPr>
                <w:sz w:val="20"/>
                <w:szCs w:val="20"/>
              </w:rPr>
              <w:t>2,662</w:t>
            </w:r>
          </w:p>
        </w:tc>
        <w:tc>
          <w:tcPr>
            <w:tcW w:w="1530" w:type="dxa"/>
            <w:tcBorders>
              <w:top w:val="nil"/>
              <w:left w:val="nil"/>
              <w:bottom w:val="single" w:sz="6" w:space="0" w:color="000000"/>
              <w:right w:val="nil"/>
            </w:tcBorders>
            <w:shd w:val="clear" w:color="auto" w:fill="FFFFFF"/>
            <w:tcMar>
              <w:top w:w="0" w:type="dxa"/>
              <w:left w:w="0" w:type="dxa"/>
              <w:bottom w:w="0" w:type="dxa"/>
              <w:right w:w="0" w:type="dxa"/>
            </w:tcMar>
          </w:tcPr>
          <w:p w14:paraId="32FDA47E" w14:textId="77777777" w:rsidR="00D77A76" w:rsidRPr="00F64F91" w:rsidRDefault="00000000">
            <w:pPr>
              <w:spacing w:before="100" w:after="100"/>
              <w:ind w:left="100" w:right="100"/>
              <w:jc w:val="center"/>
              <w:rPr>
                <w:sz w:val="20"/>
                <w:szCs w:val="20"/>
              </w:rPr>
            </w:pPr>
            <w:r w:rsidRPr="00F64F91">
              <w:rPr>
                <w:sz w:val="20"/>
                <w:szCs w:val="20"/>
              </w:rPr>
              <w:t>2,641 (99%)</w:t>
            </w:r>
          </w:p>
        </w:tc>
        <w:tc>
          <w:tcPr>
            <w:tcW w:w="1230" w:type="dxa"/>
            <w:tcBorders>
              <w:top w:val="nil"/>
              <w:left w:val="nil"/>
              <w:bottom w:val="single" w:sz="6" w:space="0" w:color="000000"/>
              <w:right w:val="nil"/>
            </w:tcBorders>
            <w:shd w:val="clear" w:color="auto" w:fill="FFFFFF"/>
            <w:tcMar>
              <w:top w:w="0" w:type="dxa"/>
              <w:left w:w="0" w:type="dxa"/>
              <w:bottom w:w="0" w:type="dxa"/>
              <w:right w:w="0" w:type="dxa"/>
            </w:tcMar>
          </w:tcPr>
          <w:p w14:paraId="479C4BF1" w14:textId="77777777" w:rsidR="00D77A76" w:rsidRPr="00F64F91" w:rsidRDefault="00000000">
            <w:pPr>
              <w:spacing w:before="100" w:after="100"/>
              <w:ind w:left="100" w:right="100"/>
              <w:jc w:val="center"/>
              <w:rPr>
                <w:sz w:val="20"/>
                <w:szCs w:val="20"/>
              </w:rPr>
            </w:pPr>
            <w:r w:rsidRPr="00F64F91">
              <w:rPr>
                <w:sz w:val="20"/>
                <w:szCs w:val="20"/>
              </w:rPr>
              <w:t>21 (0.8%)</w:t>
            </w:r>
          </w:p>
        </w:tc>
      </w:tr>
    </w:tbl>
    <w:p w14:paraId="51FEB380" w14:textId="77777777" w:rsidR="00D77A76" w:rsidRDefault="00000000">
      <w:pPr>
        <w:spacing w:before="100" w:after="100"/>
        <w:ind w:left="100" w:right="100"/>
        <w:rPr>
          <w:b/>
          <w:sz w:val="20"/>
          <w:szCs w:val="20"/>
        </w:rPr>
      </w:pPr>
      <w:r>
        <w:rPr>
          <w:sz w:val="20"/>
          <w:szCs w:val="20"/>
        </w:rPr>
        <w:t xml:space="preserve">1 </w:t>
      </w:r>
      <w:r>
        <w:rPr>
          <w:i/>
          <w:sz w:val="20"/>
          <w:szCs w:val="20"/>
        </w:rPr>
        <w:t>n</w:t>
      </w:r>
      <w:r>
        <w:rPr>
          <w:sz w:val="20"/>
          <w:szCs w:val="20"/>
        </w:rPr>
        <w:t xml:space="preserve"> (row %)</w:t>
      </w:r>
    </w:p>
    <w:p w14:paraId="333917BB" w14:textId="77777777" w:rsidR="00D77A76" w:rsidRDefault="00000000">
      <w:pPr>
        <w:rPr>
          <w:sz w:val="20"/>
          <w:szCs w:val="20"/>
        </w:rPr>
      </w:pPr>
      <w:r>
        <w:rPr>
          <w:b/>
          <w:sz w:val="20"/>
          <w:szCs w:val="20"/>
        </w:rPr>
        <w:t xml:space="preserve">Note: </w:t>
      </w:r>
      <w:r>
        <w:rPr>
          <w:sz w:val="20"/>
          <w:szCs w:val="20"/>
        </w:rPr>
        <w:t xml:space="preserve"> Participants in the ‘Other ARI’ and ‘No Infection’ groups could be included across multiple variant periods and participants’ infection status and consequently inclusion could change between variant periods; thus, total </w:t>
      </w:r>
      <w:r>
        <w:rPr>
          <w:i/>
          <w:sz w:val="20"/>
          <w:szCs w:val="20"/>
        </w:rPr>
        <w:t>n</w:t>
      </w:r>
      <w:r>
        <w:rPr>
          <w:sz w:val="20"/>
          <w:szCs w:val="20"/>
        </w:rPr>
        <w:t>s for all variant periods vary</w:t>
      </w:r>
    </w:p>
    <w:p w14:paraId="30503FCB" w14:textId="77777777" w:rsidR="00D77A76" w:rsidRDefault="00D77A76">
      <w:pPr>
        <w:rPr>
          <w:sz w:val="20"/>
          <w:szCs w:val="20"/>
        </w:rPr>
        <w:sectPr w:rsidR="00D77A76" w:rsidSect="00581B7C">
          <w:pgSz w:w="16834" w:h="11909" w:orient="landscape"/>
          <w:pgMar w:top="1440" w:right="1440" w:bottom="1440" w:left="1440" w:header="720" w:footer="720" w:gutter="0"/>
          <w:cols w:space="720"/>
        </w:sectPr>
      </w:pPr>
    </w:p>
    <w:p w14:paraId="11AC26F1" w14:textId="77777777" w:rsidR="00D77A76" w:rsidRDefault="00000000">
      <w:pPr>
        <w:rPr>
          <w:b/>
        </w:rPr>
      </w:pPr>
      <w:r>
        <w:rPr>
          <w:b/>
        </w:rPr>
        <w:lastRenderedPageBreak/>
        <w:t>Supplementary Table S3. Odds Ratios for New-Onset Long-Term Symptoms by Variant Period and Infection Status (</w:t>
      </w:r>
      <w:r>
        <w:rPr>
          <w:b/>
          <w:i/>
        </w:rPr>
        <w:t>n</w:t>
      </w:r>
      <w:r>
        <w:rPr>
          <w:b/>
        </w:rPr>
        <w:t>=5,630)</w:t>
      </w:r>
    </w:p>
    <w:p w14:paraId="145E9703" w14:textId="77777777" w:rsidR="00D77A76" w:rsidRDefault="00D77A76">
      <w:pPr>
        <w:rPr>
          <w:b/>
        </w:rPr>
      </w:pPr>
    </w:p>
    <w:p w14:paraId="0BD40F0E" w14:textId="77777777" w:rsidR="00D77A76" w:rsidRDefault="00D77A76">
      <w:pPr>
        <w:rPr>
          <w:b/>
        </w:rPr>
      </w:pPr>
    </w:p>
    <w:tbl>
      <w:tblPr>
        <w:tblStyle w:val="a4"/>
        <w:tblW w:w="9330" w:type="dxa"/>
        <w:tblBorders>
          <w:top w:val="nil"/>
          <w:left w:val="nil"/>
          <w:bottom w:val="nil"/>
          <w:right w:val="nil"/>
          <w:insideH w:val="nil"/>
          <w:insideV w:val="nil"/>
        </w:tblBorders>
        <w:tblLayout w:type="fixed"/>
        <w:tblLook w:val="0600" w:firstRow="0" w:lastRow="0" w:firstColumn="0" w:lastColumn="0" w:noHBand="1" w:noVBand="1"/>
      </w:tblPr>
      <w:tblGrid>
        <w:gridCol w:w="2235"/>
        <w:gridCol w:w="2235"/>
        <w:gridCol w:w="2235"/>
        <w:gridCol w:w="2625"/>
      </w:tblGrid>
      <w:tr w:rsidR="00D77A76" w14:paraId="50C25B7F" w14:textId="77777777">
        <w:trPr>
          <w:trHeight w:val="540"/>
        </w:trPr>
        <w:tc>
          <w:tcPr>
            <w:tcW w:w="2235" w:type="dxa"/>
            <w:vMerge w:val="restart"/>
            <w:tcBorders>
              <w:top w:val="single" w:sz="7" w:space="0" w:color="000000"/>
              <w:left w:val="nil"/>
              <w:bottom w:val="nil"/>
              <w:right w:val="nil"/>
            </w:tcBorders>
            <w:tcMar>
              <w:top w:w="0" w:type="dxa"/>
              <w:left w:w="100" w:type="dxa"/>
              <w:bottom w:w="0" w:type="dxa"/>
              <w:right w:w="100" w:type="dxa"/>
            </w:tcMar>
            <w:vAlign w:val="bottom"/>
          </w:tcPr>
          <w:p w14:paraId="61525211" w14:textId="77777777" w:rsidR="00D77A76" w:rsidRPr="00F64F91" w:rsidRDefault="00000000">
            <w:pPr>
              <w:spacing w:before="240"/>
              <w:rPr>
                <w:b/>
                <w:sz w:val="20"/>
                <w:szCs w:val="20"/>
              </w:rPr>
            </w:pPr>
            <w:r w:rsidRPr="00F64F91">
              <w:rPr>
                <w:b/>
                <w:sz w:val="20"/>
                <w:szCs w:val="20"/>
              </w:rPr>
              <w:t>Variant Period</w:t>
            </w:r>
          </w:p>
          <w:p w14:paraId="2E23490B" w14:textId="77777777" w:rsidR="00D77A76" w:rsidRPr="00F64F91" w:rsidRDefault="00000000">
            <w:pPr>
              <w:spacing w:before="240"/>
              <w:rPr>
                <w:b/>
                <w:sz w:val="20"/>
                <w:szCs w:val="20"/>
              </w:rPr>
            </w:pPr>
            <w:r w:rsidRPr="00F64F91">
              <w:rPr>
                <w:b/>
                <w:sz w:val="20"/>
                <w:szCs w:val="20"/>
              </w:rPr>
              <w:t xml:space="preserve"> </w:t>
            </w:r>
          </w:p>
        </w:tc>
        <w:tc>
          <w:tcPr>
            <w:tcW w:w="7095" w:type="dxa"/>
            <w:gridSpan w:val="3"/>
            <w:tcBorders>
              <w:top w:val="single" w:sz="7" w:space="0" w:color="000000"/>
              <w:left w:val="nil"/>
              <w:bottom w:val="nil"/>
              <w:right w:val="nil"/>
            </w:tcBorders>
            <w:shd w:val="clear" w:color="auto" w:fill="auto"/>
            <w:tcMar>
              <w:top w:w="0" w:type="dxa"/>
              <w:left w:w="100" w:type="dxa"/>
              <w:bottom w:w="0" w:type="dxa"/>
              <w:right w:w="100" w:type="dxa"/>
            </w:tcMar>
          </w:tcPr>
          <w:p w14:paraId="1AB5EFEF" w14:textId="77777777" w:rsidR="00D77A76" w:rsidRPr="00F64F91" w:rsidRDefault="00000000">
            <w:pPr>
              <w:spacing w:before="240"/>
              <w:jc w:val="center"/>
              <w:rPr>
                <w:b/>
                <w:sz w:val="20"/>
                <w:szCs w:val="20"/>
              </w:rPr>
            </w:pPr>
            <w:r w:rsidRPr="00F64F91">
              <w:rPr>
                <w:b/>
                <w:sz w:val="20"/>
                <w:szCs w:val="20"/>
              </w:rPr>
              <w:t>Infection Status</w:t>
            </w:r>
          </w:p>
        </w:tc>
      </w:tr>
      <w:tr w:rsidR="00D77A76" w14:paraId="1317F60E" w14:textId="77777777">
        <w:trPr>
          <w:trHeight w:val="540"/>
        </w:trPr>
        <w:tc>
          <w:tcPr>
            <w:tcW w:w="2235" w:type="dxa"/>
            <w:vMerge/>
            <w:tcBorders>
              <w:top w:val="nil"/>
              <w:left w:val="nil"/>
              <w:bottom w:val="single" w:sz="7" w:space="0" w:color="000000"/>
              <w:right w:val="nil"/>
            </w:tcBorders>
            <w:shd w:val="clear" w:color="auto" w:fill="auto"/>
            <w:tcMar>
              <w:top w:w="0" w:type="dxa"/>
              <w:left w:w="100" w:type="dxa"/>
              <w:bottom w:w="0" w:type="dxa"/>
              <w:right w:w="100" w:type="dxa"/>
            </w:tcMar>
            <w:vAlign w:val="bottom"/>
          </w:tcPr>
          <w:p w14:paraId="4B3CEF67" w14:textId="77777777" w:rsidR="00D77A76" w:rsidRPr="00F64F91" w:rsidRDefault="00D77A76">
            <w:pPr>
              <w:spacing w:line="240" w:lineRule="auto"/>
              <w:rPr>
                <w:b/>
                <w:sz w:val="20"/>
                <w:szCs w:val="20"/>
              </w:rPr>
            </w:pPr>
          </w:p>
        </w:tc>
        <w:tc>
          <w:tcPr>
            <w:tcW w:w="2235" w:type="dxa"/>
            <w:tcBorders>
              <w:top w:val="nil"/>
              <w:left w:val="nil"/>
              <w:bottom w:val="single" w:sz="7" w:space="0" w:color="000000"/>
              <w:right w:val="nil"/>
            </w:tcBorders>
            <w:shd w:val="clear" w:color="auto" w:fill="auto"/>
            <w:tcMar>
              <w:top w:w="0" w:type="dxa"/>
              <w:left w:w="100" w:type="dxa"/>
              <w:bottom w:w="0" w:type="dxa"/>
              <w:right w:w="100" w:type="dxa"/>
            </w:tcMar>
          </w:tcPr>
          <w:p w14:paraId="7BB91B34" w14:textId="77777777" w:rsidR="00D77A76" w:rsidRPr="00F64F91" w:rsidRDefault="00000000">
            <w:pPr>
              <w:spacing w:before="240"/>
              <w:jc w:val="center"/>
              <w:rPr>
                <w:b/>
                <w:sz w:val="20"/>
                <w:szCs w:val="20"/>
              </w:rPr>
            </w:pPr>
            <w:r w:rsidRPr="00F64F91">
              <w:rPr>
                <w:b/>
                <w:sz w:val="20"/>
                <w:szCs w:val="20"/>
              </w:rPr>
              <w:t>SARS-CoV-2</w:t>
            </w:r>
          </w:p>
        </w:tc>
        <w:tc>
          <w:tcPr>
            <w:tcW w:w="2235" w:type="dxa"/>
            <w:tcBorders>
              <w:top w:val="nil"/>
              <w:left w:val="nil"/>
              <w:bottom w:val="single" w:sz="7" w:space="0" w:color="000000"/>
              <w:right w:val="nil"/>
            </w:tcBorders>
            <w:shd w:val="clear" w:color="auto" w:fill="auto"/>
            <w:tcMar>
              <w:top w:w="0" w:type="dxa"/>
              <w:left w:w="100" w:type="dxa"/>
              <w:bottom w:w="0" w:type="dxa"/>
              <w:right w:w="100" w:type="dxa"/>
            </w:tcMar>
          </w:tcPr>
          <w:p w14:paraId="0755A376" w14:textId="77777777" w:rsidR="00D77A76" w:rsidRPr="00F64F91" w:rsidRDefault="00000000">
            <w:pPr>
              <w:spacing w:before="240"/>
              <w:jc w:val="center"/>
              <w:rPr>
                <w:b/>
                <w:sz w:val="20"/>
                <w:szCs w:val="20"/>
              </w:rPr>
            </w:pPr>
            <w:r w:rsidRPr="00F64F91">
              <w:rPr>
                <w:b/>
                <w:sz w:val="20"/>
                <w:szCs w:val="20"/>
              </w:rPr>
              <w:t>Other ARI</w:t>
            </w:r>
          </w:p>
        </w:tc>
        <w:tc>
          <w:tcPr>
            <w:tcW w:w="2625" w:type="dxa"/>
            <w:tcBorders>
              <w:top w:val="nil"/>
              <w:left w:val="nil"/>
              <w:bottom w:val="single" w:sz="7" w:space="0" w:color="000000"/>
              <w:right w:val="nil"/>
            </w:tcBorders>
            <w:shd w:val="clear" w:color="auto" w:fill="auto"/>
            <w:tcMar>
              <w:top w:w="0" w:type="dxa"/>
              <w:left w:w="100" w:type="dxa"/>
              <w:bottom w:w="0" w:type="dxa"/>
              <w:right w:w="100" w:type="dxa"/>
            </w:tcMar>
          </w:tcPr>
          <w:p w14:paraId="7B6CAC39" w14:textId="77777777" w:rsidR="00D77A76" w:rsidRPr="00F64F91" w:rsidRDefault="00000000">
            <w:pPr>
              <w:spacing w:before="240"/>
              <w:jc w:val="center"/>
              <w:rPr>
                <w:b/>
                <w:sz w:val="20"/>
                <w:szCs w:val="20"/>
              </w:rPr>
            </w:pPr>
            <w:r w:rsidRPr="00F64F91">
              <w:rPr>
                <w:b/>
                <w:sz w:val="20"/>
                <w:szCs w:val="20"/>
              </w:rPr>
              <w:t>No Infection</w:t>
            </w:r>
          </w:p>
        </w:tc>
      </w:tr>
      <w:tr w:rsidR="00D77A76" w14:paraId="766C577F" w14:textId="77777777">
        <w:trPr>
          <w:trHeight w:val="540"/>
        </w:trPr>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19472791" w14:textId="77777777" w:rsidR="00D77A76" w:rsidRPr="00F64F91" w:rsidRDefault="00000000">
            <w:pPr>
              <w:spacing w:before="240"/>
              <w:rPr>
                <w:sz w:val="20"/>
                <w:szCs w:val="20"/>
              </w:rPr>
            </w:pPr>
            <w:r w:rsidRPr="00F64F91">
              <w:rPr>
                <w:sz w:val="20"/>
                <w:szCs w:val="20"/>
              </w:rPr>
              <w:t>Wild Type</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59C5AD28" w14:textId="77777777" w:rsidR="00D77A76" w:rsidRPr="00F64F91" w:rsidRDefault="00000000">
            <w:pPr>
              <w:spacing w:before="240"/>
              <w:jc w:val="center"/>
              <w:rPr>
                <w:sz w:val="20"/>
                <w:szCs w:val="20"/>
              </w:rPr>
            </w:pPr>
            <w:r w:rsidRPr="00F64F91">
              <w:rPr>
                <w:sz w:val="20"/>
                <w:szCs w:val="20"/>
              </w:rPr>
              <w:t>2.78 (1.12,6.92)</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0F90BC50" w14:textId="77777777" w:rsidR="00D77A76" w:rsidRPr="00F64F91" w:rsidRDefault="00000000">
            <w:pPr>
              <w:spacing w:before="240"/>
              <w:jc w:val="center"/>
              <w:rPr>
                <w:sz w:val="20"/>
                <w:szCs w:val="20"/>
              </w:rPr>
            </w:pPr>
            <w:r w:rsidRPr="00F64F91">
              <w:rPr>
                <w:sz w:val="20"/>
                <w:szCs w:val="20"/>
              </w:rPr>
              <w:t>1.52 (0.41,5.63)</w:t>
            </w:r>
          </w:p>
        </w:tc>
        <w:tc>
          <w:tcPr>
            <w:tcW w:w="2625" w:type="dxa"/>
            <w:tcBorders>
              <w:top w:val="nil"/>
              <w:left w:val="nil"/>
              <w:bottom w:val="nil"/>
              <w:right w:val="nil"/>
            </w:tcBorders>
            <w:shd w:val="clear" w:color="auto" w:fill="auto"/>
            <w:tcMar>
              <w:top w:w="0" w:type="dxa"/>
              <w:left w:w="100" w:type="dxa"/>
              <w:bottom w:w="0" w:type="dxa"/>
              <w:right w:w="100" w:type="dxa"/>
            </w:tcMar>
            <w:vAlign w:val="bottom"/>
          </w:tcPr>
          <w:p w14:paraId="3E95084D" w14:textId="77777777" w:rsidR="00D77A76" w:rsidRPr="00F64F91" w:rsidRDefault="00000000">
            <w:pPr>
              <w:spacing w:before="240"/>
              <w:jc w:val="center"/>
              <w:rPr>
                <w:sz w:val="20"/>
                <w:szCs w:val="20"/>
              </w:rPr>
            </w:pPr>
            <w:r w:rsidRPr="00F64F91">
              <w:rPr>
                <w:sz w:val="20"/>
                <w:szCs w:val="20"/>
              </w:rPr>
              <w:t>1.56 (0.41,5.94)</w:t>
            </w:r>
          </w:p>
        </w:tc>
      </w:tr>
      <w:tr w:rsidR="00D77A76" w14:paraId="03944A62" w14:textId="77777777">
        <w:trPr>
          <w:trHeight w:val="540"/>
        </w:trPr>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3565A80F" w14:textId="77777777" w:rsidR="00D77A76" w:rsidRPr="00F64F91" w:rsidRDefault="00000000">
            <w:pPr>
              <w:spacing w:before="240"/>
              <w:rPr>
                <w:sz w:val="20"/>
                <w:szCs w:val="20"/>
              </w:rPr>
            </w:pPr>
            <w:r w:rsidRPr="00F64F91">
              <w:rPr>
                <w:sz w:val="20"/>
                <w:szCs w:val="20"/>
              </w:rPr>
              <w:t>Alpha</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17ED2A48" w14:textId="77777777" w:rsidR="00D77A76" w:rsidRPr="00F64F91" w:rsidRDefault="00000000">
            <w:pPr>
              <w:spacing w:before="240"/>
              <w:jc w:val="center"/>
              <w:rPr>
                <w:sz w:val="20"/>
                <w:szCs w:val="20"/>
              </w:rPr>
            </w:pPr>
            <w:r w:rsidRPr="00F64F91">
              <w:rPr>
                <w:sz w:val="20"/>
                <w:szCs w:val="20"/>
              </w:rPr>
              <w:t>2.73 (1.14,6.54)</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007BD60A" w14:textId="77777777" w:rsidR="00D77A76" w:rsidRPr="00F64F91" w:rsidRDefault="00000000">
            <w:pPr>
              <w:spacing w:before="240"/>
              <w:jc w:val="center"/>
              <w:rPr>
                <w:sz w:val="20"/>
                <w:szCs w:val="20"/>
              </w:rPr>
            </w:pPr>
            <w:r w:rsidRPr="00F64F91">
              <w:rPr>
                <w:sz w:val="20"/>
                <w:szCs w:val="20"/>
              </w:rPr>
              <w:t>1.32 (0.38,4.57)</w:t>
            </w:r>
          </w:p>
        </w:tc>
        <w:tc>
          <w:tcPr>
            <w:tcW w:w="2625" w:type="dxa"/>
            <w:tcBorders>
              <w:top w:val="nil"/>
              <w:left w:val="nil"/>
              <w:bottom w:val="nil"/>
              <w:right w:val="nil"/>
            </w:tcBorders>
            <w:shd w:val="clear" w:color="auto" w:fill="auto"/>
            <w:tcMar>
              <w:top w:w="0" w:type="dxa"/>
              <w:left w:w="100" w:type="dxa"/>
              <w:bottom w:w="0" w:type="dxa"/>
              <w:right w:w="100" w:type="dxa"/>
            </w:tcMar>
            <w:vAlign w:val="bottom"/>
          </w:tcPr>
          <w:p w14:paraId="29CEF4DB" w14:textId="77777777" w:rsidR="00D77A76" w:rsidRPr="00F64F91" w:rsidRDefault="00000000">
            <w:pPr>
              <w:spacing w:before="240"/>
              <w:jc w:val="center"/>
              <w:rPr>
                <w:sz w:val="20"/>
                <w:szCs w:val="20"/>
              </w:rPr>
            </w:pPr>
            <w:r w:rsidRPr="00F64F91">
              <w:rPr>
                <w:sz w:val="20"/>
                <w:szCs w:val="20"/>
              </w:rPr>
              <w:t>1.45 (0.38,5.48)</w:t>
            </w:r>
          </w:p>
        </w:tc>
      </w:tr>
      <w:tr w:rsidR="00D77A76" w14:paraId="331D33CA" w14:textId="77777777">
        <w:trPr>
          <w:trHeight w:val="540"/>
        </w:trPr>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6AF641E4" w14:textId="77777777" w:rsidR="00D77A76" w:rsidRPr="00F64F91" w:rsidRDefault="00000000">
            <w:pPr>
              <w:spacing w:before="240"/>
              <w:rPr>
                <w:sz w:val="20"/>
                <w:szCs w:val="20"/>
              </w:rPr>
            </w:pPr>
            <w:r w:rsidRPr="00F64F91">
              <w:rPr>
                <w:sz w:val="20"/>
                <w:szCs w:val="20"/>
              </w:rPr>
              <w:t>Delta</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044AB770" w14:textId="77777777" w:rsidR="00D77A76" w:rsidRPr="00F64F91" w:rsidRDefault="00000000">
            <w:pPr>
              <w:spacing w:before="240"/>
              <w:jc w:val="center"/>
              <w:rPr>
                <w:sz w:val="20"/>
                <w:szCs w:val="20"/>
              </w:rPr>
            </w:pPr>
            <w:r w:rsidRPr="00F64F91">
              <w:rPr>
                <w:sz w:val="20"/>
                <w:szCs w:val="20"/>
              </w:rPr>
              <w:t>3.79 (2.14,6.72)</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416BF943" w14:textId="77777777" w:rsidR="00D77A76" w:rsidRPr="00F64F91" w:rsidRDefault="00000000">
            <w:pPr>
              <w:spacing w:before="240"/>
              <w:jc w:val="center"/>
              <w:rPr>
                <w:sz w:val="20"/>
                <w:szCs w:val="20"/>
              </w:rPr>
            </w:pPr>
            <w:r w:rsidRPr="00F64F91">
              <w:rPr>
                <w:sz w:val="20"/>
                <w:szCs w:val="20"/>
              </w:rPr>
              <w:t>4.22 (2.23,8.01)</w:t>
            </w:r>
          </w:p>
        </w:tc>
        <w:tc>
          <w:tcPr>
            <w:tcW w:w="2625" w:type="dxa"/>
            <w:tcBorders>
              <w:top w:val="nil"/>
              <w:left w:val="nil"/>
              <w:bottom w:val="nil"/>
              <w:right w:val="nil"/>
            </w:tcBorders>
            <w:shd w:val="clear" w:color="auto" w:fill="auto"/>
            <w:tcMar>
              <w:top w:w="0" w:type="dxa"/>
              <w:left w:w="100" w:type="dxa"/>
              <w:bottom w:w="0" w:type="dxa"/>
              <w:right w:w="100" w:type="dxa"/>
            </w:tcMar>
            <w:vAlign w:val="bottom"/>
          </w:tcPr>
          <w:p w14:paraId="6646544E" w14:textId="77777777" w:rsidR="00D77A76" w:rsidRPr="00F64F91" w:rsidRDefault="00000000">
            <w:pPr>
              <w:spacing w:before="240"/>
              <w:jc w:val="center"/>
              <w:rPr>
                <w:sz w:val="20"/>
                <w:szCs w:val="20"/>
              </w:rPr>
            </w:pPr>
            <w:r w:rsidRPr="00F64F91">
              <w:rPr>
                <w:sz w:val="20"/>
                <w:szCs w:val="20"/>
              </w:rPr>
              <w:t>4.16 (1.10,15.71)</w:t>
            </w:r>
          </w:p>
        </w:tc>
      </w:tr>
      <w:tr w:rsidR="00D77A76" w14:paraId="113ACC00" w14:textId="77777777">
        <w:trPr>
          <w:trHeight w:val="540"/>
        </w:trPr>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0258A51A" w14:textId="77777777" w:rsidR="00D77A76" w:rsidRPr="00F64F91" w:rsidRDefault="00000000">
            <w:pPr>
              <w:spacing w:before="240"/>
              <w:rPr>
                <w:sz w:val="20"/>
                <w:szCs w:val="20"/>
              </w:rPr>
            </w:pPr>
            <w:r w:rsidRPr="00F64F91">
              <w:rPr>
                <w:sz w:val="20"/>
                <w:szCs w:val="20"/>
              </w:rPr>
              <w:t>Omicron BA.1</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1DC28C52" w14:textId="77777777" w:rsidR="00D77A76" w:rsidRPr="00F64F91" w:rsidRDefault="00000000">
            <w:pPr>
              <w:spacing w:before="240"/>
              <w:jc w:val="center"/>
              <w:rPr>
                <w:sz w:val="20"/>
                <w:szCs w:val="20"/>
              </w:rPr>
            </w:pPr>
            <w:r w:rsidRPr="00F64F91">
              <w:rPr>
                <w:sz w:val="20"/>
                <w:szCs w:val="20"/>
              </w:rPr>
              <w:t>2.61 (1.81,3.76)</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4B8DF045" w14:textId="77777777" w:rsidR="00D77A76" w:rsidRPr="00F64F91" w:rsidRDefault="00000000">
            <w:pPr>
              <w:spacing w:before="240"/>
              <w:jc w:val="center"/>
              <w:rPr>
                <w:sz w:val="20"/>
                <w:szCs w:val="20"/>
              </w:rPr>
            </w:pPr>
            <w:r w:rsidRPr="00F64F91">
              <w:rPr>
                <w:sz w:val="20"/>
                <w:szCs w:val="20"/>
              </w:rPr>
              <w:t>2.66 (1.64,4.32)</w:t>
            </w:r>
          </w:p>
        </w:tc>
        <w:tc>
          <w:tcPr>
            <w:tcW w:w="2625" w:type="dxa"/>
            <w:tcBorders>
              <w:top w:val="nil"/>
              <w:left w:val="nil"/>
              <w:bottom w:val="nil"/>
              <w:right w:val="nil"/>
            </w:tcBorders>
            <w:shd w:val="clear" w:color="auto" w:fill="auto"/>
            <w:tcMar>
              <w:top w:w="0" w:type="dxa"/>
              <w:left w:w="100" w:type="dxa"/>
              <w:bottom w:w="0" w:type="dxa"/>
              <w:right w:w="100" w:type="dxa"/>
            </w:tcMar>
            <w:vAlign w:val="bottom"/>
          </w:tcPr>
          <w:p w14:paraId="1F4766AD" w14:textId="77777777" w:rsidR="00D77A76" w:rsidRPr="00F64F91" w:rsidRDefault="00000000">
            <w:pPr>
              <w:spacing w:before="240"/>
              <w:jc w:val="center"/>
              <w:rPr>
                <w:sz w:val="20"/>
                <w:szCs w:val="20"/>
              </w:rPr>
            </w:pPr>
            <w:r w:rsidRPr="00F64F91">
              <w:rPr>
                <w:sz w:val="20"/>
                <w:szCs w:val="20"/>
              </w:rPr>
              <w:t>3.26 (1.58,6.76)</w:t>
            </w:r>
          </w:p>
        </w:tc>
      </w:tr>
      <w:tr w:rsidR="00D77A76" w14:paraId="764DCACB" w14:textId="77777777">
        <w:trPr>
          <w:trHeight w:val="540"/>
        </w:trPr>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17B0C49D" w14:textId="77777777" w:rsidR="00D77A76" w:rsidRPr="00F64F91" w:rsidRDefault="00000000">
            <w:pPr>
              <w:spacing w:before="240"/>
              <w:rPr>
                <w:sz w:val="20"/>
                <w:szCs w:val="20"/>
              </w:rPr>
            </w:pPr>
            <w:r w:rsidRPr="00F64F91">
              <w:rPr>
                <w:sz w:val="20"/>
                <w:szCs w:val="20"/>
              </w:rPr>
              <w:t>Omicron BA.2</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73737FBE" w14:textId="77777777" w:rsidR="00D77A76" w:rsidRPr="00F64F91" w:rsidRDefault="00000000">
            <w:pPr>
              <w:spacing w:before="240"/>
              <w:jc w:val="center"/>
              <w:rPr>
                <w:sz w:val="20"/>
                <w:szCs w:val="20"/>
              </w:rPr>
            </w:pPr>
            <w:r w:rsidRPr="00F64F91">
              <w:rPr>
                <w:sz w:val="20"/>
                <w:szCs w:val="20"/>
              </w:rPr>
              <w:t>REF</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30F88B85" w14:textId="77777777" w:rsidR="00D77A76" w:rsidRPr="00F64F91" w:rsidRDefault="00000000">
            <w:pPr>
              <w:spacing w:before="240"/>
              <w:jc w:val="center"/>
              <w:rPr>
                <w:sz w:val="20"/>
                <w:szCs w:val="20"/>
              </w:rPr>
            </w:pPr>
            <w:r w:rsidRPr="00F64F91">
              <w:rPr>
                <w:sz w:val="20"/>
                <w:szCs w:val="20"/>
              </w:rPr>
              <w:t>REF</w:t>
            </w:r>
          </w:p>
        </w:tc>
        <w:tc>
          <w:tcPr>
            <w:tcW w:w="2625" w:type="dxa"/>
            <w:tcBorders>
              <w:top w:val="nil"/>
              <w:left w:val="nil"/>
              <w:bottom w:val="nil"/>
              <w:right w:val="nil"/>
            </w:tcBorders>
            <w:shd w:val="clear" w:color="auto" w:fill="auto"/>
            <w:tcMar>
              <w:top w:w="0" w:type="dxa"/>
              <w:left w:w="100" w:type="dxa"/>
              <w:bottom w:w="0" w:type="dxa"/>
              <w:right w:w="100" w:type="dxa"/>
            </w:tcMar>
            <w:vAlign w:val="bottom"/>
          </w:tcPr>
          <w:p w14:paraId="4A0D2B95" w14:textId="77777777" w:rsidR="00D77A76" w:rsidRPr="00F64F91" w:rsidRDefault="00000000">
            <w:pPr>
              <w:spacing w:before="240"/>
              <w:jc w:val="center"/>
              <w:rPr>
                <w:sz w:val="20"/>
                <w:szCs w:val="20"/>
              </w:rPr>
            </w:pPr>
            <w:r w:rsidRPr="00F64F91">
              <w:rPr>
                <w:sz w:val="20"/>
                <w:szCs w:val="20"/>
              </w:rPr>
              <w:t>REF</w:t>
            </w:r>
          </w:p>
        </w:tc>
      </w:tr>
      <w:tr w:rsidR="00D77A76" w14:paraId="1E2F9284" w14:textId="77777777">
        <w:trPr>
          <w:trHeight w:val="540"/>
        </w:trPr>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2169BB85" w14:textId="77777777" w:rsidR="00D77A76" w:rsidRPr="00F64F91" w:rsidRDefault="00000000">
            <w:pPr>
              <w:spacing w:before="240"/>
              <w:rPr>
                <w:sz w:val="20"/>
                <w:szCs w:val="20"/>
              </w:rPr>
            </w:pPr>
            <w:r w:rsidRPr="00F64F91">
              <w:rPr>
                <w:sz w:val="20"/>
                <w:szCs w:val="20"/>
              </w:rPr>
              <w:t>Omicron BA.5</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704B94D6" w14:textId="77777777" w:rsidR="00D77A76" w:rsidRPr="00F64F91" w:rsidRDefault="00000000">
            <w:pPr>
              <w:spacing w:before="240"/>
              <w:jc w:val="center"/>
              <w:rPr>
                <w:sz w:val="20"/>
                <w:szCs w:val="20"/>
              </w:rPr>
            </w:pPr>
            <w:r w:rsidRPr="00F64F91">
              <w:rPr>
                <w:sz w:val="20"/>
                <w:szCs w:val="20"/>
              </w:rPr>
              <w:t>0.77 (0.51,1.16)</w:t>
            </w:r>
          </w:p>
        </w:tc>
        <w:tc>
          <w:tcPr>
            <w:tcW w:w="2235" w:type="dxa"/>
            <w:tcBorders>
              <w:top w:val="nil"/>
              <w:left w:val="nil"/>
              <w:bottom w:val="nil"/>
              <w:right w:val="nil"/>
            </w:tcBorders>
            <w:shd w:val="clear" w:color="auto" w:fill="auto"/>
            <w:tcMar>
              <w:top w:w="0" w:type="dxa"/>
              <w:left w:w="100" w:type="dxa"/>
              <w:bottom w:w="0" w:type="dxa"/>
              <w:right w:w="100" w:type="dxa"/>
            </w:tcMar>
            <w:vAlign w:val="bottom"/>
          </w:tcPr>
          <w:p w14:paraId="1E99C670" w14:textId="77777777" w:rsidR="00D77A76" w:rsidRPr="00F64F91" w:rsidRDefault="00000000">
            <w:pPr>
              <w:spacing w:before="240"/>
              <w:jc w:val="center"/>
              <w:rPr>
                <w:sz w:val="20"/>
                <w:szCs w:val="20"/>
              </w:rPr>
            </w:pPr>
            <w:r w:rsidRPr="00F64F91">
              <w:rPr>
                <w:sz w:val="20"/>
                <w:szCs w:val="20"/>
              </w:rPr>
              <w:t>1.15 (0.64,2.05)</w:t>
            </w:r>
          </w:p>
        </w:tc>
        <w:tc>
          <w:tcPr>
            <w:tcW w:w="2625" w:type="dxa"/>
            <w:tcBorders>
              <w:top w:val="nil"/>
              <w:left w:val="nil"/>
              <w:bottom w:val="nil"/>
              <w:right w:val="nil"/>
            </w:tcBorders>
            <w:shd w:val="clear" w:color="auto" w:fill="auto"/>
            <w:tcMar>
              <w:top w:w="0" w:type="dxa"/>
              <w:left w:w="100" w:type="dxa"/>
              <w:bottom w:w="0" w:type="dxa"/>
              <w:right w:w="100" w:type="dxa"/>
            </w:tcMar>
            <w:vAlign w:val="bottom"/>
          </w:tcPr>
          <w:p w14:paraId="0C5E715C" w14:textId="77777777" w:rsidR="00D77A76" w:rsidRPr="00F64F91" w:rsidRDefault="00000000">
            <w:pPr>
              <w:spacing w:before="240"/>
              <w:jc w:val="center"/>
              <w:rPr>
                <w:sz w:val="20"/>
                <w:szCs w:val="20"/>
              </w:rPr>
            </w:pPr>
            <w:r w:rsidRPr="00F64F91">
              <w:rPr>
                <w:sz w:val="20"/>
                <w:szCs w:val="20"/>
              </w:rPr>
              <w:t>1.94 (0.81,4.63)</w:t>
            </w:r>
          </w:p>
        </w:tc>
      </w:tr>
      <w:tr w:rsidR="00D77A76" w14:paraId="5EE79553" w14:textId="77777777">
        <w:trPr>
          <w:trHeight w:val="540"/>
        </w:trPr>
        <w:tc>
          <w:tcPr>
            <w:tcW w:w="2235" w:type="dxa"/>
            <w:tcBorders>
              <w:top w:val="nil"/>
              <w:left w:val="nil"/>
              <w:bottom w:val="single" w:sz="7" w:space="0" w:color="000000"/>
              <w:right w:val="nil"/>
            </w:tcBorders>
            <w:shd w:val="clear" w:color="auto" w:fill="auto"/>
            <w:tcMar>
              <w:top w:w="0" w:type="dxa"/>
              <w:left w:w="100" w:type="dxa"/>
              <w:bottom w:w="0" w:type="dxa"/>
              <w:right w:w="100" w:type="dxa"/>
            </w:tcMar>
            <w:vAlign w:val="bottom"/>
          </w:tcPr>
          <w:p w14:paraId="22149F5B" w14:textId="77777777" w:rsidR="00D77A76" w:rsidRPr="00F64F91" w:rsidRDefault="00000000">
            <w:pPr>
              <w:spacing w:before="240"/>
              <w:rPr>
                <w:sz w:val="20"/>
                <w:szCs w:val="20"/>
              </w:rPr>
            </w:pPr>
            <w:r w:rsidRPr="00F64F91">
              <w:rPr>
                <w:sz w:val="20"/>
                <w:szCs w:val="20"/>
              </w:rPr>
              <w:t>Omicron Other</w:t>
            </w:r>
          </w:p>
        </w:tc>
        <w:tc>
          <w:tcPr>
            <w:tcW w:w="2235" w:type="dxa"/>
            <w:tcBorders>
              <w:top w:val="nil"/>
              <w:left w:val="nil"/>
              <w:bottom w:val="single" w:sz="7" w:space="0" w:color="000000"/>
              <w:right w:val="nil"/>
            </w:tcBorders>
            <w:shd w:val="clear" w:color="auto" w:fill="auto"/>
            <w:tcMar>
              <w:top w:w="0" w:type="dxa"/>
              <w:left w:w="100" w:type="dxa"/>
              <w:bottom w:w="0" w:type="dxa"/>
              <w:right w:w="100" w:type="dxa"/>
            </w:tcMar>
            <w:vAlign w:val="bottom"/>
          </w:tcPr>
          <w:p w14:paraId="0C3231E4" w14:textId="77777777" w:rsidR="00D77A76" w:rsidRPr="00F64F91" w:rsidRDefault="00000000">
            <w:pPr>
              <w:spacing w:before="240"/>
              <w:jc w:val="center"/>
              <w:rPr>
                <w:sz w:val="20"/>
                <w:szCs w:val="20"/>
              </w:rPr>
            </w:pPr>
            <w:r w:rsidRPr="00F64F91">
              <w:rPr>
                <w:sz w:val="20"/>
                <w:szCs w:val="20"/>
              </w:rPr>
              <w:t>1.01 (0.64,1.59)</w:t>
            </w:r>
          </w:p>
        </w:tc>
        <w:tc>
          <w:tcPr>
            <w:tcW w:w="2235" w:type="dxa"/>
            <w:tcBorders>
              <w:top w:val="nil"/>
              <w:left w:val="nil"/>
              <w:bottom w:val="single" w:sz="7" w:space="0" w:color="000000"/>
              <w:right w:val="nil"/>
            </w:tcBorders>
            <w:shd w:val="clear" w:color="auto" w:fill="auto"/>
            <w:tcMar>
              <w:top w:w="0" w:type="dxa"/>
              <w:left w:w="100" w:type="dxa"/>
              <w:bottom w:w="0" w:type="dxa"/>
              <w:right w:w="100" w:type="dxa"/>
            </w:tcMar>
            <w:vAlign w:val="bottom"/>
          </w:tcPr>
          <w:p w14:paraId="7CB0A468" w14:textId="77777777" w:rsidR="00D77A76" w:rsidRPr="00F64F91" w:rsidRDefault="00000000">
            <w:pPr>
              <w:spacing w:before="240"/>
              <w:jc w:val="center"/>
              <w:rPr>
                <w:sz w:val="20"/>
                <w:szCs w:val="20"/>
              </w:rPr>
            </w:pPr>
            <w:r w:rsidRPr="00F64F91">
              <w:rPr>
                <w:sz w:val="20"/>
                <w:szCs w:val="20"/>
              </w:rPr>
              <w:t>2.84 (1.55,5.19)</w:t>
            </w:r>
          </w:p>
        </w:tc>
        <w:tc>
          <w:tcPr>
            <w:tcW w:w="2625" w:type="dxa"/>
            <w:tcBorders>
              <w:top w:val="nil"/>
              <w:left w:val="nil"/>
              <w:bottom w:val="single" w:sz="7" w:space="0" w:color="000000"/>
              <w:right w:val="nil"/>
            </w:tcBorders>
            <w:shd w:val="clear" w:color="auto" w:fill="auto"/>
            <w:tcMar>
              <w:top w:w="0" w:type="dxa"/>
              <w:left w:w="100" w:type="dxa"/>
              <w:bottom w:w="0" w:type="dxa"/>
              <w:right w:w="100" w:type="dxa"/>
            </w:tcMar>
            <w:vAlign w:val="bottom"/>
          </w:tcPr>
          <w:p w14:paraId="1FA02CE8" w14:textId="77777777" w:rsidR="00D77A76" w:rsidRPr="00F64F91" w:rsidRDefault="00000000">
            <w:pPr>
              <w:spacing w:before="240"/>
              <w:jc w:val="center"/>
              <w:rPr>
                <w:sz w:val="20"/>
                <w:szCs w:val="20"/>
              </w:rPr>
            </w:pPr>
            <w:r w:rsidRPr="00F64F91">
              <w:rPr>
                <w:sz w:val="20"/>
                <w:szCs w:val="20"/>
              </w:rPr>
              <w:t>1.06 (0.45,2.50)</w:t>
            </w:r>
          </w:p>
        </w:tc>
      </w:tr>
    </w:tbl>
    <w:p w14:paraId="75587135" w14:textId="77777777" w:rsidR="00D77A76" w:rsidRDefault="00D77A76">
      <w:pPr>
        <w:rPr>
          <w:b/>
        </w:rPr>
      </w:pPr>
    </w:p>
    <w:p w14:paraId="5CFBF936" w14:textId="77777777" w:rsidR="00D77A76" w:rsidRDefault="00000000">
      <w:r>
        <w:rPr>
          <w:b/>
        </w:rPr>
        <w:t xml:space="preserve">Note: </w:t>
      </w:r>
      <w:r>
        <w:t>REF= reference category</w:t>
      </w:r>
    </w:p>
    <w:p w14:paraId="4994694E" w14:textId="77777777" w:rsidR="00D77A76" w:rsidRDefault="00D77A76">
      <w:pPr>
        <w:rPr>
          <w:b/>
        </w:rPr>
      </w:pPr>
    </w:p>
    <w:p w14:paraId="5D98A343" w14:textId="77777777" w:rsidR="00D77A76" w:rsidRDefault="00D77A76">
      <w:pPr>
        <w:rPr>
          <w:b/>
        </w:rPr>
      </w:pPr>
    </w:p>
    <w:p w14:paraId="43BC1795" w14:textId="77777777" w:rsidR="00D77A76" w:rsidRDefault="00D77A76">
      <w:pPr>
        <w:rPr>
          <w:b/>
        </w:rPr>
      </w:pPr>
    </w:p>
    <w:p w14:paraId="21E18B98" w14:textId="77777777" w:rsidR="00D77A76" w:rsidRDefault="00D77A76">
      <w:pPr>
        <w:rPr>
          <w:b/>
        </w:rPr>
      </w:pPr>
    </w:p>
    <w:p w14:paraId="64B4FF3D" w14:textId="77777777" w:rsidR="00D77A76" w:rsidRDefault="00D77A76">
      <w:pPr>
        <w:rPr>
          <w:b/>
        </w:rPr>
      </w:pPr>
    </w:p>
    <w:p w14:paraId="0EB0A9C5" w14:textId="77777777" w:rsidR="00D77A76" w:rsidRDefault="00D77A76">
      <w:pPr>
        <w:rPr>
          <w:b/>
        </w:rPr>
      </w:pPr>
    </w:p>
    <w:p w14:paraId="2A6D9F8B" w14:textId="77777777" w:rsidR="00D77A76" w:rsidRDefault="00D77A76">
      <w:pPr>
        <w:rPr>
          <w:b/>
        </w:rPr>
      </w:pPr>
    </w:p>
    <w:p w14:paraId="4A8E5B15" w14:textId="77777777" w:rsidR="00D77A76" w:rsidRDefault="00D77A76">
      <w:pPr>
        <w:rPr>
          <w:b/>
        </w:rPr>
      </w:pPr>
    </w:p>
    <w:p w14:paraId="52490853" w14:textId="77777777" w:rsidR="00D77A76" w:rsidRDefault="00D77A76">
      <w:pPr>
        <w:rPr>
          <w:b/>
        </w:rPr>
      </w:pPr>
    </w:p>
    <w:p w14:paraId="56D12DDF" w14:textId="77777777" w:rsidR="00D77A76" w:rsidRDefault="00D77A76">
      <w:pPr>
        <w:rPr>
          <w:b/>
        </w:rPr>
      </w:pPr>
    </w:p>
    <w:p w14:paraId="31D9960F" w14:textId="77777777" w:rsidR="00D77A76" w:rsidRDefault="00D77A76">
      <w:pPr>
        <w:rPr>
          <w:b/>
        </w:rPr>
      </w:pPr>
    </w:p>
    <w:p w14:paraId="035E9352" w14:textId="77777777" w:rsidR="00D77A76" w:rsidRDefault="00D77A76">
      <w:pPr>
        <w:rPr>
          <w:b/>
        </w:rPr>
        <w:sectPr w:rsidR="00D77A76" w:rsidSect="00581B7C">
          <w:pgSz w:w="11909" w:h="16834"/>
          <w:pgMar w:top="1440" w:right="1440" w:bottom="1440" w:left="1440" w:header="720" w:footer="720" w:gutter="0"/>
          <w:cols w:space="720"/>
        </w:sectPr>
      </w:pPr>
    </w:p>
    <w:p w14:paraId="5E466A68" w14:textId="77777777" w:rsidR="00D77A76" w:rsidRDefault="00000000">
      <w:pPr>
        <w:rPr>
          <w:b/>
        </w:rPr>
      </w:pPr>
      <w:r>
        <w:rPr>
          <w:b/>
        </w:rPr>
        <w:lastRenderedPageBreak/>
        <w:t>Supplementary Figure S3.</w:t>
      </w:r>
      <w:r>
        <w:t xml:space="preserve"> </w:t>
      </w:r>
      <w:r>
        <w:rPr>
          <w:b/>
        </w:rPr>
        <w:t>Predicted Probability of New-Onset Long-Term Symptoms by Variant Period and Infection Status: Sensitivity analysis using complete cases (</w:t>
      </w:r>
      <w:r>
        <w:rPr>
          <w:b/>
          <w:i/>
        </w:rPr>
        <w:t>n</w:t>
      </w:r>
      <w:r>
        <w:rPr>
          <w:b/>
        </w:rPr>
        <w:t>=4332)</w:t>
      </w:r>
    </w:p>
    <w:p w14:paraId="4E6D0BC5" w14:textId="77777777" w:rsidR="00D77A76" w:rsidRDefault="00D77A76">
      <w:pPr>
        <w:rPr>
          <w:b/>
        </w:rPr>
      </w:pPr>
    </w:p>
    <w:p w14:paraId="4869654C" w14:textId="77777777" w:rsidR="00D77A76" w:rsidRDefault="00000000">
      <w:pPr>
        <w:rPr>
          <w:b/>
        </w:rPr>
      </w:pPr>
      <w:r>
        <w:rPr>
          <w:b/>
          <w:noProof/>
        </w:rPr>
        <w:drawing>
          <wp:inline distT="114300" distB="114300" distL="114300" distR="114300" wp14:anchorId="39823473" wp14:editId="53230155">
            <wp:extent cx="8863200" cy="29591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8863200" cy="2959100"/>
                    </a:xfrm>
                    <a:prstGeom prst="rect">
                      <a:avLst/>
                    </a:prstGeom>
                    <a:ln/>
                  </pic:spPr>
                </pic:pic>
              </a:graphicData>
            </a:graphic>
          </wp:inline>
        </w:drawing>
      </w:r>
    </w:p>
    <w:p w14:paraId="0E60018F" w14:textId="77777777" w:rsidR="00D77A76" w:rsidRDefault="00D77A76"/>
    <w:p w14:paraId="14288279" w14:textId="77777777" w:rsidR="00D77A76" w:rsidRDefault="00D77A76">
      <w:pPr>
        <w:rPr>
          <w:b/>
        </w:rPr>
      </w:pPr>
    </w:p>
    <w:p w14:paraId="71222649" w14:textId="77777777" w:rsidR="00D77A76" w:rsidRDefault="00D77A76">
      <w:pPr>
        <w:rPr>
          <w:b/>
        </w:rPr>
      </w:pPr>
    </w:p>
    <w:p w14:paraId="46239F8D" w14:textId="77777777" w:rsidR="00D77A76" w:rsidRDefault="00D77A76">
      <w:pPr>
        <w:rPr>
          <w:b/>
        </w:rPr>
      </w:pPr>
    </w:p>
    <w:p w14:paraId="5FACC6C0" w14:textId="77777777" w:rsidR="00D77A76" w:rsidRDefault="00D77A76">
      <w:pPr>
        <w:rPr>
          <w:b/>
        </w:rPr>
      </w:pPr>
    </w:p>
    <w:p w14:paraId="0251AE7D" w14:textId="77777777" w:rsidR="00D77A76" w:rsidRDefault="00D77A76">
      <w:pPr>
        <w:rPr>
          <w:b/>
        </w:rPr>
      </w:pPr>
    </w:p>
    <w:p w14:paraId="129F92C2" w14:textId="77777777" w:rsidR="00D77A76" w:rsidRDefault="00D77A76">
      <w:pPr>
        <w:rPr>
          <w:b/>
        </w:rPr>
      </w:pPr>
    </w:p>
    <w:p w14:paraId="0ECDC970" w14:textId="77777777" w:rsidR="00D77A76" w:rsidRDefault="00D77A76">
      <w:pPr>
        <w:rPr>
          <w:b/>
        </w:rPr>
      </w:pPr>
    </w:p>
    <w:p w14:paraId="07B59792" w14:textId="77777777" w:rsidR="00D77A76" w:rsidRDefault="00D77A76">
      <w:pPr>
        <w:rPr>
          <w:b/>
        </w:rPr>
      </w:pPr>
    </w:p>
    <w:p w14:paraId="3AEDF4C3" w14:textId="77777777" w:rsidR="00F64F91" w:rsidRDefault="00F64F91">
      <w:pPr>
        <w:rPr>
          <w:b/>
        </w:rPr>
      </w:pPr>
    </w:p>
    <w:p w14:paraId="5C847343" w14:textId="77777777" w:rsidR="00D77A76" w:rsidRDefault="00D77A76">
      <w:pPr>
        <w:rPr>
          <w:b/>
        </w:rPr>
      </w:pPr>
    </w:p>
    <w:p w14:paraId="6046A628" w14:textId="77777777" w:rsidR="00D77A76" w:rsidRDefault="00000000">
      <w:pPr>
        <w:rPr>
          <w:b/>
        </w:rPr>
      </w:pPr>
      <w:r>
        <w:rPr>
          <w:b/>
        </w:rPr>
        <w:lastRenderedPageBreak/>
        <w:t>Supplementary Figure S4.</w:t>
      </w:r>
      <w:r>
        <w:t xml:space="preserve"> </w:t>
      </w:r>
      <w:r>
        <w:rPr>
          <w:b/>
        </w:rPr>
        <w:t>Predicted Probability of New-Onset Long-Term Symptoms by Variant Period and Infection Status: Sensitivity analysis excluding body mass index (BMI) from adjusted models (</w:t>
      </w:r>
      <w:r>
        <w:rPr>
          <w:b/>
          <w:i/>
        </w:rPr>
        <w:t>n</w:t>
      </w:r>
      <w:r>
        <w:rPr>
          <w:b/>
        </w:rPr>
        <w:t>=5,630)</w:t>
      </w:r>
    </w:p>
    <w:p w14:paraId="11613E0D" w14:textId="77777777" w:rsidR="00D77A76" w:rsidRDefault="00D77A76">
      <w:pPr>
        <w:rPr>
          <w:b/>
        </w:rPr>
      </w:pPr>
    </w:p>
    <w:p w14:paraId="5A963351" w14:textId="77777777" w:rsidR="00D77A76" w:rsidRDefault="00000000">
      <w:r>
        <w:rPr>
          <w:noProof/>
        </w:rPr>
        <w:drawing>
          <wp:inline distT="114300" distB="114300" distL="114300" distR="114300" wp14:anchorId="00F706C1" wp14:editId="1FCACAAB">
            <wp:extent cx="8863200" cy="2959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8863200" cy="2959100"/>
                    </a:xfrm>
                    <a:prstGeom prst="rect">
                      <a:avLst/>
                    </a:prstGeom>
                    <a:ln/>
                  </pic:spPr>
                </pic:pic>
              </a:graphicData>
            </a:graphic>
          </wp:inline>
        </w:drawing>
      </w:r>
    </w:p>
    <w:p w14:paraId="4F3B85EA" w14:textId="77777777" w:rsidR="00D77A76" w:rsidRDefault="00D77A76"/>
    <w:p w14:paraId="398D3388" w14:textId="77777777" w:rsidR="00D77A76" w:rsidRDefault="00D77A76"/>
    <w:p w14:paraId="78FEB3DB" w14:textId="77777777" w:rsidR="00D77A76" w:rsidRDefault="00D77A76"/>
    <w:p w14:paraId="5E46D563" w14:textId="77777777" w:rsidR="00D77A76" w:rsidRDefault="00D77A76"/>
    <w:p w14:paraId="5E75287B" w14:textId="77777777" w:rsidR="00D77A76" w:rsidRDefault="00D77A76"/>
    <w:p w14:paraId="4F9ED7A4" w14:textId="77777777" w:rsidR="00D77A76" w:rsidRDefault="00D77A76"/>
    <w:p w14:paraId="1BC38A11" w14:textId="77777777" w:rsidR="00D77A76" w:rsidRDefault="00D77A76"/>
    <w:p w14:paraId="37947FB3" w14:textId="77777777" w:rsidR="00D77A76" w:rsidRDefault="00D77A76"/>
    <w:p w14:paraId="3281EC02" w14:textId="77777777" w:rsidR="00F64F91" w:rsidRDefault="00F64F91"/>
    <w:p w14:paraId="56F3C17B" w14:textId="77777777" w:rsidR="00D77A76" w:rsidRDefault="00D77A76"/>
    <w:p w14:paraId="60526226" w14:textId="77777777" w:rsidR="00D77A76" w:rsidRDefault="00D77A76"/>
    <w:p w14:paraId="538C3D2C" w14:textId="77777777" w:rsidR="00D77A76" w:rsidRDefault="00000000">
      <w:pPr>
        <w:rPr>
          <w:b/>
        </w:rPr>
      </w:pPr>
      <w:r>
        <w:rPr>
          <w:b/>
        </w:rPr>
        <w:lastRenderedPageBreak/>
        <w:t>Supplementary Figure S5.</w:t>
      </w:r>
      <w:r>
        <w:t xml:space="preserve"> </w:t>
      </w:r>
      <w:r>
        <w:rPr>
          <w:b/>
        </w:rPr>
        <w:t>Predicted Probability of New-Onset Long-Term Symptoms by Variant Period and Infection Status: Sensitivity analysis including only serological sub-cohort (</w:t>
      </w:r>
      <w:r>
        <w:rPr>
          <w:b/>
          <w:i/>
        </w:rPr>
        <w:t>n</w:t>
      </w:r>
      <w:r>
        <w:rPr>
          <w:b/>
        </w:rPr>
        <w:t>=4381)</w:t>
      </w:r>
    </w:p>
    <w:p w14:paraId="46139401" w14:textId="77777777" w:rsidR="00D77A76" w:rsidRDefault="00D77A76"/>
    <w:p w14:paraId="7821CE17" w14:textId="77777777" w:rsidR="00D77A76" w:rsidRDefault="00D77A76"/>
    <w:p w14:paraId="43EC3F7E" w14:textId="77777777" w:rsidR="00D77A76" w:rsidRDefault="00000000">
      <w:pPr>
        <w:widowControl w:val="0"/>
        <w:pBdr>
          <w:top w:val="nil"/>
          <w:left w:val="nil"/>
          <w:bottom w:val="nil"/>
          <w:right w:val="nil"/>
          <w:between w:val="nil"/>
        </w:pBdr>
      </w:pPr>
      <w:r>
        <w:rPr>
          <w:noProof/>
        </w:rPr>
        <w:drawing>
          <wp:inline distT="114300" distB="114300" distL="114300" distR="114300" wp14:anchorId="41CDD093" wp14:editId="0FC75D34">
            <wp:extent cx="8863200" cy="2959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8863200" cy="2959100"/>
                    </a:xfrm>
                    <a:prstGeom prst="rect">
                      <a:avLst/>
                    </a:prstGeom>
                    <a:ln/>
                  </pic:spPr>
                </pic:pic>
              </a:graphicData>
            </a:graphic>
          </wp:inline>
        </w:drawing>
      </w:r>
    </w:p>
    <w:sectPr w:rsidR="00D77A76">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C980C" w14:textId="77777777" w:rsidR="00581B7C" w:rsidRDefault="00581B7C">
      <w:pPr>
        <w:spacing w:line="240" w:lineRule="auto"/>
      </w:pPr>
      <w:r>
        <w:separator/>
      </w:r>
    </w:p>
  </w:endnote>
  <w:endnote w:type="continuationSeparator" w:id="0">
    <w:p w14:paraId="4C0C7F94" w14:textId="77777777" w:rsidR="00581B7C" w:rsidRDefault="0058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138E8" w14:textId="77777777" w:rsidR="00D77A76" w:rsidRDefault="00D77A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C05C1" w14:textId="77777777" w:rsidR="00581B7C" w:rsidRDefault="00581B7C">
      <w:pPr>
        <w:spacing w:line="240" w:lineRule="auto"/>
      </w:pPr>
      <w:r>
        <w:separator/>
      </w:r>
    </w:p>
  </w:footnote>
  <w:footnote w:type="continuationSeparator" w:id="0">
    <w:p w14:paraId="42AD98C1" w14:textId="77777777" w:rsidR="00581B7C" w:rsidRDefault="00581B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7D6F0" w14:textId="77777777" w:rsidR="00D77A76" w:rsidRDefault="00D77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836D50"/>
    <w:multiLevelType w:val="multilevel"/>
    <w:tmpl w:val="DA98A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079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76"/>
    <w:rsid w:val="0027390D"/>
    <w:rsid w:val="00581B7C"/>
    <w:rsid w:val="006B59E7"/>
    <w:rsid w:val="00D77A76"/>
    <w:rsid w:val="00F6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A4E6"/>
  <w15:docId w15:val="{C717B384-B6E3-4FFC-8677-7265741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perpile.com/b/vQ5Wmo/8G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aperpile.com/c/vQ5Wmo/Z37R+chh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vQ5Wmo/8Gd0" TargetMode="External"/><Relationship Id="rId5" Type="http://schemas.openxmlformats.org/officeDocument/2006/relationships/footnotes" Target="footnotes.xml"/><Relationship Id="rId15" Type="http://schemas.openxmlformats.org/officeDocument/2006/relationships/hyperlink" Target="http://paperpile.com/b/vQ5Wmo/chhL" TargetMode="External"/><Relationship Id="rId10" Type="http://schemas.openxmlformats.org/officeDocument/2006/relationships/hyperlink" Target="https://paperpile.com/c/vQ5Wmo/8Gd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aperpile.com/b/vQ5Wmo/Z3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14</Pages>
  <Words>2057</Words>
  <Characters>11730</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Beale</cp:lastModifiedBy>
  <cp:revision>4</cp:revision>
  <dcterms:created xsi:type="dcterms:W3CDTF">2024-03-01T14:30:00Z</dcterms:created>
  <dcterms:modified xsi:type="dcterms:W3CDTF">2024-04-19T14:29:00Z</dcterms:modified>
</cp:coreProperties>
</file>