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Epidemiology and infection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Relationship between extreme precipitation and emergency department visits for acute gastrointestinal illness in Toronto, Ontario, 2012-2022.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Crystal J. Ethan, J. Johanna Sanchez, Lauren Grant, Jordan Tustin, Ian Young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pStyle w:val="2"/>
        <w:bidi w:val="0"/>
        <w:rPr>
          <w:rFonts w:hint="default"/>
          <w:sz w:val="32"/>
          <w:szCs w:val="32"/>
          <w:lang w:val="en-US"/>
        </w:rPr>
      </w:pPr>
      <w:r>
        <w:rPr>
          <w:rFonts w:hint="default"/>
          <w:sz w:val="32"/>
          <w:szCs w:val="32"/>
          <w:lang w:val="en-US"/>
        </w:rPr>
        <w:t>Supplementary Material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  <w:t>Supplementary Table S1: Relative risk associated with extreme precipitation, flooding indicators and AGI emergency department visits in Toronto, 2012 to 2022 (Sensitivity analysis).</w:t>
      </w:r>
    </w:p>
    <w:tbl>
      <w:tblPr>
        <w:tblStyle w:val="6"/>
        <w:tblW w:w="9758" w:type="dxa"/>
        <w:tblInd w:w="0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1"/>
        <w:gridCol w:w="2578"/>
        <w:gridCol w:w="1484"/>
        <w:gridCol w:w="2659"/>
        <w:gridCol w:w="1566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471" w:type="dxa"/>
            <w:tcBorders>
              <w:top w:val="single" w:color="auto" w:sz="4" w:space="0"/>
              <w:bottom w:val="nil"/>
            </w:tcBorders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</w:p>
        </w:tc>
        <w:tc>
          <w:tcPr>
            <w:tcW w:w="4062" w:type="dxa"/>
            <w:gridSpan w:val="2"/>
            <w:tcBorders>
              <w:top w:val="single" w:color="auto" w:sz="4" w:space="0"/>
              <w:bottom w:val="nil"/>
            </w:tcBorders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Precipitation</w:t>
            </w:r>
          </w:p>
        </w:tc>
        <w:tc>
          <w:tcPr>
            <w:tcW w:w="4225" w:type="dxa"/>
            <w:gridSpan w:val="2"/>
            <w:tcBorders>
              <w:top w:val="single" w:color="auto" w:sz="4" w:space="0"/>
              <w:bottom w:val="nil"/>
            </w:tcBorders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Stream discharge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1471" w:type="dxa"/>
            <w:tcBorders>
              <w:top w:val="nil"/>
              <w:bottom w:val="single" w:color="auto" w:sz="4" w:space="0"/>
            </w:tcBorders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</w:p>
        </w:tc>
        <w:tc>
          <w:tcPr>
            <w:tcW w:w="2578" w:type="dxa"/>
            <w:tcBorders>
              <w:top w:val="nil"/>
              <w:bottom w:val="single" w:color="auto" w:sz="4" w:space="0"/>
            </w:tcBorders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RR(95%CI)</w:t>
            </w:r>
          </w:p>
        </w:tc>
        <w:tc>
          <w:tcPr>
            <w:tcW w:w="1484" w:type="dxa"/>
            <w:tcBorders>
              <w:top w:val="nil"/>
              <w:bottom w:val="single" w:color="auto" w:sz="4" w:space="0"/>
            </w:tcBorders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RR% increase</w:t>
            </w:r>
          </w:p>
        </w:tc>
        <w:tc>
          <w:tcPr>
            <w:tcW w:w="2659" w:type="dxa"/>
            <w:tcBorders>
              <w:top w:val="nil"/>
              <w:bottom w:val="single" w:color="auto" w:sz="4" w:space="0"/>
            </w:tcBorders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RR(95%CI)</w:t>
            </w:r>
          </w:p>
        </w:tc>
        <w:tc>
          <w:tcPr>
            <w:tcW w:w="1566" w:type="dxa"/>
            <w:tcBorders>
              <w:top w:val="nil"/>
              <w:bottom w:val="single" w:color="auto" w:sz="4" w:space="0"/>
            </w:tcBorders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RR% increase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471" w:type="dxa"/>
            <w:tcBorders>
              <w:top w:val="single" w:color="auto" w:sz="4" w:space="0"/>
            </w:tcBorders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Overall</w:t>
            </w:r>
          </w:p>
        </w:tc>
        <w:tc>
          <w:tcPr>
            <w:tcW w:w="2578" w:type="dxa"/>
            <w:tcBorders>
              <w:top w:val="single" w:color="auto" w:sz="4" w:space="0"/>
            </w:tcBorders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0.93(0.86, 1.00)</w:t>
            </w:r>
          </w:p>
        </w:tc>
        <w:tc>
          <w:tcPr>
            <w:tcW w:w="1484" w:type="dxa"/>
            <w:tcBorders>
              <w:top w:val="single" w:color="auto" w:sz="4" w:space="0"/>
            </w:tcBorders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-7.0</w:t>
            </w:r>
          </w:p>
        </w:tc>
        <w:tc>
          <w:tcPr>
            <w:tcW w:w="2659" w:type="dxa"/>
            <w:tcBorders>
              <w:top w:val="single" w:color="auto" w:sz="4" w:space="0"/>
            </w:tcBorders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0.97(0.92, 1.03)</w:t>
            </w:r>
          </w:p>
        </w:tc>
        <w:tc>
          <w:tcPr>
            <w:tcW w:w="1566" w:type="dxa"/>
            <w:tcBorders>
              <w:top w:val="single" w:color="auto" w:sz="4" w:space="0"/>
            </w:tcBorders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-3.0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471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   Winter </w:t>
            </w:r>
          </w:p>
        </w:tc>
        <w:tc>
          <w:tcPr>
            <w:tcW w:w="2578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0.97(0.738, 1.266)</w:t>
            </w:r>
          </w:p>
        </w:tc>
        <w:tc>
          <w:tcPr>
            <w:tcW w:w="1484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-3.0</w:t>
            </w:r>
          </w:p>
        </w:tc>
        <w:tc>
          <w:tcPr>
            <w:tcW w:w="2659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1.11(0.94, 1.32)</w:t>
            </w:r>
          </w:p>
        </w:tc>
        <w:tc>
          <w:tcPr>
            <w:tcW w:w="15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11.0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471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   Spring</w:t>
            </w:r>
          </w:p>
        </w:tc>
        <w:tc>
          <w:tcPr>
            <w:tcW w:w="2578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1.40(1.135, 1.733)</w:t>
            </w:r>
          </w:p>
        </w:tc>
        <w:tc>
          <w:tcPr>
            <w:tcW w:w="1484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40.0</w:t>
            </w:r>
          </w:p>
        </w:tc>
        <w:tc>
          <w:tcPr>
            <w:tcW w:w="2659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0.98(0.88, 1.10)</w:t>
            </w:r>
          </w:p>
        </w:tc>
        <w:tc>
          <w:tcPr>
            <w:tcW w:w="15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-2.0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471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   Summer</w:t>
            </w:r>
          </w:p>
        </w:tc>
        <w:tc>
          <w:tcPr>
            <w:tcW w:w="2578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1.07(0.973, 1.171)</w:t>
            </w:r>
          </w:p>
        </w:tc>
        <w:tc>
          <w:tcPr>
            <w:tcW w:w="1484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7.0</w:t>
            </w:r>
          </w:p>
        </w:tc>
        <w:tc>
          <w:tcPr>
            <w:tcW w:w="2659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1.12(0.92, 1.37)</w:t>
            </w:r>
          </w:p>
        </w:tc>
        <w:tc>
          <w:tcPr>
            <w:tcW w:w="15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12.0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471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   Fall</w:t>
            </w:r>
          </w:p>
        </w:tc>
        <w:tc>
          <w:tcPr>
            <w:tcW w:w="2578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1.20(1.01, 1.43)</w:t>
            </w:r>
          </w:p>
        </w:tc>
        <w:tc>
          <w:tcPr>
            <w:tcW w:w="1484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20.0</w:t>
            </w:r>
          </w:p>
        </w:tc>
        <w:tc>
          <w:tcPr>
            <w:tcW w:w="2659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1.36(1.01, 1.82)</w:t>
            </w:r>
          </w:p>
        </w:tc>
        <w:tc>
          <w:tcPr>
            <w:tcW w:w="15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36.0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8192" w:type="dxa"/>
            <w:gridSpan w:val="4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</w:p>
        </w:tc>
        <w:tc>
          <w:tcPr>
            <w:tcW w:w="15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471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</w:p>
        </w:tc>
        <w:tc>
          <w:tcPr>
            <w:tcW w:w="4062" w:type="dxa"/>
            <w:gridSpan w:val="2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Water discoloration</w:t>
            </w:r>
          </w:p>
        </w:tc>
        <w:tc>
          <w:tcPr>
            <w:tcW w:w="4225" w:type="dxa"/>
            <w:gridSpan w:val="2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Sewer-backup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471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Overall</w:t>
            </w:r>
          </w:p>
        </w:tc>
        <w:tc>
          <w:tcPr>
            <w:tcW w:w="257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0.87(0.75, 1.02)</w:t>
            </w:r>
          </w:p>
        </w:tc>
        <w:tc>
          <w:tcPr>
            <w:tcW w:w="1484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-13.0</w:t>
            </w:r>
          </w:p>
        </w:tc>
        <w:tc>
          <w:tcPr>
            <w:tcW w:w="2659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>1.0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3(</w:t>
            </w: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>0.86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1,</w:t>
            </w: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 xml:space="preserve"> 1.227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)</w:t>
            </w:r>
          </w:p>
        </w:tc>
        <w:tc>
          <w:tcPr>
            <w:tcW w:w="1566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3.0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471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   Winter </w:t>
            </w:r>
          </w:p>
        </w:tc>
        <w:tc>
          <w:tcPr>
            <w:tcW w:w="257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0.71(0.47, 1.07)</w:t>
            </w:r>
          </w:p>
        </w:tc>
        <w:tc>
          <w:tcPr>
            <w:tcW w:w="1484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-29.0</w:t>
            </w:r>
          </w:p>
        </w:tc>
        <w:tc>
          <w:tcPr>
            <w:tcW w:w="2659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>2.98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(</w:t>
            </w: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8,</w:t>
            </w: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 xml:space="preserve"> 5.64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)*</w:t>
            </w:r>
          </w:p>
        </w:tc>
        <w:tc>
          <w:tcPr>
            <w:tcW w:w="1566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198.0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471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   Spring</w:t>
            </w:r>
          </w:p>
        </w:tc>
        <w:tc>
          <w:tcPr>
            <w:tcW w:w="257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0.70(0.48, 1.02)</w:t>
            </w:r>
          </w:p>
        </w:tc>
        <w:tc>
          <w:tcPr>
            <w:tcW w:w="1484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-30.0</w:t>
            </w:r>
          </w:p>
        </w:tc>
        <w:tc>
          <w:tcPr>
            <w:tcW w:w="2659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>13.8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3(</w:t>
            </w: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 xml:space="preserve"> 8.2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9,</w:t>
            </w: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 xml:space="preserve"> 23.07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)*</w:t>
            </w:r>
          </w:p>
        </w:tc>
        <w:tc>
          <w:tcPr>
            <w:tcW w:w="1566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1,283.0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471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   Summer</w:t>
            </w:r>
          </w:p>
        </w:tc>
        <w:tc>
          <w:tcPr>
            <w:tcW w:w="257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1.16(0.96, 1.38)</w:t>
            </w:r>
          </w:p>
        </w:tc>
        <w:tc>
          <w:tcPr>
            <w:tcW w:w="1484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16.0</w:t>
            </w:r>
          </w:p>
        </w:tc>
        <w:tc>
          <w:tcPr>
            <w:tcW w:w="2659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>0.9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9(</w:t>
            </w: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>0.8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1,</w:t>
            </w: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 xml:space="preserve"> 1.2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1)</w:t>
            </w:r>
          </w:p>
        </w:tc>
        <w:tc>
          <w:tcPr>
            <w:tcW w:w="1566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-1.0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471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   Fall</w:t>
            </w:r>
          </w:p>
        </w:tc>
        <w:tc>
          <w:tcPr>
            <w:tcW w:w="257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1.86(1.10 3.14)</w:t>
            </w:r>
          </w:p>
        </w:tc>
        <w:tc>
          <w:tcPr>
            <w:tcW w:w="1484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86.0</w:t>
            </w:r>
          </w:p>
        </w:tc>
        <w:tc>
          <w:tcPr>
            <w:tcW w:w="2659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>1.1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3(</w:t>
            </w:r>
            <w: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  <w:t>0.67 1.88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)</w:t>
            </w:r>
          </w:p>
        </w:tc>
        <w:tc>
          <w:tcPr>
            <w:tcW w:w="1566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 w:bidi="ar-SA"/>
              </w:rPr>
              <w:t>13.0</w:t>
            </w:r>
          </w:p>
        </w:tc>
      </w:tr>
    </w:tbl>
    <w:p>
      <w:pPr>
        <w:rPr>
          <w:rFonts w:hint="default" w:ascii="Times New Roman" w:hAnsi="Times New Roman" w:cs="Times New Roman"/>
          <w:i w:val="0"/>
          <w:iCs w:val="0"/>
          <w:sz w:val="20"/>
          <w:szCs w:val="20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vertAlign w:val="baseline"/>
          <w:lang w:val="en-US" w:eastAsia="zh-CN"/>
        </w:rPr>
        <w:t>*</w:t>
      </w:r>
      <w:r>
        <w:rPr>
          <w:rFonts w:hint="default" w:ascii="Times New Roman" w:hAnsi="Times New Roman" w:cs="Times New Roman"/>
          <w:i/>
          <w:iCs/>
          <w:sz w:val="20"/>
          <w:szCs w:val="20"/>
          <w:vertAlign w:val="baseli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sz w:val="20"/>
          <w:szCs w:val="20"/>
          <w:vertAlign w:val="baseline"/>
          <w:lang w:val="en-US" w:eastAsia="zh-CN"/>
        </w:rPr>
        <w:t>statistically significant</w:t>
      </w:r>
    </w:p>
    <w:p>
      <w:pPr>
        <w:rPr>
          <w:rFonts w:hint="default" w:ascii="Times New Roman" w:hAnsi="Times New Roman" w:cs="Times New Roman"/>
          <w:i w:val="0"/>
          <w:iCs w:val="0"/>
          <w:sz w:val="20"/>
          <w:szCs w:val="20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  <w:t xml:space="preserve">Supplementary </w:t>
      </w:r>
      <w:r>
        <w:rPr>
          <w:rFonts w:hint="default" w:ascii="Times New Roman" w:hAnsi="Times New Roman" w:cs="Times New Roman"/>
          <w:i w:val="0"/>
          <w:iCs w:val="0"/>
          <w:sz w:val="24"/>
          <w:szCs w:val="24"/>
          <w:vertAlign w:val="baseline"/>
          <w:lang w:val="en-US" w:eastAsia="zh-CN"/>
        </w:rPr>
        <w:t xml:space="preserve">Table S2: Associations of </w:t>
      </w:r>
      <w:r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  <w:t>extreme precipitation, flooding indicators and AGI cases at the first and highest lag with relative risk &gt; 1.</w:t>
      </w:r>
    </w:p>
    <w:tbl>
      <w:tblPr>
        <w:tblStyle w:val="6"/>
        <w:tblW w:w="9679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7"/>
        <w:gridCol w:w="1266"/>
        <w:gridCol w:w="1938"/>
        <w:gridCol w:w="958"/>
        <w:gridCol w:w="1347"/>
        <w:gridCol w:w="1810"/>
        <w:gridCol w:w="99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312" w:type="dxa"/>
            <w:gridSpan w:val="6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 xml:space="preserve">Precipitation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 xml:space="preserve">Season </w:t>
            </w:r>
          </w:p>
        </w:tc>
        <w:tc>
          <w:tcPr>
            <w:tcW w:w="1266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Lag with first peak &gt;1</w:t>
            </w:r>
          </w:p>
        </w:tc>
        <w:tc>
          <w:tcPr>
            <w:tcW w:w="1938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RR(95%CI)</w:t>
            </w:r>
          </w:p>
        </w:tc>
        <w:tc>
          <w:tcPr>
            <w:tcW w:w="958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RR% increase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Lag with highest peak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RR(95%CI</w:t>
            </w:r>
          </w:p>
        </w:tc>
        <w:tc>
          <w:tcPr>
            <w:tcW w:w="993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RR% increase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Overall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-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-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-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10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1.00(</w:t>
            </w: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0.99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1)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 w:bidi="ar-SA"/>
              </w:rPr>
              <w:t>0.0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Winter 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1.01(0.98, 1.04)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1.0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4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1.01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(</w:t>
            </w: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0.99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1.03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 w:bidi="ar-SA"/>
              </w:rPr>
              <w:t>1.1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Spring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1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1.00(0.98, 1.02)+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15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1.02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(</w:t>
            </w: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 xml:space="preserve">1, </w:t>
            </w: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4)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 w:bidi="ar-SA"/>
              </w:rPr>
              <w:t>2.2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Summer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1.00(0.99, 1.01)+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7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 xml:space="preserve">1(1.00, </w:t>
            </w: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1)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 w:bidi="ar-SA"/>
              </w:rPr>
              <w:t>1.0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Fall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1.00(0.98, 1.02)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14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1.01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(</w:t>
            </w: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1.00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1.02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 w:bidi="ar-SA"/>
              </w:rPr>
              <w:t>1.0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9" w:type="dxa"/>
            <w:gridSpan w:val="7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312" w:type="dxa"/>
            <w:gridSpan w:val="6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Stream discharge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Overall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1.01(1.00, 1.02)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1.0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0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/>
              </w:rPr>
              <w:t>1.0</w:t>
            </w: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1(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/>
              </w:rPr>
              <w:t>1.00</w:t>
            </w: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, 1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/>
              </w:rPr>
              <w:t>.0</w:t>
            </w: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2)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 w:bidi="ar-SA"/>
              </w:rPr>
              <w:t>1.0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Winter </w:t>
            </w:r>
          </w:p>
        </w:tc>
        <w:tc>
          <w:tcPr>
            <w:tcW w:w="1266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0</w:t>
            </w:r>
          </w:p>
        </w:tc>
        <w:tc>
          <w:tcPr>
            <w:tcW w:w="1938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3(</w:t>
            </w: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1.00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1.05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)</w:t>
            </w:r>
          </w:p>
        </w:tc>
        <w:tc>
          <w:tcPr>
            <w:tcW w:w="958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 w:bidi="ar-SA"/>
              </w:rPr>
              <w:t>3.0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0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3(</w:t>
            </w: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1.00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Theme="minorEastAsia"/>
                <w:i w:val="0"/>
                <w:iCs w:val="0"/>
                <w:vertAlign w:val="baseline"/>
                <w:lang w:val="en-US" w:eastAsia="zh-CN"/>
              </w:rPr>
              <w:t>1.05</w:t>
            </w: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 w:bidi="ar-SA"/>
              </w:rPr>
              <w:t>3.0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Spring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10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1.00(0.99, 1.01)</w:t>
            </w:r>
            <w:r>
              <w:rPr>
                <w:rFonts w:hint="default" w:ascii="Times New Roman" w:hAnsi="Times New Roman"/>
                <w:vertAlign w:val="superscript"/>
                <w:lang w:val="en-US" w:eastAsia="zh-CN"/>
              </w:rPr>
              <w:t>+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0.0</w:t>
            </w:r>
            <w:r>
              <w:rPr>
                <w:rFonts w:hint="default" w:ascii="Times New Roman" w:hAnsi="Times New Roman" w:cs="Times New Roman"/>
                <w:vertAlign w:val="superscript"/>
                <w:lang w:val="en-US" w:eastAsia="zh-CN"/>
              </w:rPr>
              <w:t>+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15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/>
              </w:rPr>
              <w:t>1.00</w:t>
            </w: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(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/>
              </w:rPr>
              <w:t>0.99</w:t>
            </w: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/>
              </w:rPr>
              <w:t>1.0</w:t>
            </w: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 w:bidi="ar-SA"/>
              </w:rPr>
              <w:t>0.0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Summer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1.02(0.99, 1.03)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6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/>
              </w:rPr>
              <w:t>1.01</w:t>
            </w: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 xml:space="preserve">(1.00, 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/>
              </w:rPr>
              <w:t>1.02</w:t>
            </w: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 w:bidi="ar-SA"/>
              </w:rPr>
              <w:t>1.0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Fall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1.02(0.99, 1.05)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0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/>
              </w:rPr>
              <w:t>1.02</w:t>
            </w: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(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/>
              </w:rPr>
              <w:t>0.99</w:t>
            </w: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/>
              </w:rPr>
              <w:t>1.05</w:t>
            </w: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 w:bidi="ar-SA"/>
              </w:rPr>
              <w:t>2.1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9" w:type="dxa"/>
            <w:gridSpan w:val="7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312" w:type="dxa"/>
            <w:gridSpan w:val="6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Water discoloration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Overall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9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1.00(0.99, 1.01)</w:t>
            </w:r>
            <w:r>
              <w:rPr>
                <w:rFonts w:hint="default" w:ascii="Times New Roman" w:hAnsi="Times New Roman"/>
                <w:vertAlign w:val="superscript"/>
                <w:lang w:val="en-US" w:eastAsia="zh-CN"/>
              </w:rPr>
              <w:t>+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0.0</w:t>
            </w:r>
            <w:r>
              <w:rPr>
                <w:rFonts w:hint="default" w:ascii="Times New Roman" w:hAnsi="Times New Roman" w:cs="Times New Roman"/>
                <w:vertAlign w:val="superscript"/>
                <w:lang w:val="en-US" w:eastAsia="zh-CN"/>
              </w:rPr>
              <w:t>+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11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1.00(0.99, 1.02)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0.0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Winter </w:t>
            </w:r>
          </w:p>
        </w:tc>
        <w:tc>
          <w:tcPr>
            <w:tcW w:w="1266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-</w:t>
            </w:r>
          </w:p>
        </w:tc>
        <w:tc>
          <w:tcPr>
            <w:tcW w:w="1938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-</w:t>
            </w:r>
          </w:p>
        </w:tc>
        <w:tc>
          <w:tcPr>
            <w:tcW w:w="958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-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13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0.99(0.96, 1.02)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-1.0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Spring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-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-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-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10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1.00(0.97, 1.02)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-0.0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Summer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4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1.00(0.99, 1.01)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12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1.02(1.01, 1.03)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 w:bidi="ar-SA"/>
              </w:rPr>
              <w:t>2.0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Fall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1.02(0.97, 1.08)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2.0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21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1.04(0.98, 1.11)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4.0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9" w:type="dxa"/>
            <w:gridSpan w:val="7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</w:p>
        </w:tc>
        <w:tc>
          <w:tcPr>
            <w:tcW w:w="8312" w:type="dxa"/>
            <w:gridSpan w:val="6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Sewer</w:t>
            </w:r>
            <w:r>
              <w:rPr>
                <w:rFonts w:hint="default" w:ascii="Times New Roman" w:hAnsi="Times New Roman" w:cs="Times New Roman"/>
                <w:vertAlign w:val="baseline"/>
                <w:lang w:eastAsia="zh-CN"/>
              </w:rPr>
              <w:t xml:space="preserve"> main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 xml:space="preserve"> backup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Overall</w:t>
            </w:r>
          </w:p>
        </w:tc>
        <w:tc>
          <w:tcPr>
            <w:tcW w:w="1266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0</w:t>
            </w:r>
          </w:p>
        </w:tc>
        <w:tc>
          <w:tcPr>
            <w:tcW w:w="1938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1.01(0.99, 1.04)</w:t>
            </w:r>
          </w:p>
        </w:tc>
        <w:tc>
          <w:tcPr>
            <w:tcW w:w="958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0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1.01(0.99, 1.04)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Winter 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4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1.01(0.97, 1.06)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1.0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12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1.12(1.07, 1.17)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12.0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Spring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1.04(0.97, 1.12)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4.0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21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1.18(1.09, 1.29)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18.0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Summer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1.00(0.97, 1.03)+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4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1.00(0.99, 1.02)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0.0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Fall</w:t>
            </w:r>
          </w:p>
        </w:tc>
        <w:tc>
          <w:tcPr>
            <w:tcW w:w="1266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8</w:t>
            </w:r>
          </w:p>
        </w:tc>
        <w:tc>
          <w:tcPr>
            <w:tcW w:w="1938" w:type="dxa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vertAlign w:val="baseline"/>
                <w:lang w:val="en-US" w:eastAsia="zh-CN"/>
              </w:rPr>
              <w:t>1.00(0.97, 1.04)+</w:t>
            </w:r>
          </w:p>
        </w:tc>
        <w:tc>
          <w:tcPr>
            <w:tcW w:w="958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0.0</w:t>
            </w:r>
          </w:p>
        </w:tc>
        <w:tc>
          <w:tcPr>
            <w:tcW w:w="1347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18</w:t>
            </w:r>
          </w:p>
        </w:tc>
        <w:tc>
          <w:tcPr>
            <w:tcW w:w="1810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i w:val="0"/>
                <w:iCs w:val="0"/>
                <w:vertAlign w:val="baseline"/>
                <w:lang w:val="en-US" w:eastAsia="zh-CN"/>
              </w:rPr>
              <w:t>1.04(1.00, 1.09)</w:t>
            </w:r>
          </w:p>
        </w:tc>
        <w:tc>
          <w:tcPr>
            <w:tcW w:w="993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i w:val="0"/>
                <w:iCs w:val="0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vertAlign w:val="baseline"/>
                <w:lang w:val="en-US" w:eastAsia="zh-CN"/>
              </w:rPr>
              <w:t>4.0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i w:val="0"/>
          <w:iCs w:val="0"/>
          <w:sz w:val="20"/>
          <w:szCs w:val="20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sz w:val="20"/>
          <w:szCs w:val="20"/>
          <w:vertAlign w:val="baseline"/>
          <w:lang w:val="en-US" w:eastAsia="zh-CN"/>
        </w:rPr>
        <w:t>+ indicates the RR and RR% increase are &gt;1 when the value has not been rounded up.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i w:val="0"/>
          <w:iCs w:val="0"/>
          <w:sz w:val="20"/>
          <w:szCs w:val="20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i w:val="0"/>
          <w:iCs w:val="0"/>
          <w:sz w:val="20"/>
          <w:szCs w:val="20"/>
          <w:vertAlign w:val="baseline"/>
          <w:lang w:val="en-US" w:eastAsia="zh-CN"/>
        </w:rPr>
        <w:sectPr>
          <w:pgSz w:w="11906" w:h="16838"/>
          <w:pgMar w:top="1417" w:right="1417" w:bottom="1417" w:left="1417" w:header="720" w:footer="720" w:gutter="0"/>
          <w:cols w:space="720" w:num="1"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  <w:t xml:space="preserve">Supplementary </w:t>
      </w:r>
      <w:r>
        <w:rPr>
          <w:rFonts w:hint="default" w:ascii="Times New Roman" w:hAnsi="Times New Roman" w:cs="Times New Roman"/>
          <w:i w:val="0"/>
          <w:iCs w:val="0"/>
          <w:sz w:val="24"/>
          <w:szCs w:val="24"/>
          <w:vertAlign w:val="baseline"/>
          <w:lang w:val="en-US" w:eastAsia="zh-CN"/>
        </w:rPr>
        <w:t xml:space="preserve">Table S3: </w:t>
      </w:r>
      <w:r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  <w:t>Relative risk associated with extreme precipitation and AGI emergency department visits in Toronto, 2012 to 2022 (Sensitivity analysis excluding the pandemic data).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647"/>
        <w:gridCol w:w="180"/>
        <w:gridCol w:w="1468"/>
        <w:gridCol w:w="1836"/>
        <w:gridCol w:w="423"/>
        <w:gridCol w:w="14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tcBorders>
              <w:top w:val="single" w:color="auto" w:sz="4" w:space="0"/>
            </w:tcBorders>
          </w:tcPr>
          <w:p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95" w:type="dxa"/>
            <w:gridSpan w:val="3"/>
            <w:tcBorders>
              <w:top w:val="single" w:color="auto" w:sz="4" w:space="0"/>
            </w:tcBorders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All data</w:t>
            </w:r>
          </w:p>
        </w:tc>
        <w:tc>
          <w:tcPr>
            <w:tcW w:w="3673" w:type="dxa"/>
            <w:gridSpan w:val="3"/>
            <w:tcBorders>
              <w:top w:val="single" w:color="auto" w:sz="4" w:space="0"/>
            </w:tcBorders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Excluding Covid period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tcBorders>
              <w:top w:val="single" w:color="auto" w:sz="4" w:space="0"/>
              <w:bottom w:val="nil"/>
            </w:tcBorders>
          </w:tcPr>
          <w:p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68" w:type="dxa"/>
            <w:gridSpan w:val="6"/>
            <w:tcBorders>
              <w:top w:val="single" w:color="auto" w:sz="4" w:space="0"/>
              <w:bottom w:val="nil"/>
            </w:tcBorders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 xml:space="preserve">Precipitation at the </w:t>
            </w:r>
            <w:bookmarkStart w:id="0" w:name="_GoBack"/>
            <w:bookmarkEnd w:id="0"/>
            <w:r>
              <w:rPr>
                <w:rFonts w:hint="default" w:ascii="Times New Roman" w:hAnsi="Times New Roman" w:cs="Times New Roman"/>
                <w:lang w:val="en-US"/>
              </w:rPr>
              <w:t>95</w:t>
            </w:r>
            <w:r>
              <w:rPr>
                <w:rFonts w:hint="default" w:ascii="Times New Roman" w:hAnsi="Times New Roman" w:cs="Times New Roman"/>
                <w:vertAlign w:val="superscript"/>
                <w:lang w:val="en-US"/>
              </w:rPr>
              <w:t xml:space="preserve">th </w:t>
            </w:r>
            <w:r>
              <w:rPr>
                <w:rFonts w:hint="default" w:ascii="Times New Roman" w:hAnsi="Times New Roman" w:cs="Times New Roman"/>
                <w:lang w:val="en-US"/>
              </w:rPr>
              <w:t>percentile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tcBorders>
              <w:top w:val="nil"/>
            </w:tcBorders>
          </w:tcPr>
          <w:p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nil"/>
            </w:tcBorders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RR(95%CI)</w:t>
            </w:r>
          </w:p>
        </w:tc>
        <w:tc>
          <w:tcPr>
            <w:tcW w:w="1648" w:type="dxa"/>
            <w:gridSpan w:val="2"/>
            <w:tcBorders>
              <w:top w:val="nil"/>
            </w:tcBorders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RR% increase</w:t>
            </w:r>
          </w:p>
        </w:tc>
        <w:tc>
          <w:tcPr>
            <w:tcW w:w="1836" w:type="dxa"/>
            <w:tcBorders>
              <w:top w:val="nil"/>
            </w:tcBorders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RR(95%CI)</w:t>
            </w:r>
          </w:p>
        </w:tc>
        <w:tc>
          <w:tcPr>
            <w:tcW w:w="1837" w:type="dxa"/>
            <w:gridSpan w:val="2"/>
            <w:tcBorders>
              <w:top w:val="nil"/>
            </w:tcBorders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RR% increase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</w:tcPr>
          <w:p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Overall</w:t>
            </w:r>
          </w:p>
        </w:tc>
        <w:tc>
          <w:tcPr>
            <w:tcW w:w="1827" w:type="dxa"/>
            <w:gridSpan w:val="2"/>
          </w:tcPr>
          <w:p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 (0.83, 1.01)</w:t>
            </w:r>
          </w:p>
        </w:tc>
        <w:tc>
          <w:tcPr>
            <w:tcW w:w="1468" w:type="dxa"/>
          </w:tcPr>
          <w:p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-8.0</w:t>
            </w:r>
          </w:p>
        </w:tc>
        <w:tc>
          <w:tcPr>
            <w:tcW w:w="2259" w:type="dxa"/>
            <w:gridSpan w:val="2"/>
          </w:tcPr>
          <w:p>
            <w:pPr>
              <w:pStyle w:val="5"/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 w:line="12" w:lineRule="atLeast"/>
              <w:ind w:left="0" w:firstLine="0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 w:eastAsiaTheme="minorEastAsia"/>
                <w:kern w:val="0"/>
                <w:sz w:val="20"/>
                <w:szCs w:val="20"/>
                <w:lang w:val="en-US" w:eastAsia="zh-CN" w:bidi="ar-SA"/>
              </w:rPr>
              <w:t>0.85 (0.760, 0.94)</w:t>
            </w:r>
          </w:p>
        </w:tc>
        <w:tc>
          <w:tcPr>
            <w:tcW w:w="1414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-15.0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</w:tcPr>
          <w:p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Winter </w:t>
            </w:r>
          </w:p>
        </w:tc>
        <w:tc>
          <w:tcPr>
            <w:tcW w:w="1827" w:type="dxa"/>
            <w:gridSpan w:val="2"/>
          </w:tcPr>
          <w:p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 (0.69, 1.51)</w:t>
            </w:r>
          </w:p>
        </w:tc>
        <w:tc>
          <w:tcPr>
            <w:tcW w:w="1468" w:type="dxa"/>
          </w:tcPr>
          <w:p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2259" w:type="dxa"/>
            <w:gridSpan w:val="2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</w:rPr>
              <w:t>0.6</w:t>
            </w:r>
            <w:r>
              <w:rPr>
                <w:rFonts w:hint="default" w:ascii="Times New Roman" w:hAnsi="Times New Roman" w:cs="Times New Roman"/>
                <w:lang w:val="en-US"/>
              </w:rPr>
              <w:t>2(</w:t>
            </w:r>
            <w:r>
              <w:rPr>
                <w:rFonts w:hint="default" w:ascii="Times New Roman" w:hAnsi="Times New Roman" w:cs="Times New Roman"/>
              </w:rPr>
              <w:t>0.41</w:t>
            </w:r>
            <w:r>
              <w:rPr>
                <w:rFonts w:hint="default" w:ascii="Times New Roman" w:hAnsi="Times New Roman" w:cs="Times New Roman"/>
                <w:lang w:val="en-US"/>
              </w:rPr>
              <w:t>,</w:t>
            </w:r>
            <w:r>
              <w:rPr>
                <w:rFonts w:hint="default" w:ascii="Times New Roman" w:hAnsi="Times New Roman" w:cs="Times New Roman"/>
              </w:rPr>
              <w:t xml:space="preserve"> 0.9</w:t>
            </w:r>
            <w:r>
              <w:rPr>
                <w:rFonts w:hint="default" w:ascii="Times New Roman" w:hAnsi="Times New Roman" w:cs="Times New Roman"/>
                <w:lang w:val="en-US"/>
              </w:rPr>
              <w:t>3)</w:t>
            </w:r>
          </w:p>
        </w:tc>
        <w:tc>
          <w:tcPr>
            <w:tcW w:w="1414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-38.0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</w:tcPr>
          <w:p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Spring</w:t>
            </w:r>
          </w:p>
        </w:tc>
        <w:tc>
          <w:tcPr>
            <w:tcW w:w="1827" w:type="dxa"/>
            <w:gridSpan w:val="2"/>
          </w:tcPr>
          <w:p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1.94 (1.47, 2.57)*</w:t>
            </w:r>
          </w:p>
        </w:tc>
        <w:tc>
          <w:tcPr>
            <w:tcW w:w="1468" w:type="dxa"/>
          </w:tcPr>
          <w:p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94.0</w:t>
            </w:r>
          </w:p>
        </w:tc>
        <w:tc>
          <w:tcPr>
            <w:tcW w:w="2259" w:type="dxa"/>
            <w:gridSpan w:val="2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</w:rPr>
              <w:t>1.6</w:t>
            </w:r>
            <w:r>
              <w:rPr>
                <w:rFonts w:hint="default" w:ascii="Times New Roman" w:hAnsi="Times New Roman" w:cs="Times New Roman"/>
                <w:lang w:val="en-US"/>
              </w:rPr>
              <w:t>8(</w:t>
            </w:r>
            <w:r>
              <w:rPr>
                <w:rFonts w:hint="default" w:ascii="Times New Roman" w:hAnsi="Times New Roman" w:cs="Times New Roman"/>
              </w:rPr>
              <w:t>1.2</w:t>
            </w:r>
            <w:r>
              <w:rPr>
                <w:rFonts w:hint="default" w:ascii="Times New Roman" w:hAnsi="Times New Roman" w:cs="Times New Roman"/>
                <w:lang w:val="en-US"/>
              </w:rPr>
              <w:t>7,</w:t>
            </w:r>
            <w:r>
              <w:rPr>
                <w:rFonts w:hint="default" w:ascii="Times New Roman" w:hAnsi="Times New Roman" w:cs="Times New Roman"/>
              </w:rPr>
              <w:t xml:space="preserve"> 2.21</w:t>
            </w:r>
            <w:r>
              <w:rPr>
                <w:rFonts w:hint="default" w:ascii="Times New Roman" w:hAnsi="Times New Roman" w:cs="Times New Roman"/>
                <w:lang w:val="en-US"/>
              </w:rPr>
              <w:t>)*</w:t>
            </w:r>
          </w:p>
        </w:tc>
        <w:tc>
          <w:tcPr>
            <w:tcW w:w="1414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68.0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</w:tcPr>
          <w:p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Summer</w:t>
            </w:r>
          </w:p>
        </w:tc>
        <w:tc>
          <w:tcPr>
            <w:tcW w:w="1827" w:type="dxa"/>
            <w:gridSpan w:val="2"/>
          </w:tcPr>
          <w:p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 (0.95, 1.19)</w:t>
            </w:r>
          </w:p>
        </w:tc>
        <w:tc>
          <w:tcPr>
            <w:tcW w:w="1468" w:type="dxa"/>
          </w:tcPr>
          <w:p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2259" w:type="dxa"/>
            <w:gridSpan w:val="2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</w:rPr>
              <w:t>1.0</w:t>
            </w:r>
            <w:r>
              <w:rPr>
                <w:rFonts w:hint="default" w:ascii="Times New Roman" w:hAnsi="Times New Roman" w:cs="Times New Roman"/>
                <w:lang w:val="en-US"/>
              </w:rPr>
              <w:t>3(</w:t>
            </w:r>
            <w:r>
              <w:rPr>
                <w:rFonts w:hint="default" w:ascii="Times New Roman" w:hAnsi="Times New Roman" w:cs="Times New Roman"/>
              </w:rPr>
              <w:t>0.9</w:t>
            </w:r>
            <w:r>
              <w:rPr>
                <w:rFonts w:hint="default" w:ascii="Times New Roman" w:hAnsi="Times New Roman" w:cs="Times New Roman"/>
                <w:lang w:val="en-US"/>
              </w:rPr>
              <w:t>2,</w:t>
            </w:r>
            <w:r>
              <w:rPr>
                <w:rFonts w:hint="default" w:ascii="Times New Roman" w:hAnsi="Times New Roman" w:cs="Times New Roman"/>
              </w:rPr>
              <w:t xml:space="preserve"> 1.14</w:t>
            </w:r>
            <w:r>
              <w:rPr>
                <w:rFonts w:hint="default" w:ascii="Times New Roman" w:hAnsi="Times New Roman" w:cs="Times New Roman"/>
                <w:lang w:val="en-US"/>
              </w:rPr>
              <w:t>)</w:t>
            </w:r>
          </w:p>
        </w:tc>
        <w:tc>
          <w:tcPr>
            <w:tcW w:w="1414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3.0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</w:tcPr>
          <w:p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Fall</w:t>
            </w:r>
          </w:p>
        </w:tc>
        <w:tc>
          <w:tcPr>
            <w:tcW w:w="1827" w:type="dxa"/>
            <w:gridSpan w:val="2"/>
          </w:tcPr>
          <w:p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1.38 (1.10, 1.73)</w:t>
            </w:r>
          </w:p>
        </w:tc>
        <w:tc>
          <w:tcPr>
            <w:tcW w:w="1468" w:type="dxa"/>
          </w:tcPr>
          <w:p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38.0</w:t>
            </w:r>
          </w:p>
        </w:tc>
        <w:tc>
          <w:tcPr>
            <w:tcW w:w="2259" w:type="dxa"/>
            <w:gridSpan w:val="2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</w:rPr>
              <w:t>0.8</w:t>
            </w:r>
            <w:r>
              <w:rPr>
                <w:rFonts w:hint="default" w:ascii="Times New Roman" w:hAnsi="Times New Roman" w:cs="Times New Roman"/>
                <w:lang w:val="en-US"/>
              </w:rPr>
              <w:t>8(</w:t>
            </w:r>
            <w:r>
              <w:rPr>
                <w:rFonts w:hint="default" w:ascii="Times New Roman" w:hAnsi="Times New Roman" w:cs="Times New Roman"/>
              </w:rPr>
              <w:t>0.67</w:t>
            </w:r>
            <w:r>
              <w:rPr>
                <w:rFonts w:hint="default" w:ascii="Times New Roman" w:hAnsi="Times New Roman" w:cs="Times New Roman"/>
                <w:lang w:val="en-US"/>
              </w:rPr>
              <w:t>,</w:t>
            </w:r>
            <w:r>
              <w:rPr>
                <w:rFonts w:hint="default" w:ascii="Times New Roman" w:hAnsi="Times New Roman" w:cs="Times New Roman"/>
              </w:rPr>
              <w:t xml:space="preserve"> 1.14</w:t>
            </w:r>
            <w:r>
              <w:rPr>
                <w:rFonts w:hint="default" w:ascii="Times New Roman" w:hAnsi="Times New Roman" w:cs="Times New Roman"/>
                <w:lang w:val="en-US"/>
              </w:rPr>
              <w:t>)</w:t>
            </w:r>
          </w:p>
        </w:tc>
        <w:tc>
          <w:tcPr>
            <w:tcW w:w="1414" w:type="dxa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-12.0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</w:tcPr>
          <w:p>
            <w:pPr>
              <w:widowControl w:val="0"/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68" w:type="dxa"/>
            <w:gridSpan w:val="6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Precipitation at the 90</w:t>
            </w:r>
            <w:r>
              <w:rPr>
                <w:rFonts w:hint="default" w:ascii="Times New Roman" w:hAnsi="Times New Roman" w:cs="Times New Roman"/>
                <w:vertAlign w:val="superscript"/>
                <w:lang w:val="en-US"/>
              </w:rPr>
              <w:t xml:space="preserve">th </w:t>
            </w:r>
            <w:r>
              <w:rPr>
                <w:rFonts w:hint="default" w:ascii="Times New Roman" w:hAnsi="Times New Roman" w:cs="Times New Roman"/>
                <w:lang w:val="en-US"/>
              </w:rPr>
              <w:t>percentile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Overall</w:t>
            </w:r>
          </w:p>
        </w:tc>
        <w:tc>
          <w:tcPr>
            <w:tcW w:w="1827" w:type="dxa"/>
            <w:gridSpan w:val="2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0.93(0.86, 1.00)</w:t>
            </w:r>
          </w:p>
        </w:tc>
        <w:tc>
          <w:tcPr>
            <w:tcW w:w="1468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-7.0</w:t>
            </w:r>
          </w:p>
        </w:tc>
        <w:tc>
          <w:tcPr>
            <w:tcW w:w="2259" w:type="dxa"/>
            <w:gridSpan w:val="2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0.88 (0.80, 0.96)</w:t>
            </w:r>
          </w:p>
        </w:tc>
        <w:tc>
          <w:tcPr>
            <w:tcW w:w="1414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-12.0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   Winter </w:t>
            </w:r>
          </w:p>
        </w:tc>
        <w:tc>
          <w:tcPr>
            <w:tcW w:w="1827" w:type="dxa"/>
            <w:gridSpan w:val="2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0.97(0.74, 1.27)</w:t>
            </w:r>
          </w:p>
        </w:tc>
        <w:tc>
          <w:tcPr>
            <w:tcW w:w="1468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-3.0</w:t>
            </w:r>
          </w:p>
        </w:tc>
        <w:tc>
          <w:tcPr>
            <w:tcW w:w="2259" w:type="dxa"/>
            <w:gridSpan w:val="2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0.75(0.57, 0.98)</w:t>
            </w:r>
          </w:p>
        </w:tc>
        <w:tc>
          <w:tcPr>
            <w:tcW w:w="1414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-25.0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   Spring</w:t>
            </w:r>
          </w:p>
        </w:tc>
        <w:tc>
          <w:tcPr>
            <w:tcW w:w="1827" w:type="dxa"/>
            <w:gridSpan w:val="2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1.40(1.14, 1.73)</w:t>
            </w:r>
          </w:p>
        </w:tc>
        <w:tc>
          <w:tcPr>
            <w:tcW w:w="1468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40.0</w:t>
            </w:r>
          </w:p>
        </w:tc>
        <w:tc>
          <w:tcPr>
            <w:tcW w:w="2259" w:type="dxa"/>
            <w:gridSpan w:val="2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1.20(0.97, 1.48)</w:t>
            </w:r>
          </w:p>
        </w:tc>
        <w:tc>
          <w:tcPr>
            <w:tcW w:w="1414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20.0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   Summer</w:t>
            </w:r>
          </w:p>
        </w:tc>
        <w:tc>
          <w:tcPr>
            <w:tcW w:w="1827" w:type="dxa"/>
            <w:gridSpan w:val="2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1.07(0.97, 1.17)</w:t>
            </w:r>
          </w:p>
        </w:tc>
        <w:tc>
          <w:tcPr>
            <w:tcW w:w="1468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7.0</w:t>
            </w:r>
          </w:p>
        </w:tc>
        <w:tc>
          <w:tcPr>
            <w:tcW w:w="2259" w:type="dxa"/>
            <w:gridSpan w:val="2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1.02(0.93, 1.12)</w:t>
            </w:r>
          </w:p>
        </w:tc>
        <w:tc>
          <w:tcPr>
            <w:tcW w:w="1414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2.0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vAlign w:val="top"/>
          </w:tcPr>
          <w:p>
            <w:pPr>
              <w:widowControl w:val="0"/>
              <w:spacing w:line="480" w:lineRule="auto"/>
              <w:jc w:val="both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   Fall</w:t>
            </w:r>
          </w:p>
        </w:tc>
        <w:tc>
          <w:tcPr>
            <w:tcW w:w="1827" w:type="dxa"/>
            <w:gridSpan w:val="2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1.20(1.01, 1.43)</w:t>
            </w:r>
          </w:p>
        </w:tc>
        <w:tc>
          <w:tcPr>
            <w:tcW w:w="1468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20.0</w:t>
            </w:r>
          </w:p>
        </w:tc>
        <w:tc>
          <w:tcPr>
            <w:tcW w:w="2259" w:type="dxa"/>
            <w:gridSpan w:val="2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0.93(0.77, 1.13)</w:t>
            </w:r>
          </w:p>
        </w:tc>
        <w:tc>
          <w:tcPr>
            <w:tcW w:w="1414" w:type="dxa"/>
            <w:vAlign w:val="top"/>
          </w:tcPr>
          <w:p>
            <w:pPr>
              <w:widowControl w:val="0"/>
              <w:spacing w:line="480" w:lineRule="auto"/>
              <w:jc w:val="center"/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>-7.0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2" w:hRule="atLeast"/>
        </w:trPr>
        <w:tc>
          <w:tcPr>
            <w:tcW w:w="8964" w:type="dxa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  <w:drawing>
                <wp:inline distT="0" distB="0" distL="114300" distR="114300">
                  <wp:extent cx="5616575" cy="3837305"/>
                  <wp:effectExtent l="0" t="0" r="9525" b="10795"/>
                  <wp:docPr id="1" name="Picture 1" descr="Extreme weather-GI-Toronto-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Extreme weather-GI-Toronto-Map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575" cy="383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8964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vertAlign w:val="baseline"/>
                <w:lang w:val="en-US" w:eastAsia="zh-CN"/>
              </w:rPr>
              <w:t xml:space="preserve">Supplementary 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baseline"/>
                <w:lang w:val="en-US"/>
              </w:rPr>
              <w:t>Figure S1: The study region (Toronto city),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baseline"/>
                <w:lang w:val="en-US" w:eastAsia="zh-CN"/>
              </w:rPr>
              <w:t xml:space="preserve"> showing the various weather stations, major rivers, water treatment plants, streamflow monitors and riverine areas.</w:t>
            </w:r>
          </w:p>
        </w:tc>
      </w:tr>
    </w:tbl>
    <w:p>
      <w:pPr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  <w:sectPr>
          <w:pgSz w:w="11906" w:h="16838"/>
          <w:pgMar w:top="1417" w:right="1417" w:bottom="1417" w:left="1417" w:header="720" w:footer="720" w:gutter="0"/>
          <w:cols w:space="720" w:num="1"/>
          <w:docGrid w:linePitch="360" w:charSpace="0"/>
        </w:sectPr>
      </w:pPr>
    </w:p>
    <w:p>
      <w:pPr>
        <w:jc w:val="center"/>
        <w:rPr>
          <w:rFonts w:hint="default"/>
          <w:lang w:val="en-US"/>
        </w:rPr>
      </w:pP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74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en-US"/>
              </w:rPr>
            </w:pPr>
            <w:r>
              <w:drawing>
                <wp:inline distT="0" distB="0" distL="114300" distR="114300">
                  <wp:extent cx="4799330" cy="3469640"/>
                  <wp:effectExtent l="0" t="0" r="1270" b="10160"/>
                  <wp:docPr id="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330" cy="346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74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 xml:space="preserve">Supplementary </w:t>
            </w: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t xml:space="preserve">Figure S2: 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baseline"/>
                <w:lang w:val="en-US"/>
              </w:rPr>
              <w:t xml:space="preserve">Graphical presentation of the selection of predictors and covariates to be used in our models. </w:t>
            </w:r>
          </w:p>
        </w:tc>
      </w:tr>
    </w:tbl>
    <w:p/>
    <w:p>
      <w:pPr>
        <w:sectPr>
          <w:pgSz w:w="11906" w:h="16838"/>
          <w:pgMar w:top="1417" w:right="1417" w:bottom="1417" w:left="1417" w:header="720" w:footer="720" w:gutter="0"/>
          <w:cols w:space="720" w:num="1"/>
          <w:docGrid w:linePitch="360" w:charSpace="0"/>
        </w:sectPr>
      </w:pPr>
    </w:p>
    <w:p/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drawing>
                <wp:inline distT="0" distB="0" distL="114300" distR="114300">
                  <wp:extent cx="5751830" cy="2575560"/>
                  <wp:effectExtent l="0" t="0" r="1270" b="2540"/>
                  <wp:docPr id="30" name="Picture 30" descr="MergedImages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MergedImages (4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830" cy="257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Supplementary </w:t>
            </w:r>
            <w:r>
              <w:rPr>
                <w:rFonts w:hint="default" w:ascii="Times New Roman" w:hAnsi="Times New Roman" w:cs="Times New Roman"/>
                <w:lang w:val="en-US"/>
              </w:rPr>
              <w:t xml:space="preserve">Figure S3: 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baseline"/>
                <w:lang w:val="en-US" w:eastAsia="zh-CN"/>
              </w:rPr>
              <w:t>Time-series plots of daily values during the study period, for: (a) events of water discoloration; (b) Events of sewer-backup.</w:t>
            </w:r>
          </w:p>
        </w:tc>
      </w:tr>
    </w:tbl>
    <w:p>
      <w:pPr>
        <w:rPr>
          <w:rFonts w:hint="default" w:ascii="Times New Roman" w:hAnsi="Times New Roman" w:cs="Times New Roman"/>
          <w:lang w:val="en-US" w:eastAsia="zh-CN"/>
        </w:rPr>
        <w:sectPr>
          <w:pgSz w:w="11906" w:h="16838"/>
          <w:pgMar w:top="1417" w:right="1417" w:bottom="1417" w:left="1417" w:header="720" w:footer="720" w:gutter="0"/>
          <w:cols w:space="720" w:num="1"/>
          <w:docGrid w:linePitch="360" w:charSpace="0"/>
        </w:sect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drawing>
                <wp:inline distT="0" distB="0" distL="114300" distR="114300">
                  <wp:extent cx="5751830" cy="2575560"/>
                  <wp:effectExtent l="0" t="0" r="1270" b="2540"/>
                  <wp:docPr id="39" name="Picture 39" descr="Merged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MergedImages (6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830" cy="257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drawing>
                <wp:inline distT="0" distB="0" distL="114300" distR="114300">
                  <wp:extent cx="5751830" cy="5151120"/>
                  <wp:effectExtent l="0" t="0" r="1270" b="5080"/>
                  <wp:docPr id="41" name="Picture 41" descr="MergedImages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MergedImages (8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830" cy="515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drawing>
                <wp:inline distT="0" distB="0" distL="114300" distR="114300">
                  <wp:extent cx="5751830" cy="5151120"/>
                  <wp:effectExtent l="0" t="0" r="1270" b="5080"/>
                  <wp:docPr id="40" name="Picture 40" descr="MergedImages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MergedImages (7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830" cy="515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Supplementary </w:t>
            </w:r>
            <w:r>
              <w:rPr>
                <w:rFonts w:hint="default" w:ascii="Times New Roman" w:hAnsi="Times New Roman" w:cs="Times New Roman"/>
                <w:lang w:val="en-US"/>
              </w:rPr>
              <w:t>Figure S4: Graphical presentation of the a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ssociation between events of water discoloration, events of sewer-backup and AGI incidence in Toronto across a 21-day lag (secondary analysis)</w:t>
            </w:r>
          </w:p>
        </w:tc>
      </w:tr>
    </w:tbl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/>
    <w:p/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2" w:hRule="atLeast"/>
          <w:jc w:val="center"/>
        </w:trPr>
        <w:tc>
          <w:tcPr>
            <w:tcW w:w="86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drawing>
                <wp:inline distT="0" distB="0" distL="114300" distR="114300">
                  <wp:extent cx="5751830" cy="5151120"/>
                  <wp:effectExtent l="0" t="0" r="1270" b="5080"/>
                  <wp:docPr id="42" name="Picture 42" descr="MergedImages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MergedImages (10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830" cy="515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2" w:hRule="atLeast"/>
          <w:jc w:val="center"/>
        </w:trPr>
        <w:tc>
          <w:tcPr>
            <w:tcW w:w="86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drawing>
                <wp:inline distT="0" distB="0" distL="114300" distR="114300">
                  <wp:extent cx="5751830" cy="5151120"/>
                  <wp:effectExtent l="0" t="0" r="1270" b="5080"/>
                  <wp:docPr id="43" name="Picture 43" descr="MergedImages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MergedImages (9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830" cy="515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2" w:hRule="atLeast"/>
          <w:jc w:val="center"/>
        </w:trPr>
        <w:tc>
          <w:tcPr>
            <w:tcW w:w="86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drawing>
                <wp:inline distT="0" distB="0" distL="114300" distR="114300">
                  <wp:extent cx="5751830" cy="5151120"/>
                  <wp:effectExtent l="0" t="0" r="1270" b="5080"/>
                  <wp:docPr id="44" name="Picture 44" descr="MergedImages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MergedImages (1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830" cy="515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2" w:hRule="atLeast"/>
          <w:jc w:val="center"/>
        </w:trPr>
        <w:tc>
          <w:tcPr>
            <w:tcW w:w="86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drawing>
                <wp:inline distT="0" distB="0" distL="114300" distR="114300">
                  <wp:extent cx="5751830" cy="5151120"/>
                  <wp:effectExtent l="0" t="0" r="1270" b="5080"/>
                  <wp:docPr id="46" name="Picture 46" descr="MergedImages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MergedImages (13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830" cy="515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2" w:hRule="atLeast"/>
          <w:jc w:val="center"/>
        </w:trPr>
        <w:tc>
          <w:tcPr>
            <w:tcW w:w="86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/>
              </w:rPr>
              <w:drawing>
                <wp:inline distT="0" distB="0" distL="114300" distR="114300">
                  <wp:extent cx="5751830" cy="5151120"/>
                  <wp:effectExtent l="0" t="0" r="1270" b="5080"/>
                  <wp:docPr id="47" name="Picture 47" descr="MergedImages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MergedImages (12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830" cy="515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86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Figure S5: Graphical presentation of the a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ssociation between extreme precipitation, stream discharge, water discoloration and sewer-backup and AGI incidence in Toronto across a 21-day lag (sensitivity analysis)</w:t>
            </w:r>
          </w:p>
        </w:tc>
      </w:tr>
    </w:tbl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US"/>
        </w:rPr>
      </w:pPr>
    </w:p>
    <w:sectPr>
      <w:pgSz w:w="11906" w:h="16838"/>
      <w:pgMar w:top="1417" w:right="1417" w:bottom="1417" w:left="1417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3E6DC6"/>
    <w:rsid w:val="021C3CE6"/>
    <w:rsid w:val="0234060C"/>
    <w:rsid w:val="129F22E7"/>
    <w:rsid w:val="137111E7"/>
    <w:rsid w:val="1C492776"/>
    <w:rsid w:val="1CA95E61"/>
    <w:rsid w:val="227967C1"/>
    <w:rsid w:val="3BA55404"/>
    <w:rsid w:val="497A0502"/>
    <w:rsid w:val="4D0217BC"/>
    <w:rsid w:val="4DBB1A9E"/>
    <w:rsid w:val="4FA964E9"/>
    <w:rsid w:val="51E738CA"/>
    <w:rsid w:val="5681274D"/>
    <w:rsid w:val="60FF3C52"/>
    <w:rsid w:val="643E6DC6"/>
    <w:rsid w:val="6D741A8D"/>
    <w:rsid w:val="75C6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TML Preformatted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SimSun" w:hAnsi="SimSun" w:eastAsia="SimSun" w:cs="SimSun"/>
      <w:kern w:val="0"/>
      <w:sz w:val="24"/>
      <w:szCs w:val="24"/>
      <w:lang w:val="en-US" w:eastAsia="zh-CN" w:bidi="ar"/>
    </w:rPr>
  </w:style>
  <w:style w:type="table" w:styleId="6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2023-06-29T02:51:00Z</dcterms:created>
  <dc:creator>Ethan Crystal Jane</dc:creator>
  <cp:lastModifiedBy>Ethan Crystal Jane</cp:lastModifiedBy>
  <dcterms:modified xsi:type="dcterms:W3CDTF">2024-01-02T20:30:17Z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D468358CDDE742D7A3155307B0440F07</vt:lpwstr>
  </property>
</Properties>
</file>