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200"/>
        <w:jc w:val="both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Charlson Comorbidity Index (CCI) is a standardized method for assessing comorbidities, which was originally developed to predict all-cause mortality within one year based on 17 underlying conditions [1-2]. Among them, peripheral vascular diseases mainly include arterial system diseases and venous system diseases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.The</w:t>
      </w: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 xml:space="preserve"> arterial diseases mainly include atherosclerosis, occlusive arteriosclerosis, lower extremity arterial thrombosis, aortic aneurysm, etc. Venous system diseases are mainly varicose veins, phlebitis, and lower extremity venous thrombosis [3].</w:t>
      </w:r>
    </w:p>
    <w:p>
      <w:pPr>
        <w:spacing w:line="480" w:lineRule="auto"/>
        <w:ind w:firstLine="480" w:firstLineChars="200"/>
        <w:jc w:val="both"/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24"/>
          <w:szCs w:val="24"/>
          <w:lang w:val="en-US" w:eastAsia="zh-CN"/>
        </w:rPr>
        <w:t>CCI was proposed in 1987 and has been validated in a number of clinical Settings. This is the most widely used comorbidity index [1-2]. Due to advances in treatment and disease management, updated versions of CCI have been adapted, validated, and reported in different databases [4-6]. We summarized the four methods of CCI score calculation based on the literature.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(Supplementary Table 1)</w:t>
      </w:r>
    </w:p>
    <w:p>
      <w:pPr>
        <w:jc w:val="center"/>
        <w:rPr>
          <w:rFonts w:hint="eastAsia" w:ascii="Times New Roman" w:hAnsi="Times New Roman" w:cs="Times New Roman"/>
          <w:b/>
          <w:bCs/>
          <w:sz w:val="24"/>
          <w:szCs w:val="32"/>
        </w:rPr>
      </w:pPr>
    </w:p>
    <w:p>
      <w:pPr>
        <w:jc w:val="center"/>
        <w:rPr>
          <w:rFonts w:hint="eastAsia" w:ascii="Times New Roman" w:hAnsi="Times New Roman" w:cs="Times New Roman"/>
          <w:b/>
          <w:bCs/>
          <w:sz w:val="24"/>
          <w:szCs w:val="32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sz w:val="24"/>
          <w:szCs w:val="32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able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. </w:t>
      </w:r>
      <w:r>
        <w:rPr>
          <w:rFonts w:hint="eastAsia" w:ascii="Times New Roman" w:hAnsi="Times New Roman" w:cs="Times New Roman"/>
          <w:sz w:val="24"/>
          <w:szCs w:val="32"/>
        </w:rPr>
        <w:t>Calculation of the four Charlson comorbidity scores</w:t>
      </w:r>
    </w:p>
    <w:tbl>
      <w:tblPr>
        <w:tblStyle w:val="3"/>
        <w:tblW w:w="4525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1172"/>
        <w:gridCol w:w="1235"/>
        <w:gridCol w:w="1271"/>
        <w:gridCol w:w="118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779" w:type="pct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1987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original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Charlson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index</w:t>
            </w:r>
          </w:p>
        </w:tc>
        <w:tc>
          <w:tcPr>
            <w:tcW w:w="821" w:type="pct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1994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age-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adjusted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Charlson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index</w:t>
            </w:r>
          </w:p>
        </w:tc>
        <w:tc>
          <w:tcPr>
            <w:tcW w:w="845" w:type="pct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2011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Charlson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index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modified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by Quan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et al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.</w:t>
            </w:r>
          </w:p>
        </w:tc>
        <w:tc>
          <w:tcPr>
            <w:tcW w:w="785" w:type="pct"/>
            <w:tcBorders>
              <w:top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2016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Charlson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index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modified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by</w:t>
            </w:r>
          </w:p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Bannay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et 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bookmarkStart w:id="0" w:name="OLE_LINK1" w:colFirst="1" w:colLast="4"/>
            <w:r>
              <w:rPr>
                <w:rFonts w:ascii="Times New Roman" w:hAnsi="Times New Roman" w:cs="Times New Roman"/>
              </w:rPr>
              <w:t>Chronic cardiac failure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bookmarkEnd w:id="0"/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Peripheral vascular 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Cerebrovascular 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Chronic pulmonary 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Connective tissue 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Peptic ulcer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Mild liver 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Diabetes mellitus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without chronic complications 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Hemiplegia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 with end organ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damage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Moderate/severe renal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tumour/Leukaemia/Lymphoma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Moderate/severe liver</w:t>
            </w:r>
          </w:p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Metastatic solid tumour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AIDS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&lt;50 years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50–59 years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60–69 years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70–79 years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6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≥80 years</w:t>
            </w:r>
          </w:p>
        </w:tc>
        <w:tc>
          <w:tcPr>
            <w:tcW w:w="77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821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  <w:tc>
          <w:tcPr>
            <w:tcW w:w="78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-</w:t>
            </w:r>
          </w:p>
        </w:tc>
      </w:tr>
    </w:tbl>
    <w:p/>
    <w:p>
      <w:pPr>
        <w:spacing w:line="480" w:lineRule="auto"/>
        <w:rPr>
          <w:rFonts w:hint="eastAsia" w:ascii="Times New Roman" w:hAnsi="Times New Roman" w:cs="Times New Roman"/>
          <w:color w:val="auto"/>
          <w:sz w:val="24"/>
          <w:lang w:val="en-US" w:eastAsia="zh-CN"/>
        </w:rPr>
      </w:pPr>
      <w:bookmarkStart w:id="1" w:name="OLE_LINK2"/>
      <w:bookmarkStart w:id="2" w:name="OLE_LINK10"/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References</w:t>
      </w:r>
      <w:bookmarkStart w:id="8" w:name="_GoBack"/>
      <w:bookmarkEnd w:id="8"/>
    </w:p>
    <w:p>
      <w:pPr>
        <w:spacing w:line="48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[1]</w:t>
      </w:r>
      <w:bookmarkEnd w:id="1"/>
      <w:r>
        <w:rPr>
          <w:rFonts w:ascii="Times New Roman" w:hAnsi="Times New Roman" w:cs="Times New Roman"/>
          <w:color w:val="auto"/>
          <w:sz w:val="24"/>
        </w:rPr>
        <w:t xml:space="preserve"> Setter NW, et al.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(2020)</w:t>
      </w:r>
      <w:r>
        <w:rPr>
          <w:rFonts w:ascii="Times New Roman" w:hAnsi="Times New Roman" w:cs="Times New Roman"/>
          <w:color w:val="auto"/>
          <w:sz w:val="24"/>
        </w:rPr>
        <w:t xml:space="preserve"> Charlson comorbidity index scores and in-hospital prognosis of patients with severe acute respiratory infections. </w:t>
      </w:r>
      <w:r>
        <w:rPr>
          <w:rFonts w:ascii="Times New Roman" w:hAnsi="Times New Roman" w:cs="Times New Roman"/>
          <w:i/>
          <w:iCs/>
          <w:color w:val="auto"/>
          <w:sz w:val="24"/>
        </w:rPr>
        <w:t>Intern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al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Med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icine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J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 xml:space="preserve">ournal </w:t>
      </w:r>
      <w:r>
        <w:rPr>
          <w:rFonts w:ascii="Times New Roman" w:hAnsi="Times New Roman" w:cs="Times New Roman"/>
          <w:color w:val="auto"/>
          <w:sz w:val="24"/>
        </w:rPr>
        <w:t>50(6)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691-7.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</w:p>
    <w:bookmarkEnd w:id="2"/>
    <w:p>
      <w:pPr>
        <w:spacing w:line="480" w:lineRule="auto"/>
        <w:rPr>
          <w:rFonts w:hint="eastAsia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[2] </w:t>
      </w:r>
      <w:r>
        <w:rPr>
          <w:rFonts w:ascii="Times New Roman" w:hAnsi="Times New Roman" w:cs="Times New Roman"/>
          <w:color w:val="auto"/>
          <w:sz w:val="24"/>
        </w:rPr>
        <w:t xml:space="preserve">Charlson ME, et al. </w:t>
      </w:r>
      <w:bookmarkStart w:id="3" w:name="OLE_LINK6"/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(1987)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bookmarkStart w:id="4" w:name="OLE_LINK52"/>
      <w:r>
        <w:rPr>
          <w:rFonts w:ascii="Times New Roman" w:hAnsi="Times New Roman" w:cs="Times New Roman"/>
          <w:color w:val="auto"/>
          <w:sz w:val="24"/>
        </w:rPr>
        <w:t>A new method of classifying prognostic comorbidity in longitudinal studies: development and validation</w:t>
      </w:r>
      <w:bookmarkEnd w:id="3"/>
      <w:bookmarkEnd w:id="4"/>
      <w:r>
        <w:rPr>
          <w:rFonts w:ascii="Times New Roman" w:hAnsi="Times New Roman" w:cs="Times New Roman"/>
          <w:color w:val="auto"/>
          <w:sz w:val="24"/>
        </w:rPr>
        <w:t xml:space="preserve">. 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 xml:space="preserve">Journal of </w:t>
      </w:r>
      <w:r>
        <w:rPr>
          <w:rFonts w:ascii="Times New Roman" w:hAnsi="Times New Roman" w:cs="Times New Roman"/>
          <w:i/>
          <w:iCs/>
          <w:color w:val="auto"/>
          <w:sz w:val="24"/>
        </w:rPr>
        <w:t>Chronic Dis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 xml:space="preserve">eases </w:t>
      </w:r>
      <w:r>
        <w:rPr>
          <w:rFonts w:ascii="Times New Roman" w:hAnsi="Times New Roman" w:cs="Times New Roman"/>
          <w:color w:val="auto"/>
          <w:sz w:val="24"/>
        </w:rPr>
        <w:t>40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373–83.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[3] </w:t>
      </w:r>
      <w:r>
        <w:rPr>
          <w:rFonts w:ascii="Times New Roman" w:hAnsi="Times New Roman" w:cs="Times New Roman"/>
          <w:color w:val="auto"/>
          <w:sz w:val="24"/>
        </w:rPr>
        <w:t>Swenty CF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and </w:t>
      </w:r>
      <w:r>
        <w:rPr>
          <w:rFonts w:ascii="Times New Roman" w:hAnsi="Times New Roman" w:cs="Times New Roman"/>
          <w:color w:val="auto"/>
          <w:sz w:val="24"/>
        </w:rPr>
        <w:t xml:space="preserve">Hall M.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(</w:t>
      </w:r>
      <w:r>
        <w:rPr>
          <w:rFonts w:hint="default" w:ascii="Times New Roman" w:hAnsi="Times New Roman" w:cs="Times New Roman"/>
          <w:color w:val="auto"/>
          <w:sz w:val="24"/>
        </w:rPr>
        <w:t>2020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) </w:t>
      </w:r>
      <w:r>
        <w:rPr>
          <w:rFonts w:ascii="Times New Roman" w:hAnsi="Times New Roman" w:cs="Times New Roman"/>
          <w:color w:val="auto"/>
          <w:sz w:val="24"/>
        </w:rPr>
        <w:t>Peripheral Vascular Disease.</w:t>
      </w:r>
      <w:r>
        <w:rPr>
          <w:rFonts w:hint="default" w:ascii="Times New Roman" w:hAnsi="Times New Roman" w:cs="Times New Roman"/>
          <w:color w:val="auto"/>
          <w:sz w:val="24"/>
        </w:rPr>
        <w:t> </w:t>
      </w:r>
      <w:r>
        <w:rPr>
          <w:rFonts w:hint="default" w:ascii="Times New Roman" w:hAnsi="Times New Roman" w:cs="Times New Roman"/>
          <w:i/>
          <w:iCs/>
          <w:color w:val="auto"/>
          <w:sz w:val="24"/>
        </w:rPr>
        <w:t>Home Healthc Now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38(6)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</w:rPr>
        <w:t>294-301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</w:rPr>
      </w:pPr>
      <w:bookmarkStart w:id="5" w:name="OLE_LINK9"/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[4] </w:t>
      </w:r>
      <w:r>
        <w:rPr>
          <w:rFonts w:ascii="Times New Roman" w:hAnsi="Times New Roman" w:cs="Times New Roman"/>
          <w:color w:val="auto"/>
          <w:sz w:val="24"/>
        </w:rPr>
        <w:t>Charlson M, et al.</w:t>
      </w:r>
      <w:bookmarkStart w:id="6" w:name="OLE_LINK56"/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(</w:t>
      </w:r>
      <w:r>
        <w:rPr>
          <w:rFonts w:ascii="Times New Roman" w:hAnsi="Times New Roman" w:cs="Times New Roman"/>
          <w:color w:val="auto"/>
          <w:sz w:val="24"/>
        </w:rPr>
        <w:t>1994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)</w:t>
      </w:r>
      <w:bookmarkEnd w:id="6"/>
      <w:r>
        <w:rPr>
          <w:rFonts w:ascii="Times New Roman" w:hAnsi="Times New Roman" w:cs="Times New Roman"/>
          <w:color w:val="auto"/>
          <w:sz w:val="24"/>
        </w:rPr>
        <w:t xml:space="preserve"> Validation of a combined comorbidity index. </w:t>
      </w:r>
      <w:r>
        <w:rPr>
          <w:rFonts w:ascii="Times New Roman" w:hAnsi="Times New Roman" w:cs="Times New Roman"/>
          <w:i/>
          <w:iCs/>
          <w:color w:val="auto"/>
          <w:sz w:val="24"/>
        </w:rPr>
        <w:t>J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ournal of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Clin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ical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Epidemiol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ogy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47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1245–51.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ascii="Times New Roman" w:hAnsi="Times New Roman" w:cs="Times New Roman" w:eastAsiaTheme="minorEastAsia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[5] </w:t>
      </w:r>
      <w:r>
        <w:rPr>
          <w:rFonts w:ascii="Times New Roman" w:hAnsi="Times New Roman" w:cs="Times New Roman"/>
          <w:color w:val="auto"/>
          <w:sz w:val="24"/>
        </w:rPr>
        <w:t xml:space="preserve">Quan H, et al.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(2011) </w:t>
      </w:r>
      <w:r>
        <w:rPr>
          <w:rFonts w:ascii="Times New Roman" w:hAnsi="Times New Roman" w:cs="Times New Roman"/>
          <w:color w:val="auto"/>
          <w:sz w:val="24"/>
        </w:rPr>
        <w:t xml:space="preserve">Updating and validating the Charlson comorbidity index and score for risk adjustment in hospital discharge abstracts using data from 6 countries. </w:t>
      </w:r>
      <w:r>
        <w:rPr>
          <w:rFonts w:ascii="Times New Roman" w:hAnsi="Times New Roman" w:cs="Times New Roman"/>
          <w:i/>
          <w:iCs/>
          <w:color w:val="auto"/>
          <w:sz w:val="24"/>
        </w:rPr>
        <w:t>Am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erican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J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ournal of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Epidemiol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ogy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173(6)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676-82.</w:t>
      </w:r>
    </w:p>
    <w:p>
      <w:pPr>
        <w:spacing w:line="480" w:lineRule="auto"/>
        <w:rPr>
          <w:rFonts w:ascii="Times New Roman" w:hAnsi="Times New Roman" w:cs="Times New Roman"/>
          <w:color w:val="auto"/>
          <w:sz w:val="24"/>
        </w:rPr>
      </w:pPr>
      <w:bookmarkStart w:id="7" w:name="OLE_LINK15"/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[6]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bookmarkEnd w:id="7"/>
      <w:r>
        <w:rPr>
          <w:rFonts w:ascii="Times New Roman" w:hAnsi="Times New Roman" w:cs="Times New Roman"/>
          <w:color w:val="auto"/>
          <w:sz w:val="24"/>
        </w:rPr>
        <w:t xml:space="preserve">Bannay A, et al. 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(2016) </w:t>
      </w:r>
      <w:r>
        <w:rPr>
          <w:rFonts w:ascii="Times New Roman" w:hAnsi="Times New Roman" w:cs="Times New Roman"/>
          <w:color w:val="auto"/>
          <w:sz w:val="24"/>
        </w:rPr>
        <w:t xml:space="preserve">The best use of the Charlson comorbidity index with electronic health care database to predict mortality. </w:t>
      </w:r>
      <w:r>
        <w:rPr>
          <w:rFonts w:ascii="Times New Roman" w:hAnsi="Times New Roman" w:cs="Times New Roman"/>
          <w:i/>
          <w:iCs/>
          <w:color w:val="auto"/>
          <w:sz w:val="24"/>
        </w:rPr>
        <w:t>Med</w:t>
      </w:r>
      <w:r>
        <w:rPr>
          <w:rFonts w:hint="eastAsia" w:ascii="Times New Roman" w:hAnsi="Times New Roman" w:cs="Times New Roman"/>
          <w:i/>
          <w:iCs/>
          <w:color w:val="auto"/>
          <w:sz w:val="24"/>
          <w:lang w:val="en-US" w:eastAsia="zh-CN"/>
        </w:rPr>
        <w:t>ical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Care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54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,</w:t>
      </w:r>
      <w:r>
        <w:rPr>
          <w:rFonts w:ascii="Times New Roman" w:hAnsi="Times New Roman" w:cs="Times New Roman"/>
          <w:color w:val="auto"/>
          <w:sz w:val="24"/>
        </w:rPr>
        <w:t xml:space="preserve"> 188–94.</w:t>
      </w:r>
    </w:p>
    <w:bookmarkEnd w:id="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YmJhMGVmNjY5Yjc2OGUxNjY1MmE0ODgzYTU5M2UifQ=="/>
  </w:docVars>
  <w:rsids>
    <w:rsidRoot w:val="00000000"/>
    <w:rsid w:val="03183089"/>
    <w:rsid w:val="04074FB1"/>
    <w:rsid w:val="05F75738"/>
    <w:rsid w:val="068F5360"/>
    <w:rsid w:val="06F21F49"/>
    <w:rsid w:val="0A79472F"/>
    <w:rsid w:val="0B662F05"/>
    <w:rsid w:val="110F36F7"/>
    <w:rsid w:val="11BD3153"/>
    <w:rsid w:val="14594991"/>
    <w:rsid w:val="15672512"/>
    <w:rsid w:val="1BA16CF9"/>
    <w:rsid w:val="1C984EE8"/>
    <w:rsid w:val="1E82331D"/>
    <w:rsid w:val="23871813"/>
    <w:rsid w:val="25EA6412"/>
    <w:rsid w:val="26AA7CF2"/>
    <w:rsid w:val="27147861"/>
    <w:rsid w:val="27B5694E"/>
    <w:rsid w:val="2C262292"/>
    <w:rsid w:val="2CA06B0E"/>
    <w:rsid w:val="31973569"/>
    <w:rsid w:val="319E1D2A"/>
    <w:rsid w:val="32BD6FFF"/>
    <w:rsid w:val="3434509F"/>
    <w:rsid w:val="34AE30A3"/>
    <w:rsid w:val="351C625F"/>
    <w:rsid w:val="3806155D"/>
    <w:rsid w:val="383A69FC"/>
    <w:rsid w:val="38F62C00"/>
    <w:rsid w:val="3A2133F1"/>
    <w:rsid w:val="3B4402BD"/>
    <w:rsid w:val="3DC70D32"/>
    <w:rsid w:val="3E4707A5"/>
    <w:rsid w:val="441647C1"/>
    <w:rsid w:val="47AA594C"/>
    <w:rsid w:val="48AC58B5"/>
    <w:rsid w:val="4A644130"/>
    <w:rsid w:val="4CC96874"/>
    <w:rsid w:val="4E0F475B"/>
    <w:rsid w:val="4F4C72E9"/>
    <w:rsid w:val="4F5B25C1"/>
    <w:rsid w:val="57A9177C"/>
    <w:rsid w:val="57FB7AFE"/>
    <w:rsid w:val="5A8B4B30"/>
    <w:rsid w:val="5DCF35BF"/>
    <w:rsid w:val="654E74BF"/>
    <w:rsid w:val="670C3929"/>
    <w:rsid w:val="6A8219B9"/>
    <w:rsid w:val="6D2531FB"/>
    <w:rsid w:val="6E184077"/>
    <w:rsid w:val="713C6D66"/>
    <w:rsid w:val="764741E2"/>
    <w:rsid w:val="7919798C"/>
    <w:rsid w:val="7A684727"/>
    <w:rsid w:val="7A805F15"/>
    <w:rsid w:val="7CA57EB5"/>
    <w:rsid w:val="7D6633B0"/>
    <w:rsid w:val="7DBF6D54"/>
    <w:rsid w:val="7E9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2023-10-25T09:26:00Z</dcterms:created>
  <dc:creator>16959</dc:creator>
  <cp:lastModifiedBy>幻影信徒</cp:lastModifiedBy>
  <dcterms:modified xsi:type="dcterms:W3CDTF">2023-10-28T08:31:34Z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127A3C662BA04B7BAB78771C67CCEFE5_12</vt:lpwstr>
  </property>
</Properties>
</file>