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C73" w14:textId="77777777" w:rsidR="00FE3565" w:rsidRPr="00FE3565" w:rsidRDefault="00FE3565" w:rsidP="00FE35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3565">
        <w:rPr>
          <w:rFonts w:ascii="Arial" w:hAnsi="Arial" w:cs="Arial"/>
          <w:sz w:val="24"/>
          <w:szCs w:val="24"/>
          <w:u w:val="single"/>
        </w:rPr>
        <w:t>Supplementary Table 1:</w:t>
      </w:r>
      <w:r w:rsidRPr="00FE3565">
        <w:rPr>
          <w:rFonts w:ascii="Arial" w:hAnsi="Arial" w:cs="Arial"/>
          <w:sz w:val="24"/>
          <w:szCs w:val="24"/>
        </w:rPr>
        <w:t xml:space="preserve"> </w:t>
      </w:r>
      <w:r w:rsidRPr="00FE3565">
        <w:rPr>
          <w:rFonts w:ascii="Arial" w:hAnsi="Arial" w:cs="Arial"/>
          <w:i/>
          <w:iCs/>
          <w:sz w:val="24"/>
          <w:szCs w:val="24"/>
        </w:rPr>
        <w:t>Salmonella</w:t>
      </w:r>
      <w:r w:rsidRPr="00FE3565">
        <w:rPr>
          <w:rFonts w:ascii="Arial" w:hAnsi="Arial" w:cs="Arial"/>
          <w:sz w:val="24"/>
          <w:szCs w:val="24"/>
        </w:rPr>
        <w:t xml:space="preserve"> sample results from pig farms, by farm type.</w:t>
      </w: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1838"/>
        <w:gridCol w:w="859"/>
        <w:gridCol w:w="1126"/>
        <w:gridCol w:w="962"/>
        <w:gridCol w:w="1748"/>
      </w:tblGrid>
      <w:tr w:rsidR="00881B71" w:rsidRPr="00881B71" w14:paraId="64FE4793" w14:textId="77777777" w:rsidTr="00881B71">
        <w:trPr>
          <w:trHeight w:val="5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4BE67E" w14:textId="77777777" w:rsidR="00881B71" w:rsidRPr="00AE7EBD" w:rsidRDefault="00881B71" w:rsidP="00881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Farm type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8D66E1B" w14:textId="77777777" w:rsidR="00881B71" w:rsidRPr="00AE7EBD" w:rsidRDefault="00881B71" w:rsidP="00881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Farms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ABEBA" w14:textId="77777777" w:rsidR="00881B71" w:rsidRPr="00AE7EBD" w:rsidRDefault="00881B71" w:rsidP="00881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farms positive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83B2E6" w14:textId="77777777" w:rsidR="00881B71" w:rsidRPr="00AE7EBD" w:rsidRDefault="00881B71" w:rsidP="00881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samples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72E66A" w14:textId="77777777" w:rsidR="00881B71" w:rsidRPr="00AE7EBD" w:rsidRDefault="00881B71" w:rsidP="00881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 % samples positive</w:t>
            </w:r>
          </w:p>
        </w:tc>
      </w:tr>
      <w:tr w:rsidR="00881B71" w:rsidRPr="00881B71" w14:paraId="675394F6" w14:textId="77777777" w:rsidTr="00881B71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ECB" w14:textId="77777777" w:rsidR="00881B71" w:rsidRPr="00881B71" w:rsidRDefault="00881B71" w:rsidP="0088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Fattener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3CD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FD5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FB5" w14:textId="02A747B3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A03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</w:tr>
      <w:tr w:rsidR="00881B71" w:rsidRPr="00881B71" w14:paraId="7BFD18F1" w14:textId="77777777" w:rsidTr="00881B71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356" w14:textId="77777777" w:rsidR="00881B71" w:rsidRPr="00881B71" w:rsidRDefault="00881B71" w:rsidP="0088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Breeding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849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B48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CED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CC9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</w:tr>
      <w:tr w:rsidR="00881B71" w:rsidRPr="00881B71" w14:paraId="0087E08B" w14:textId="77777777" w:rsidTr="00881B71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228" w14:textId="77777777" w:rsidR="00881B71" w:rsidRPr="00881B71" w:rsidRDefault="00881B71" w:rsidP="0088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Farrow-to-finish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511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388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087" w14:textId="66765938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060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6C2" w14:textId="77777777" w:rsidR="00881B71" w:rsidRPr="00881B71" w:rsidRDefault="00881B71" w:rsidP="00881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B71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</w:tr>
    </w:tbl>
    <w:p w14:paraId="4627F1FC" w14:textId="0BE238CD" w:rsidR="00FE3565" w:rsidRDefault="00FE3565" w:rsidP="00FE3565"/>
    <w:p w14:paraId="1B218C47" w14:textId="153FAB7B" w:rsidR="00CF1B0F" w:rsidRPr="003F2149" w:rsidRDefault="00CF1B0F" w:rsidP="00CF1B0F">
      <w:pPr>
        <w:rPr>
          <w:rFonts w:ascii="Arial" w:hAnsi="Arial" w:cs="Arial"/>
          <w:sz w:val="24"/>
          <w:szCs w:val="24"/>
        </w:rPr>
      </w:pPr>
      <w:r w:rsidRPr="003F2149">
        <w:rPr>
          <w:rFonts w:ascii="Arial" w:hAnsi="Arial" w:cs="Arial"/>
          <w:sz w:val="24"/>
          <w:szCs w:val="24"/>
          <w:u w:val="single"/>
        </w:rPr>
        <w:t>Supplementary Table 2:</w:t>
      </w:r>
      <w:r w:rsidRPr="003F2149">
        <w:rPr>
          <w:rFonts w:ascii="Arial" w:hAnsi="Arial" w:cs="Arial"/>
          <w:sz w:val="24"/>
          <w:szCs w:val="24"/>
        </w:rPr>
        <w:t xml:space="preserve"> </w:t>
      </w:r>
      <w:r w:rsidRPr="003F2149">
        <w:rPr>
          <w:rFonts w:ascii="Arial" w:hAnsi="Arial" w:cs="Arial"/>
          <w:i/>
          <w:iCs/>
          <w:sz w:val="24"/>
          <w:szCs w:val="24"/>
        </w:rPr>
        <w:t>Salmonella</w:t>
      </w:r>
      <w:r w:rsidRPr="003F2149">
        <w:rPr>
          <w:rFonts w:ascii="Arial" w:hAnsi="Arial" w:cs="Arial"/>
          <w:sz w:val="24"/>
          <w:szCs w:val="24"/>
        </w:rPr>
        <w:t xml:space="preserve"> serovars detected from 250 European pig farms.</w:t>
      </w:r>
    </w:p>
    <w:tbl>
      <w:tblPr>
        <w:tblW w:w="10139" w:type="dxa"/>
        <w:tblInd w:w="-318" w:type="dxa"/>
        <w:tblLook w:val="04A0" w:firstRow="1" w:lastRow="0" w:firstColumn="1" w:lastColumn="0" w:noHBand="0" w:noVBand="1"/>
      </w:tblPr>
      <w:tblGrid>
        <w:gridCol w:w="919"/>
        <w:gridCol w:w="764"/>
        <w:gridCol w:w="1503"/>
        <w:gridCol w:w="910"/>
        <w:gridCol w:w="1446"/>
        <w:gridCol w:w="1180"/>
        <w:gridCol w:w="652"/>
        <w:gridCol w:w="1256"/>
        <w:gridCol w:w="799"/>
        <w:gridCol w:w="836"/>
      </w:tblGrid>
      <w:tr w:rsidR="003F2149" w:rsidRPr="003F2149" w14:paraId="29C7ABC9" w14:textId="77777777" w:rsidTr="00CF1B0F">
        <w:trPr>
          <w:trHeight w:val="6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542355" w14:textId="77777777" w:rsidR="00CF1B0F" w:rsidRPr="003F2149" w:rsidRDefault="00CF1B0F" w:rsidP="00CF1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lang w:eastAsia="en-GB"/>
              </w:rPr>
              <w:t>Serovar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3DC398F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Derby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299204F" w14:textId="4CA5C242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Typhimurium,  monophasic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77925C2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Infantis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AA39A7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Typhimurium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6727BA9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Enteritidis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0FEBA85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Give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74635AB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S. Livingstone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B85A12E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S. </w:t>
            </w:r>
            <w:proofErr w:type="spellStart"/>
            <w:r w:rsidRPr="003F214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Rissen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0856D87" w14:textId="77777777" w:rsidR="00CF1B0F" w:rsidRPr="003F2149" w:rsidRDefault="00CF1B0F" w:rsidP="00CF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b/>
                <w:bCs/>
                <w:lang w:eastAsia="en-GB"/>
              </w:rPr>
              <w:t>Others</w:t>
            </w:r>
          </w:p>
        </w:tc>
      </w:tr>
      <w:tr w:rsidR="003F2149" w:rsidRPr="003F2149" w14:paraId="46F1EC22" w14:textId="77777777" w:rsidTr="00CF1B0F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C64" w14:textId="77777777" w:rsidR="00CF1B0F" w:rsidRPr="003F2149" w:rsidRDefault="00CF1B0F" w:rsidP="00CF1B0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No. isolates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862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B6A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3BF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FBE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F31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C77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034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EBD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D2C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3F2149" w:rsidRPr="003F2149" w14:paraId="65B3BA0F" w14:textId="77777777" w:rsidTr="00CF1B0F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473" w14:textId="77777777" w:rsidR="00CF1B0F" w:rsidRPr="003F2149" w:rsidRDefault="00CF1B0F" w:rsidP="00CF1B0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% of 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048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33.0%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88F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28.6%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3045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10.4%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D9A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8.8%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46B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3.0%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728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2.4%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DCB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2.4%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A6F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2.0%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4F4" w14:textId="77777777" w:rsidR="00CF1B0F" w:rsidRPr="003F2149" w:rsidRDefault="00CF1B0F" w:rsidP="00CF1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F2149">
              <w:rPr>
                <w:rFonts w:ascii="Calibri" w:eastAsia="Times New Roman" w:hAnsi="Calibri" w:cs="Calibri"/>
                <w:lang w:eastAsia="en-GB"/>
              </w:rPr>
              <w:t>9.4%</w:t>
            </w:r>
          </w:p>
        </w:tc>
      </w:tr>
    </w:tbl>
    <w:p w14:paraId="1AFDF15F" w14:textId="62EEE8F4" w:rsidR="00CF1B0F" w:rsidRPr="003F2149" w:rsidRDefault="00F90DBB" w:rsidP="00FE3565">
      <w:pPr>
        <w:rPr>
          <w:rFonts w:ascii="Arial" w:hAnsi="Arial" w:cs="Arial"/>
          <w:sz w:val="24"/>
          <w:szCs w:val="24"/>
        </w:rPr>
      </w:pPr>
      <w:r w:rsidRPr="003F2149">
        <w:rPr>
          <w:rFonts w:ascii="Arial" w:hAnsi="Arial" w:cs="Arial"/>
          <w:sz w:val="24"/>
          <w:szCs w:val="24"/>
        </w:rPr>
        <w:t>* Serovars were not determined from farms from</w:t>
      </w:r>
      <w:r w:rsidR="009256B7">
        <w:rPr>
          <w:rFonts w:ascii="Arial" w:hAnsi="Arial" w:cs="Arial"/>
          <w:sz w:val="24"/>
          <w:szCs w:val="24"/>
        </w:rPr>
        <w:t xml:space="preserve"> DE, </w:t>
      </w:r>
      <w:r w:rsidRPr="003F2149">
        <w:rPr>
          <w:rFonts w:ascii="Arial" w:hAnsi="Arial" w:cs="Arial"/>
          <w:sz w:val="24"/>
          <w:szCs w:val="24"/>
        </w:rPr>
        <w:t>NL and EE</w:t>
      </w:r>
      <w:r w:rsidR="009256B7">
        <w:rPr>
          <w:rFonts w:ascii="Arial" w:hAnsi="Arial" w:cs="Arial"/>
          <w:sz w:val="24"/>
          <w:szCs w:val="24"/>
        </w:rPr>
        <w:t>.</w:t>
      </w:r>
    </w:p>
    <w:p w14:paraId="53620F2D" w14:textId="77777777" w:rsidR="00BE65DF" w:rsidRDefault="00BE65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99C2AFC" w14:textId="654CEE62" w:rsidR="00AE7EBD" w:rsidRDefault="00AE7EBD" w:rsidP="00AE7EBD">
      <w:pPr>
        <w:rPr>
          <w:rFonts w:ascii="Arial" w:hAnsi="Arial" w:cs="Arial"/>
          <w:sz w:val="24"/>
          <w:szCs w:val="24"/>
        </w:rPr>
      </w:pPr>
      <w:r w:rsidRPr="000F71C9">
        <w:rPr>
          <w:rFonts w:ascii="Arial" w:hAnsi="Arial" w:cs="Arial"/>
          <w:sz w:val="24"/>
          <w:szCs w:val="24"/>
          <w:u w:val="single"/>
        </w:rPr>
        <w:lastRenderedPageBreak/>
        <w:t xml:space="preserve">Supplementary Table </w:t>
      </w:r>
      <w:r w:rsidR="00CF1B0F">
        <w:rPr>
          <w:rFonts w:ascii="Arial" w:hAnsi="Arial" w:cs="Arial"/>
          <w:sz w:val="24"/>
          <w:szCs w:val="24"/>
          <w:u w:val="single"/>
        </w:rPr>
        <w:t>4</w:t>
      </w:r>
      <w:r w:rsidRPr="000F71C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Multivariable </w:t>
      </w:r>
      <w:r w:rsidRPr="000F71C9">
        <w:rPr>
          <w:rFonts w:ascii="Arial" w:hAnsi="Arial" w:cs="Arial"/>
          <w:sz w:val="24"/>
          <w:szCs w:val="24"/>
        </w:rPr>
        <w:t xml:space="preserve">logistic regression of </w:t>
      </w:r>
      <w:r w:rsidRPr="000F71C9">
        <w:rPr>
          <w:rFonts w:ascii="Arial" w:hAnsi="Arial" w:cs="Arial"/>
          <w:i/>
          <w:iCs/>
          <w:sz w:val="24"/>
          <w:szCs w:val="24"/>
        </w:rPr>
        <w:t>Salmonella</w:t>
      </w:r>
      <w:r w:rsidRPr="000F71C9">
        <w:rPr>
          <w:rFonts w:ascii="Arial" w:hAnsi="Arial" w:cs="Arial"/>
          <w:sz w:val="24"/>
          <w:szCs w:val="24"/>
        </w:rPr>
        <w:t xml:space="preserve"> risk categorisation on pig farms</w:t>
      </w:r>
      <w:r>
        <w:rPr>
          <w:rFonts w:ascii="Arial" w:hAnsi="Arial" w:cs="Arial"/>
          <w:sz w:val="24"/>
          <w:szCs w:val="24"/>
        </w:rPr>
        <w:t xml:space="preserve">, </w:t>
      </w:r>
      <w:r w:rsidR="00F90DBB">
        <w:rPr>
          <w:rFonts w:ascii="Arial" w:hAnsi="Arial" w:cs="Arial"/>
          <w:sz w:val="24"/>
          <w:szCs w:val="24"/>
        </w:rPr>
        <w:t>excluding</w:t>
      </w:r>
      <w:r>
        <w:rPr>
          <w:rFonts w:ascii="Arial" w:hAnsi="Arial" w:cs="Arial"/>
          <w:sz w:val="24"/>
          <w:szCs w:val="24"/>
        </w:rPr>
        <w:t xml:space="preserve"> farms from Estonia and the Netherlands</w:t>
      </w:r>
      <w:r w:rsidR="009256B7">
        <w:rPr>
          <w:rFonts w:ascii="Arial" w:hAnsi="Arial" w:cs="Arial"/>
          <w:sz w:val="24"/>
          <w:szCs w:val="24"/>
        </w:rPr>
        <w:t>. A further 20 farms were omitted from the model due to a category being dropped as it predicted failure perfectly</w:t>
      </w:r>
      <w:r w:rsidRPr="000F71C9">
        <w:rPr>
          <w:rFonts w:ascii="Arial" w:hAnsi="Arial" w:cs="Arial"/>
          <w:sz w:val="24"/>
          <w:szCs w:val="24"/>
        </w:rPr>
        <w:t xml:space="preserve"> (</w:t>
      </w:r>
      <w:r w:rsidR="009256B7">
        <w:rPr>
          <w:rFonts w:ascii="Arial" w:hAnsi="Arial" w:cs="Arial"/>
          <w:sz w:val="24"/>
          <w:szCs w:val="24"/>
        </w:rPr>
        <w:t xml:space="preserve">model </w:t>
      </w:r>
      <w:r w:rsidRPr="000F71C9">
        <w:rPr>
          <w:rFonts w:ascii="Arial" w:hAnsi="Arial" w:cs="Arial"/>
          <w:sz w:val="24"/>
          <w:szCs w:val="24"/>
        </w:rPr>
        <w:t>n=</w:t>
      </w:r>
      <w:r>
        <w:rPr>
          <w:rFonts w:ascii="Arial" w:hAnsi="Arial" w:cs="Arial"/>
          <w:sz w:val="24"/>
          <w:szCs w:val="24"/>
        </w:rPr>
        <w:t>179</w:t>
      </w:r>
      <w:r w:rsidRPr="000F71C9">
        <w:rPr>
          <w:rFonts w:ascii="Arial" w:hAnsi="Arial" w:cs="Arial"/>
          <w:sz w:val="24"/>
          <w:szCs w:val="24"/>
        </w:rPr>
        <w:t>).</w:t>
      </w:r>
    </w:p>
    <w:tbl>
      <w:tblPr>
        <w:tblW w:w="9353" w:type="dxa"/>
        <w:tblInd w:w="118" w:type="dxa"/>
        <w:tblLook w:val="04A0" w:firstRow="1" w:lastRow="0" w:firstColumn="1" w:lastColumn="0" w:noHBand="0" w:noVBand="1"/>
      </w:tblPr>
      <w:tblGrid>
        <w:gridCol w:w="3676"/>
        <w:gridCol w:w="2410"/>
        <w:gridCol w:w="1001"/>
        <w:gridCol w:w="718"/>
        <w:gridCol w:w="718"/>
        <w:gridCol w:w="830"/>
      </w:tblGrid>
      <w:tr w:rsidR="00AE7EBD" w:rsidRPr="00AE7EBD" w14:paraId="4A9D2EDE" w14:textId="77777777" w:rsidTr="00AE7EBD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9CFBDA4" w14:textId="77777777" w:rsidR="00AE7EBD" w:rsidRPr="00AE7EBD" w:rsidRDefault="00AE7EBD" w:rsidP="00AE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lang w:eastAsia="en-GB"/>
              </w:rPr>
              <w:t>Variable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1AB0C73" w14:textId="77777777" w:rsidR="00AE7EBD" w:rsidRPr="00AE7EBD" w:rsidRDefault="00AE7EBD" w:rsidP="00AE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lang w:eastAsia="en-GB"/>
              </w:rPr>
              <w:t>Category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A0989BE" w14:textId="77777777" w:rsidR="00AE7EBD" w:rsidRPr="00AE7EBD" w:rsidRDefault="00AE7EBD" w:rsidP="00AE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lang w:eastAsia="en-GB"/>
              </w:rPr>
              <w:t>Odds Ratio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AF62280" w14:textId="77777777" w:rsidR="00AE7EBD" w:rsidRPr="00AE7EBD" w:rsidRDefault="00AE7EBD" w:rsidP="00AE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lang w:eastAsia="en-GB"/>
              </w:rPr>
              <w:t>P-value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14:paraId="7F967897" w14:textId="77777777" w:rsidR="00AE7EBD" w:rsidRPr="00AE7EBD" w:rsidRDefault="00AE7EBD" w:rsidP="00AE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b/>
                <w:bCs/>
                <w:lang w:eastAsia="en-GB"/>
              </w:rPr>
              <w:t>95% Confidence Interval</w:t>
            </w:r>
          </w:p>
        </w:tc>
      </w:tr>
      <w:tr w:rsidR="00AE7EBD" w:rsidRPr="00AE7EBD" w14:paraId="06B25F41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1BD7CA" w14:textId="46A25A43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No. of sows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0B64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DF36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D2F6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7FD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F89D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02F03429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3FCE748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5E25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1-400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72A2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656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FA6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14C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0.915</w:t>
            </w:r>
          </w:p>
        </w:tc>
      </w:tr>
      <w:tr w:rsidR="00AE7EBD" w:rsidRPr="00AE7EBD" w14:paraId="2FEBFE95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40DAA50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995B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401-1000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FDD2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18E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8DC2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4EC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5.469</w:t>
            </w:r>
          </w:p>
        </w:tc>
      </w:tr>
      <w:tr w:rsidR="00AE7EBD" w:rsidRPr="00AE7EBD" w14:paraId="42F3BA4E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B926403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7E51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1000+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97E2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1.875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44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0.550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9292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0.238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C6A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14.759</w:t>
            </w:r>
          </w:p>
        </w:tc>
      </w:tr>
      <w:tr w:rsidR="00AE7EBD" w:rsidRPr="00AE7EBD" w14:paraId="1247F914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B3F2BEA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60DC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C23F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0.906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BB1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0.902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15E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F904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4.304</w:t>
            </w:r>
          </w:p>
        </w:tc>
      </w:tr>
      <w:tr w:rsidR="00AE7EBD" w:rsidRPr="00AE7EBD" w14:paraId="67606692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2B39F2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Are rodent baits used in the surroundings of the farm enclosures?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F64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8A8F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37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B5F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1A73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6DB42C47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84BE31A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442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844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0.206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96F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488B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A29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0.654</w:t>
            </w:r>
          </w:p>
        </w:tc>
      </w:tr>
      <w:tr w:rsidR="00AE7EBD" w:rsidRPr="00AE7EBD" w14:paraId="531C006E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41381F3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1F51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50AC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C634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C1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0D1D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1.679</w:t>
            </w:r>
          </w:p>
        </w:tc>
      </w:tr>
      <w:tr w:rsidR="00AE7EBD" w:rsidRPr="00AE7EBD" w14:paraId="4A539A69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494F34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Are stay-behinds always isolated from the healthy ones (in physically separated hospital area/or by euthanasia)?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7687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DD9A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E8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15E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906D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5B6EC7CD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4578ECE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3474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01C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0.383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45F9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616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91A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1.178</w:t>
            </w:r>
          </w:p>
        </w:tc>
      </w:tr>
      <w:tr w:rsidR="00AE7EBD" w:rsidRPr="00AE7EBD" w14:paraId="2EE90DA7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3F3E148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70E0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CE4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0.404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91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0.472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834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45E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4.787</w:t>
            </w:r>
          </w:p>
        </w:tc>
      </w:tr>
      <w:tr w:rsidR="00AE7EBD" w:rsidRPr="00AE7EBD" w14:paraId="79B189A9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BD80A2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Is the floor in each anteroom/hygiene lock even/ without damages and thereby easy to clean and to disinfect?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C8CD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BA3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7D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153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C56C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E7EBD" w:rsidRPr="00AE7EBD" w14:paraId="5123A31E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AFB18E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F6CF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597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97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00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CD6D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0.922</w:t>
            </w:r>
          </w:p>
        </w:tc>
      </w:tr>
      <w:tr w:rsidR="00AE7EBD" w:rsidRPr="00AE7EBD" w14:paraId="597E990E" w14:textId="77777777" w:rsidTr="009256B7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358B8A" w14:textId="77777777" w:rsidR="00AE7EBD" w:rsidRPr="00AE7EBD" w:rsidRDefault="00AE7EBD" w:rsidP="0092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Are all farm buildings/ fields surrounded by a perimeter fence?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1E94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Single or double fenced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C76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6F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657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3038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E7EBD" w:rsidRPr="00AE7EBD" w14:paraId="5232EB5D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8C28E37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D5E9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DC5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5C44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D2F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CB8F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0.645</w:t>
            </w:r>
          </w:p>
        </w:tc>
      </w:tr>
      <w:tr w:rsidR="00AE7EBD" w:rsidRPr="00AE7EBD" w14:paraId="45CED81F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67C3464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9F7E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Partly interrupted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8356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Dropped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68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EE4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197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4CAABA08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45EF7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Which standard cleaning and disinfection procedures are used in the farrowing barns between batches? - Downtime (at least 3 days).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3F4F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917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A6C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B149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279F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32CFDF6A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CAF9262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8C67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F3E1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0.203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DBE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F1BF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1045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0.764</w:t>
            </w:r>
          </w:p>
        </w:tc>
      </w:tr>
      <w:tr w:rsidR="00AE7EBD" w:rsidRPr="00AE7EBD" w14:paraId="5176E6C0" w14:textId="77777777" w:rsidTr="00AE7EBD">
        <w:trPr>
          <w:trHeight w:val="28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BBAAFC2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What kind of flooring system is in the barn sections for fatteners?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A5E7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Any other flooring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75A5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5FC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0C43" w14:textId="77777777" w:rsidR="00AE7EBD" w:rsidRPr="00AE7EBD" w:rsidRDefault="00AE7EBD" w:rsidP="00A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2429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E7EBD" w:rsidRPr="00AE7EBD" w14:paraId="27D7892C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7F33E2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40A9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Only solid floor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24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0.322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68A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0.207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2D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6BD5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1.871</w:t>
            </w:r>
          </w:p>
        </w:tc>
      </w:tr>
      <w:tr w:rsidR="00AE7EBD" w:rsidRPr="00AE7EBD" w14:paraId="688524B4" w14:textId="77777777" w:rsidTr="00AE7EBD">
        <w:trPr>
          <w:trHeight w:val="288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B618B5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8250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Only full slats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177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0.359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3448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37E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0400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1.249</w:t>
            </w:r>
          </w:p>
        </w:tc>
      </w:tr>
      <w:tr w:rsidR="00AE7EBD" w:rsidRPr="00AE7EBD" w14:paraId="71C71242" w14:textId="77777777" w:rsidTr="00AE7EBD">
        <w:trPr>
          <w:trHeight w:val="30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DDE9C7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4FB6" w14:textId="77777777" w:rsidR="00AE7EBD" w:rsidRPr="00AE7EBD" w:rsidRDefault="00AE7EBD" w:rsidP="00AE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Not present/ missing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B97B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0.686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7EA6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0.637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6D69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0.144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3D73" w14:textId="77777777" w:rsidR="00AE7EBD" w:rsidRPr="00AE7EBD" w:rsidRDefault="00AE7EBD" w:rsidP="00AE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7EBD">
              <w:rPr>
                <w:rFonts w:ascii="Calibri" w:eastAsia="Times New Roman" w:hAnsi="Calibri" w:cs="Calibri"/>
                <w:color w:val="000000"/>
                <w:lang w:eastAsia="en-GB"/>
              </w:rPr>
              <w:t>3.278</w:t>
            </w:r>
          </w:p>
        </w:tc>
      </w:tr>
    </w:tbl>
    <w:p w14:paraId="7C1A3CD8" w14:textId="77777777" w:rsidR="00AE7EBD" w:rsidRDefault="00AE7EBD" w:rsidP="00AE7EBD">
      <w:pPr>
        <w:rPr>
          <w:rFonts w:ascii="Arial" w:hAnsi="Arial" w:cs="Arial"/>
          <w:sz w:val="24"/>
          <w:szCs w:val="24"/>
        </w:rPr>
      </w:pPr>
    </w:p>
    <w:p w14:paraId="685CDEF9" w14:textId="36425EED" w:rsidR="00750FF8" w:rsidRPr="00AB7142" w:rsidRDefault="00750FF8" w:rsidP="00750FF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407C85" wp14:editId="63F5CCA9">
            <wp:extent cx="5219700" cy="326072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2E51C51-5E50-476A-B3A2-5CD566C0F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E2E041" w14:textId="43EE7B4D" w:rsidR="00750FF8" w:rsidRPr="003F2149" w:rsidRDefault="00750FF8" w:rsidP="00750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149">
        <w:rPr>
          <w:rFonts w:ascii="Arial" w:hAnsi="Arial" w:cs="Arial"/>
          <w:sz w:val="24"/>
          <w:szCs w:val="24"/>
          <w:u w:val="single"/>
        </w:rPr>
        <w:t>Supplementary Figure 1:</w:t>
      </w:r>
      <w:r w:rsidRPr="003F2149">
        <w:rPr>
          <w:rFonts w:ascii="Arial" w:hAnsi="Arial" w:cs="Arial"/>
          <w:sz w:val="24"/>
          <w:szCs w:val="24"/>
        </w:rPr>
        <w:t xml:space="preserve"> </w:t>
      </w:r>
      <w:r w:rsidRPr="003F2149">
        <w:rPr>
          <w:rFonts w:ascii="Arial" w:hAnsi="Arial" w:cs="Arial"/>
          <w:i/>
          <w:iCs/>
          <w:sz w:val="24"/>
          <w:szCs w:val="24"/>
        </w:rPr>
        <w:t>Salmonella</w:t>
      </w:r>
      <w:r w:rsidRPr="003F2149">
        <w:rPr>
          <w:rFonts w:ascii="Arial" w:hAnsi="Arial" w:cs="Arial"/>
          <w:sz w:val="24"/>
          <w:szCs w:val="24"/>
        </w:rPr>
        <w:t xml:space="preserve"> serovars detected from a selection of European pig farms and the number of isolates detected of each.</w:t>
      </w:r>
      <w:r w:rsidR="003F2149" w:rsidRPr="003F2149">
        <w:rPr>
          <w:rFonts w:ascii="Arial" w:hAnsi="Arial" w:cs="Arial"/>
          <w:sz w:val="24"/>
          <w:szCs w:val="24"/>
        </w:rPr>
        <w:t xml:space="preserve"> Single isolations includes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 xml:space="preserve"> S</w:t>
      </w:r>
      <w:r w:rsidR="003F2149" w:rsidRPr="003F2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2149" w:rsidRPr="003F2149">
        <w:rPr>
          <w:rFonts w:ascii="Arial" w:hAnsi="Arial" w:cs="Arial"/>
          <w:sz w:val="24"/>
          <w:szCs w:val="24"/>
        </w:rPr>
        <w:t>Kedougou</w:t>
      </w:r>
      <w:proofErr w:type="spellEnd"/>
      <w:r w:rsidR="003F2149" w:rsidRPr="003F2149">
        <w:rPr>
          <w:rFonts w:ascii="Arial" w:hAnsi="Arial" w:cs="Arial"/>
          <w:sz w:val="24"/>
          <w:szCs w:val="24"/>
        </w:rPr>
        <w:t xml:space="preserve">,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Newport,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Reading,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2149" w:rsidRPr="003F2149">
        <w:rPr>
          <w:rFonts w:ascii="Arial" w:hAnsi="Arial" w:cs="Arial"/>
          <w:sz w:val="24"/>
          <w:szCs w:val="24"/>
        </w:rPr>
        <w:t>Bovismorbificans</w:t>
      </w:r>
      <w:proofErr w:type="spellEnd"/>
      <w:r w:rsidR="003F2149" w:rsidRPr="003F2149">
        <w:rPr>
          <w:rFonts w:ascii="Arial" w:hAnsi="Arial" w:cs="Arial"/>
          <w:sz w:val="24"/>
          <w:szCs w:val="24"/>
        </w:rPr>
        <w:t xml:space="preserve">,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Brandenburg,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2149" w:rsidRPr="003F2149">
        <w:rPr>
          <w:rFonts w:ascii="Arial" w:hAnsi="Arial" w:cs="Arial"/>
          <w:sz w:val="24"/>
          <w:szCs w:val="24"/>
        </w:rPr>
        <w:t>Paratyphi</w:t>
      </w:r>
      <w:proofErr w:type="spellEnd"/>
      <w:r w:rsidR="003F2149" w:rsidRPr="003F2149">
        <w:rPr>
          <w:rFonts w:ascii="Arial" w:hAnsi="Arial" w:cs="Arial"/>
          <w:sz w:val="24"/>
          <w:szCs w:val="24"/>
        </w:rPr>
        <w:t xml:space="preserve"> B and </w:t>
      </w:r>
      <w:r w:rsidR="003F2149" w:rsidRPr="003F2149">
        <w:rPr>
          <w:rFonts w:ascii="Arial" w:hAnsi="Arial" w:cs="Arial"/>
          <w:i/>
          <w:iCs/>
          <w:sz w:val="24"/>
          <w:szCs w:val="24"/>
        </w:rPr>
        <w:t>S</w:t>
      </w:r>
      <w:r w:rsidR="003F2149" w:rsidRPr="003F2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2149" w:rsidRPr="003F2149">
        <w:rPr>
          <w:rFonts w:ascii="Arial" w:hAnsi="Arial" w:cs="Arial"/>
          <w:sz w:val="24"/>
          <w:szCs w:val="24"/>
        </w:rPr>
        <w:t>Senftenberg</w:t>
      </w:r>
      <w:proofErr w:type="spellEnd"/>
      <w:r w:rsidR="003F2149" w:rsidRPr="003F2149">
        <w:rPr>
          <w:rFonts w:ascii="Arial" w:hAnsi="Arial" w:cs="Arial"/>
          <w:sz w:val="24"/>
          <w:szCs w:val="24"/>
        </w:rPr>
        <w:t>.</w:t>
      </w:r>
    </w:p>
    <w:p w14:paraId="0F981CF9" w14:textId="77777777" w:rsidR="00AE7EBD" w:rsidRPr="00FE3565" w:rsidRDefault="00AE7EBD" w:rsidP="00FE3565"/>
    <w:sectPr w:rsidR="00AE7EBD" w:rsidRPr="00FE3565" w:rsidSect="00BC5B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4FC4" w14:textId="77777777" w:rsidR="00156ED9" w:rsidRDefault="00156ED9" w:rsidP="00156ED9">
      <w:pPr>
        <w:spacing w:after="0" w:line="240" w:lineRule="auto"/>
      </w:pPr>
      <w:r>
        <w:separator/>
      </w:r>
    </w:p>
  </w:endnote>
  <w:endnote w:type="continuationSeparator" w:id="0">
    <w:p w14:paraId="30C55893" w14:textId="77777777" w:rsidR="00156ED9" w:rsidRDefault="00156ED9" w:rsidP="0015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08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C3FA7" w14:textId="07B2D92F" w:rsidR="00156ED9" w:rsidRDefault="00156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E9A1C" w14:textId="77777777" w:rsidR="00156ED9" w:rsidRDefault="0015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650D" w14:textId="77777777" w:rsidR="00156ED9" w:rsidRDefault="00156ED9" w:rsidP="00156ED9">
      <w:pPr>
        <w:spacing w:after="0" w:line="240" w:lineRule="auto"/>
      </w:pPr>
      <w:r>
        <w:separator/>
      </w:r>
    </w:p>
  </w:footnote>
  <w:footnote w:type="continuationSeparator" w:id="0">
    <w:p w14:paraId="14659CE4" w14:textId="77777777" w:rsidR="00156ED9" w:rsidRDefault="00156ED9" w:rsidP="0015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DB4"/>
    <w:multiLevelType w:val="hybridMultilevel"/>
    <w:tmpl w:val="FF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5"/>
    <w:rsid w:val="00043E9B"/>
    <w:rsid w:val="000B5B83"/>
    <w:rsid w:val="000F71C9"/>
    <w:rsid w:val="00114E3D"/>
    <w:rsid w:val="00145479"/>
    <w:rsid w:val="00156ED9"/>
    <w:rsid w:val="00172805"/>
    <w:rsid w:val="00172D14"/>
    <w:rsid w:val="0017778B"/>
    <w:rsid w:val="001B7CA2"/>
    <w:rsid w:val="002167EE"/>
    <w:rsid w:val="00242B94"/>
    <w:rsid w:val="002556B4"/>
    <w:rsid w:val="00266435"/>
    <w:rsid w:val="002C1394"/>
    <w:rsid w:val="00325868"/>
    <w:rsid w:val="003F2149"/>
    <w:rsid w:val="00434114"/>
    <w:rsid w:val="004449D8"/>
    <w:rsid w:val="00467876"/>
    <w:rsid w:val="00472283"/>
    <w:rsid w:val="004D2CC9"/>
    <w:rsid w:val="004F6C35"/>
    <w:rsid w:val="00582817"/>
    <w:rsid w:val="005D04F1"/>
    <w:rsid w:val="005D7F69"/>
    <w:rsid w:val="005F3BAD"/>
    <w:rsid w:val="0062639F"/>
    <w:rsid w:val="0062753F"/>
    <w:rsid w:val="00645DAF"/>
    <w:rsid w:val="00681BAF"/>
    <w:rsid w:val="006F7209"/>
    <w:rsid w:val="007111BA"/>
    <w:rsid w:val="00750FF8"/>
    <w:rsid w:val="00797543"/>
    <w:rsid w:val="007E0805"/>
    <w:rsid w:val="008544F3"/>
    <w:rsid w:val="00857E33"/>
    <w:rsid w:val="00866E5C"/>
    <w:rsid w:val="00881B71"/>
    <w:rsid w:val="008D2DE8"/>
    <w:rsid w:val="009256B7"/>
    <w:rsid w:val="00940305"/>
    <w:rsid w:val="00976C64"/>
    <w:rsid w:val="00990147"/>
    <w:rsid w:val="009C578E"/>
    <w:rsid w:val="009D0332"/>
    <w:rsid w:val="00A234A4"/>
    <w:rsid w:val="00A854C3"/>
    <w:rsid w:val="00AB1931"/>
    <w:rsid w:val="00AE7EBD"/>
    <w:rsid w:val="00B32C87"/>
    <w:rsid w:val="00B430AB"/>
    <w:rsid w:val="00B76AD7"/>
    <w:rsid w:val="00BC5B9C"/>
    <w:rsid w:val="00BE35CE"/>
    <w:rsid w:val="00BE65DF"/>
    <w:rsid w:val="00C109AB"/>
    <w:rsid w:val="00C2387D"/>
    <w:rsid w:val="00C44A75"/>
    <w:rsid w:val="00C51A1F"/>
    <w:rsid w:val="00C84838"/>
    <w:rsid w:val="00CF1B0F"/>
    <w:rsid w:val="00D002AB"/>
    <w:rsid w:val="00D46698"/>
    <w:rsid w:val="00D92ED7"/>
    <w:rsid w:val="00E03883"/>
    <w:rsid w:val="00E147B7"/>
    <w:rsid w:val="00EB20DB"/>
    <w:rsid w:val="00EB2936"/>
    <w:rsid w:val="00EC5C04"/>
    <w:rsid w:val="00EC7EE6"/>
    <w:rsid w:val="00F235A5"/>
    <w:rsid w:val="00F30E74"/>
    <w:rsid w:val="00F90DBB"/>
    <w:rsid w:val="00FA2F85"/>
    <w:rsid w:val="00FA7C3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7F35"/>
  <w15:chartTrackingRefBased/>
  <w15:docId w15:val="{180E130D-BB73-4A39-9F1D-0B7BC6E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ED9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ED9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5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4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ED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ED9"/>
    <w:rPr>
      <w:rFonts w:ascii="Arial" w:eastAsiaTheme="majorEastAsia" w:hAnsi="Arial" w:cstheme="majorBidi"/>
      <w:sz w:val="24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6ED9"/>
    <w:p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6E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6ED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15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D9"/>
  </w:style>
  <w:style w:type="paragraph" w:styleId="Footer">
    <w:name w:val="footer"/>
    <w:basedOn w:val="Normal"/>
    <w:link w:val="FooterChar"/>
    <w:uiPriority w:val="99"/>
    <w:unhideWhenUsed/>
    <w:rsid w:val="0015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D9"/>
  </w:style>
  <w:style w:type="paragraph" w:styleId="ListParagraph">
    <w:name w:val="List Paragraph"/>
    <w:basedOn w:val="Normal"/>
    <w:uiPriority w:val="34"/>
    <w:qFormat/>
    <w:rsid w:val="00172D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78727049725191E-2"/>
          <c:y val="4.7802559246793282E-2"/>
          <c:w val="0.56558221839392553"/>
          <c:h val="0.92629921259842518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A1-4266-B322-F51E676C23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A1-4266-B322-F51E676C23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A1-4266-B322-F51E676C23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A1-4266-B322-F51E676C23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A1-4266-B322-F51E676C234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1A1-4266-B322-F51E676C234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1A1-4266-B322-F51E676C234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1A1-4266-B322-F51E676C234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1A1-4266-B322-F51E676C234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1A1-4266-B322-F51E676C234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1A1-4266-B322-F51E676C234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1A1-4266-B322-F51E676C234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1A1-4266-B322-F51E676C234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1A1-4266-B322-F51E676C234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1A1-4266-B322-F51E676C234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1A1-4266-B322-F51E676C234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41A1-4266-B322-F51E676C23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serovars!$B$207:$R$207</c:f>
              <c:strCache>
                <c:ptCount val="17"/>
                <c:pt idx="0">
                  <c:v>S. Derby</c:v>
                </c:pt>
                <c:pt idx="1">
                  <c:v>S. Typhimurium  monophasic</c:v>
                </c:pt>
                <c:pt idx="2">
                  <c:v>S. Infantis</c:v>
                </c:pt>
                <c:pt idx="3">
                  <c:v>S. Typhimurium</c:v>
                </c:pt>
                <c:pt idx="4">
                  <c:v>S. Enteritidis</c:v>
                </c:pt>
                <c:pt idx="5">
                  <c:v>S. Give</c:v>
                </c:pt>
                <c:pt idx="6">
                  <c:v>S. Livingstone</c:v>
                </c:pt>
                <c:pt idx="7">
                  <c:v>S. Rissen</c:v>
                </c:pt>
                <c:pt idx="8">
                  <c:v>S. Bredeney</c:v>
                </c:pt>
                <c:pt idx="9">
                  <c:v>S. London</c:v>
                </c:pt>
                <c:pt idx="10">
                  <c:v>S. Montevideo</c:v>
                </c:pt>
                <c:pt idx="11">
                  <c:v>S. Braenderup</c:v>
                </c:pt>
                <c:pt idx="12">
                  <c:v>S. Infantis</c:v>
                </c:pt>
                <c:pt idx="13">
                  <c:v>S. Mbandaka</c:v>
                </c:pt>
                <c:pt idx="14">
                  <c:v>S. Mishmarhaemek</c:v>
                </c:pt>
                <c:pt idx="15">
                  <c:v>S. Muenchen</c:v>
                </c:pt>
                <c:pt idx="16">
                  <c:v>Single isolations</c:v>
                </c:pt>
              </c:strCache>
            </c:strRef>
          </c:cat>
          <c:val>
            <c:numRef>
              <c:f>serovars!$B$208:$R$208</c:f>
              <c:numCache>
                <c:formatCode>General</c:formatCode>
                <c:ptCount val="17"/>
                <c:pt idx="0">
                  <c:v>98</c:v>
                </c:pt>
                <c:pt idx="1">
                  <c:v>85</c:v>
                </c:pt>
                <c:pt idx="2">
                  <c:v>31</c:v>
                </c:pt>
                <c:pt idx="3">
                  <c:v>26</c:v>
                </c:pt>
                <c:pt idx="4">
                  <c:v>9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41A1-4266-B322-F51E676C2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103224323236975"/>
          <c:y val="2.2811184629185226E-2"/>
          <c:w val="0.34166848669463762"/>
          <c:h val="0.949410943885178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DCA5-4293-4AE6-BD54-1B8BDDDD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Richard</dc:creator>
  <cp:keywords/>
  <dc:description/>
  <cp:lastModifiedBy>Smith, Richard</cp:lastModifiedBy>
  <cp:revision>4</cp:revision>
  <dcterms:created xsi:type="dcterms:W3CDTF">2022-08-08T14:44:00Z</dcterms:created>
  <dcterms:modified xsi:type="dcterms:W3CDTF">2022-12-20T16:10:00Z</dcterms:modified>
</cp:coreProperties>
</file>