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3144" w14:textId="668B5BF8" w:rsidR="003664E3" w:rsidRPr="00FC7FAB" w:rsidRDefault="003664E3" w:rsidP="002B5293">
      <w:pPr>
        <w:jc w:val="center"/>
        <w:rPr>
          <w:rFonts w:cs="Times New Roman"/>
          <w:b/>
          <w:sz w:val="24"/>
          <w:lang w:val="en-US"/>
        </w:rPr>
      </w:pPr>
      <w:bookmarkStart w:id="0" w:name="STable_1.pdf"/>
      <w:bookmarkEnd w:id="0"/>
      <w:r w:rsidRPr="00FC7FAB">
        <w:rPr>
          <w:rFonts w:cs="Times New Roman"/>
          <w:b/>
          <w:sz w:val="24"/>
          <w:lang w:val="en-US"/>
        </w:rPr>
        <w:t>Supplementary Material to:</w:t>
      </w:r>
    </w:p>
    <w:p w14:paraId="0BCCBAAA" w14:textId="77777777" w:rsidR="00177D85" w:rsidRPr="00177D85" w:rsidRDefault="00177D85" w:rsidP="00177D85">
      <w:pPr>
        <w:suppressLineNumbers/>
        <w:autoSpaceDE w:val="0"/>
        <w:autoSpaceDN w:val="0"/>
        <w:adjustRightInd w:val="0"/>
        <w:spacing w:before="0" w:after="0"/>
        <w:jc w:val="center"/>
        <w:rPr>
          <w:rFonts w:cs="Times New Roman"/>
          <w:b/>
          <w:sz w:val="24"/>
          <w:lang w:val="en-US"/>
        </w:rPr>
      </w:pPr>
      <w:bookmarkStart w:id="1" w:name="_Hlk172538709"/>
      <w:r w:rsidRPr="00177D85">
        <w:rPr>
          <w:rFonts w:cs="Times New Roman"/>
          <w:b/>
          <w:sz w:val="24"/>
          <w:lang w:val="en-US"/>
        </w:rPr>
        <w:t>Investigating the associations between personality functioning, cognitive biases, and (non-)perceptive clinical high-risk symptoms of psychosis in the community</w:t>
      </w:r>
      <w:bookmarkEnd w:id="1"/>
    </w:p>
    <w:p w14:paraId="6B8B7CA2" w14:textId="5DA4773B" w:rsidR="002B5293" w:rsidRPr="003454F4" w:rsidRDefault="002B5293" w:rsidP="002B5293">
      <w:pPr>
        <w:suppressLineNumbers/>
        <w:autoSpaceDE w:val="0"/>
        <w:autoSpaceDN w:val="0"/>
        <w:adjustRightInd w:val="0"/>
        <w:spacing w:before="0" w:after="0"/>
        <w:jc w:val="center"/>
        <w:rPr>
          <w:rFonts w:cs="Times New Roman"/>
          <w:bCs/>
          <w:color w:val="000000"/>
          <w:lang w:val="en-US"/>
        </w:rPr>
      </w:pPr>
      <w:r w:rsidRPr="003454F4">
        <w:rPr>
          <w:rFonts w:cs="Times New Roman"/>
          <w:bCs/>
          <w:color w:val="000000"/>
          <w:lang w:val="en-US"/>
        </w:rPr>
        <w:t>G. Rinaldi, S. Lerch, F. Schultze-Lutter, S.J. Schmidt, M. Cavelti, M. Kaess, C. Michel</w:t>
      </w:r>
    </w:p>
    <w:p w14:paraId="7287D1A9" w14:textId="77777777" w:rsidR="00533E9A" w:rsidRPr="003454F4" w:rsidRDefault="00533E9A" w:rsidP="002B5293">
      <w:pPr>
        <w:suppressLineNumbers/>
        <w:autoSpaceDE w:val="0"/>
        <w:autoSpaceDN w:val="0"/>
        <w:adjustRightInd w:val="0"/>
        <w:spacing w:before="0" w:after="0"/>
        <w:jc w:val="center"/>
        <w:rPr>
          <w:rFonts w:cs="Times New Roman"/>
          <w:bCs/>
          <w:color w:val="000000"/>
          <w:lang w:val="en-US"/>
        </w:rPr>
      </w:pPr>
    </w:p>
    <w:p w14:paraId="6F67CF81" w14:textId="7CA94D2A" w:rsidR="002B5293" w:rsidRPr="002B5293" w:rsidRDefault="00FC7FAB" w:rsidP="002B5293">
      <w:pPr>
        <w:rPr>
          <w:lang w:val="fr-CH"/>
        </w:rPr>
      </w:pPr>
      <w:r w:rsidRPr="002B5293">
        <w:rPr>
          <w:b/>
          <w:lang w:val="fr-CH"/>
        </w:rPr>
        <w:t>Contents :</w:t>
      </w:r>
      <w:r w:rsidR="002B5293" w:rsidRPr="002B5293">
        <w:rPr>
          <w:b/>
          <w:lang w:val="fr-CH"/>
        </w:rPr>
        <w:t xml:space="preserve"> </w:t>
      </w:r>
      <w:r w:rsidR="00EC5549">
        <w:rPr>
          <w:b/>
          <w:lang w:val="fr-CH"/>
        </w:rPr>
        <w:t xml:space="preserve">1 </w:t>
      </w:r>
      <w:r w:rsidR="002B5293" w:rsidRPr="002B5293">
        <w:rPr>
          <w:b/>
          <w:lang w:val="fr-CH"/>
        </w:rPr>
        <w:t>e</w:t>
      </w:r>
      <w:r w:rsidR="0082109D">
        <w:rPr>
          <w:b/>
          <w:lang w:val="fr-CH"/>
        </w:rPr>
        <w:t>T</w:t>
      </w:r>
      <w:r w:rsidR="002B5293" w:rsidRPr="002B5293">
        <w:rPr>
          <w:b/>
          <w:lang w:val="fr-CH"/>
        </w:rPr>
        <w:t>ext,</w:t>
      </w:r>
      <w:r w:rsidR="00EC5549">
        <w:rPr>
          <w:b/>
          <w:lang w:val="fr-CH"/>
        </w:rPr>
        <w:t xml:space="preserve"> 1 e</w:t>
      </w:r>
      <w:r w:rsidR="0082109D">
        <w:rPr>
          <w:b/>
          <w:lang w:val="fr-CH"/>
        </w:rPr>
        <w:t>F</w:t>
      </w:r>
      <w:r w:rsidR="00EC5549">
        <w:rPr>
          <w:b/>
          <w:lang w:val="fr-CH"/>
        </w:rPr>
        <w:t xml:space="preserve">igure, </w:t>
      </w:r>
      <w:r w:rsidR="00EC41CA">
        <w:rPr>
          <w:b/>
          <w:lang w:val="fr-CH"/>
        </w:rPr>
        <w:t>7</w:t>
      </w:r>
      <w:r w:rsidR="00EC5549">
        <w:rPr>
          <w:b/>
          <w:lang w:val="fr-CH"/>
        </w:rPr>
        <w:t xml:space="preserve"> </w:t>
      </w:r>
      <w:r w:rsidR="002B5293" w:rsidRPr="002B5293">
        <w:rPr>
          <w:b/>
          <w:lang w:val="fr-CH"/>
        </w:rPr>
        <w:t>e</w:t>
      </w:r>
      <w:r w:rsidR="0082109D">
        <w:rPr>
          <w:b/>
          <w:lang w:val="fr-CH"/>
        </w:rPr>
        <w:t>T</w:t>
      </w:r>
      <w:r w:rsidR="002B5293" w:rsidRPr="002B5293">
        <w:rPr>
          <w:b/>
          <w:lang w:val="fr-CH"/>
        </w:rPr>
        <w:t>ables</w:t>
      </w:r>
    </w:p>
    <w:sdt>
      <w:sdtPr>
        <w:id w:val="15479491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07DCB0" w14:textId="2C903E61" w:rsidR="00172A86" w:rsidRDefault="002B5293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937922" w:history="1">
            <w:r w:rsidR="00172A86" w:rsidRPr="0056447D">
              <w:rPr>
                <w:rStyle w:val="Hyperlink"/>
                <w:iCs/>
                <w:noProof/>
                <w:lang w:val="en-US"/>
              </w:rPr>
              <w:t>eText 1</w:t>
            </w:r>
            <w:r w:rsidR="00172A86" w:rsidRPr="0056447D">
              <w:rPr>
                <w:rStyle w:val="Hyperlink"/>
                <w:i/>
                <w:noProof/>
                <w:lang w:val="en-US"/>
              </w:rPr>
              <w:t>:</w:t>
            </w:r>
            <w:r w:rsidR="00172A86" w:rsidRPr="0056447D">
              <w:rPr>
                <w:rStyle w:val="Hyperlink"/>
                <w:noProof/>
                <w:lang w:val="en-US"/>
              </w:rPr>
              <w:t xml:space="preserve"> Second follow-up of the BEAR and the BEARS-Kid studies – study design and recruitment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_Toc182937922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2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2EAA0F00" w14:textId="57C05642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23" w:history="1">
            <w:r w:rsidR="00172A86" w:rsidRPr="0056447D">
              <w:rPr>
                <w:rStyle w:val="Hyperlink"/>
                <w:iCs/>
                <w:noProof/>
                <w:lang w:val="en-US"/>
              </w:rPr>
              <w:t>eFigure 1</w:t>
            </w:r>
            <w:r w:rsidR="00172A86" w:rsidRPr="0056447D">
              <w:rPr>
                <w:rStyle w:val="Hyperlink"/>
                <w:noProof/>
                <w:lang w:val="en-US"/>
              </w:rPr>
              <w:t>: The current sample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_Toc182937923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4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4D0E3C48" w14:textId="72311B5F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24" w:history="1">
            <w:r w:rsidR="00172A86" w:rsidRPr="0056447D">
              <w:rPr>
                <w:rStyle w:val="Hyperlink"/>
                <w:iCs/>
                <w:noProof/>
                <w:lang w:val="en-US"/>
              </w:rPr>
              <w:t>eTable 1</w:t>
            </w:r>
            <w:r w:rsidR="00172A86" w:rsidRPr="0056447D">
              <w:rPr>
                <w:rStyle w:val="Hyperlink"/>
                <w:noProof/>
                <w:lang w:val="en-US"/>
              </w:rPr>
              <w:t>: Clinical high-risk symptoms and criteria of first-episode psychosis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_Toc182937924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5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362B625C" w14:textId="7AF9F952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25" w:history="1">
            <w:r w:rsidR="00172A86" w:rsidRPr="0056447D">
              <w:rPr>
                <w:rStyle w:val="Hyperlink"/>
                <w:noProof/>
                <w:lang w:val="en-US"/>
              </w:rPr>
              <w:t>eTable 2: The Alternative Model of Personality Disorders in DSM-5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_Toc182937925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7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396932D9" w14:textId="39A69DAE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26" w:history="1">
            <w:r w:rsidR="00172A86" w:rsidRPr="0056447D">
              <w:rPr>
                <w:rStyle w:val="Hyperlink"/>
                <w:iCs/>
                <w:noProof/>
                <w:lang w:val="en-US"/>
              </w:rPr>
              <w:t>eTable 3</w:t>
            </w:r>
            <w:r w:rsidR="00172A86" w:rsidRPr="0056447D">
              <w:rPr>
                <w:rStyle w:val="Hyperlink"/>
                <w:noProof/>
                <w:lang w:val="en-US"/>
              </w:rPr>
              <w:t>: Comparison of Poisson versus Zero-inflated Poisson (ZIP) models by AIC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_Toc182937926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9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13D076FE" w14:textId="75733C8A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27" w:history="1">
            <w:r w:rsidR="00172A86" w:rsidRPr="0056447D">
              <w:rPr>
                <w:rStyle w:val="Hyperlink"/>
                <w:rFonts w:eastAsia="Calibri"/>
                <w:noProof/>
                <w:lang w:val="en-US"/>
              </w:rPr>
              <w:t>eTable 4</w:t>
            </w:r>
            <w:r w:rsidR="00172A86" w:rsidRPr="0056447D">
              <w:rPr>
                <w:rStyle w:val="Hyperlink"/>
                <w:rFonts w:eastAsia="Calibri"/>
                <w:i/>
                <w:iCs/>
                <w:noProof/>
                <w:lang w:val="en-US"/>
              </w:rPr>
              <w:t xml:space="preserve">: </w:t>
            </w:r>
            <w:r w:rsidR="00172A86" w:rsidRPr="0056447D">
              <w:rPr>
                <w:rStyle w:val="Hyperlink"/>
                <w:rFonts w:eastAsia="Calibri"/>
                <w:noProof/>
                <w:lang w:val="en-US"/>
              </w:rPr>
              <w:t>CHR-P-symptoms ZIP model, including non-significant predictors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_Toc182937927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9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3F719EAD" w14:textId="237B0BAF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28" w:history="1">
            <w:r w:rsidR="00172A86" w:rsidRPr="0056447D">
              <w:rPr>
                <w:rStyle w:val="Hyperlink"/>
                <w:rFonts w:eastAsia="Calibri"/>
                <w:noProof/>
                <w:lang w:val="en-US"/>
              </w:rPr>
              <w:t>eTable 5</w:t>
            </w:r>
            <w:r w:rsidR="00172A86" w:rsidRPr="0056447D">
              <w:rPr>
                <w:rStyle w:val="Hyperlink"/>
                <w:rFonts w:eastAsia="Calibri"/>
                <w:i/>
                <w:iCs/>
                <w:noProof/>
                <w:lang w:val="en-US"/>
              </w:rPr>
              <w:t xml:space="preserve">: </w:t>
            </w:r>
            <w:r w:rsidR="00172A86" w:rsidRPr="0056447D">
              <w:rPr>
                <w:rStyle w:val="Hyperlink"/>
                <w:rFonts w:eastAsia="Calibri"/>
                <w:noProof/>
                <w:lang w:val="en-US"/>
              </w:rPr>
              <w:t>per-CHR-P-symptoms ZIP model, including non-significant predictors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_Toc182937928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10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04E139BA" w14:textId="62887BB6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29" w:history="1">
            <w:r w:rsidR="00172A86" w:rsidRPr="0056447D">
              <w:rPr>
                <w:rStyle w:val="Hyperlink"/>
                <w:rFonts w:eastAsia="Calibri"/>
                <w:noProof/>
                <w:lang w:val="en-US"/>
              </w:rPr>
              <w:t>eTable 6</w:t>
            </w:r>
            <w:r w:rsidR="00172A86" w:rsidRPr="0056447D">
              <w:rPr>
                <w:rStyle w:val="Hyperlink"/>
                <w:rFonts w:eastAsia="Calibri"/>
                <w:i/>
                <w:iCs/>
                <w:noProof/>
                <w:lang w:val="en-US"/>
              </w:rPr>
              <w:t xml:space="preserve">: </w:t>
            </w:r>
            <w:r w:rsidR="00172A86" w:rsidRPr="0056447D">
              <w:rPr>
                <w:rStyle w:val="Hyperlink"/>
                <w:rFonts w:eastAsia="Calibri"/>
                <w:noProof/>
                <w:lang w:val="en-US"/>
              </w:rPr>
              <w:t>nonper-CHR-P-symptoms ZIP model, including non-significant predictors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_Toc182937929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10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4F70571B" w14:textId="0F7576B2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30" w:history="1">
            <w:r w:rsidR="00172A86" w:rsidRPr="0056447D">
              <w:rPr>
                <w:rStyle w:val="Hyperlink"/>
                <w:rFonts w:eastAsia="Calibri"/>
                <w:noProof/>
                <w:lang w:val="en-US"/>
              </w:rPr>
              <w:t>eTable 7</w:t>
            </w:r>
            <w:r w:rsidR="00172A86" w:rsidRPr="0056447D">
              <w:rPr>
                <w:rStyle w:val="Hyperlink"/>
                <w:rFonts w:eastAsia="Calibri"/>
                <w:i/>
                <w:iCs/>
                <w:noProof/>
                <w:lang w:val="en-US"/>
              </w:rPr>
              <w:t xml:space="preserve">: </w:t>
            </w:r>
            <w:r w:rsidR="00172A86" w:rsidRPr="0056447D">
              <w:rPr>
                <w:rStyle w:val="Hyperlink"/>
                <w:rFonts w:eastAsia="Calibri"/>
                <w:noProof/>
                <w:lang w:val="en-US"/>
              </w:rPr>
              <w:t>nonper-CHR-P-symptoms ZIP model, including PID-5-sumscore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_Toc182937930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11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23CA8C0A" w14:textId="5453825D" w:rsidR="00172A86" w:rsidRDefault="00000000" w:rsidP="00AC37EE">
          <w:pPr>
            <w:pStyle w:val="Verzeichnis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2937931" w:history="1">
            <w:r w:rsidR="00172A86" w:rsidRPr="0056447D">
              <w:rPr>
                <w:rStyle w:val="Hyperlink"/>
                <w:noProof/>
              </w:rPr>
              <w:t>References</w:t>
            </w:r>
            <w:r w:rsidR="00172A86">
              <w:rPr>
                <w:noProof/>
                <w:webHidden/>
              </w:rPr>
              <w:tab/>
            </w:r>
            <w:r w:rsidR="00172A86">
              <w:rPr>
                <w:noProof/>
                <w:webHidden/>
              </w:rPr>
              <w:fldChar w:fldCharType="begin"/>
            </w:r>
            <w:r w:rsidR="00172A86">
              <w:rPr>
                <w:noProof/>
                <w:webHidden/>
              </w:rPr>
              <w:instrText xml:space="preserve"> PAGEREF _Toc182937931 \h </w:instrText>
            </w:r>
            <w:r w:rsidR="00172A86">
              <w:rPr>
                <w:noProof/>
                <w:webHidden/>
              </w:rPr>
            </w:r>
            <w:r w:rsidR="00172A86">
              <w:rPr>
                <w:noProof/>
                <w:webHidden/>
              </w:rPr>
              <w:fldChar w:fldCharType="separate"/>
            </w:r>
            <w:r w:rsidR="00172A86">
              <w:rPr>
                <w:noProof/>
                <w:webHidden/>
              </w:rPr>
              <w:t>12</w:t>
            </w:r>
            <w:r w:rsidR="00172A86">
              <w:rPr>
                <w:noProof/>
                <w:webHidden/>
              </w:rPr>
              <w:fldChar w:fldCharType="end"/>
            </w:r>
          </w:hyperlink>
        </w:p>
        <w:p w14:paraId="43FD8593" w14:textId="38A03E03" w:rsidR="003664E3" w:rsidRPr="002B5293" w:rsidRDefault="002B5293" w:rsidP="002B5293">
          <w:r>
            <w:rPr>
              <w:b/>
              <w:bCs/>
              <w:noProof/>
            </w:rPr>
            <w:fldChar w:fldCharType="end"/>
          </w:r>
        </w:p>
      </w:sdtContent>
    </w:sdt>
    <w:p w14:paraId="6A751942" w14:textId="77777777" w:rsidR="007F6940" w:rsidRDefault="007F6940">
      <w:pPr>
        <w:spacing w:before="0" w:after="0" w:line="240" w:lineRule="auto"/>
        <w:rPr>
          <w:rFonts w:eastAsiaTheme="majorEastAsia" w:cstheme="majorBidi"/>
          <w:b/>
          <w:i/>
          <w:sz w:val="24"/>
          <w:szCs w:val="26"/>
          <w:lang w:val="en-US"/>
        </w:rPr>
      </w:pPr>
      <w:r>
        <w:rPr>
          <w:i/>
          <w:lang w:val="en-US"/>
        </w:rPr>
        <w:br w:type="page"/>
      </w:r>
    </w:p>
    <w:p w14:paraId="1F340C0B" w14:textId="287749F9" w:rsidR="002B5293" w:rsidRPr="00677570" w:rsidRDefault="0082109D" w:rsidP="00DC391C">
      <w:pPr>
        <w:pStyle w:val="berschrift2"/>
        <w:rPr>
          <w:lang w:val="en-US"/>
        </w:rPr>
      </w:pPr>
      <w:bookmarkStart w:id="2" w:name="_Toc182937922"/>
      <w:r w:rsidRPr="003454F4">
        <w:rPr>
          <w:iCs/>
          <w:lang w:val="en-US"/>
        </w:rPr>
        <w:lastRenderedPageBreak/>
        <w:t>eText</w:t>
      </w:r>
      <w:r w:rsidR="002B5293" w:rsidRPr="003454F4">
        <w:rPr>
          <w:iCs/>
          <w:lang w:val="en-US"/>
        </w:rPr>
        <w:t xml:space="preserve"> 1</w:t>
      </w:r>
      <w:r w:rsidR="005F5B2C" w:rsidRPr="00677570">
        <w:rPr>
          <w:i/>
          <w:lang w:val="en-US"/>
        </w:rPr>
        <w:t>:</w:t>
      </w:r>
      <w:r w:rsidR="005F5B2C" w:rsidRPr="00677570">
        <w:rPr>
          <w:lang w:val="en-US"/>
        </w:rPr>
        <w:t xml:space="preserve"> Second follow-up of t</w:t>
      </w:r>
      <w:r w:rsidR="002B5293" w:rsidRPr="00677570">
        <w:rPr>
          <w:lang w:val="en-US"/>
        </w:rPr>
        <w:t>he BEAR</w:t>
      </w:r>
      <w:r w:rsidR="005F5B2C" w:rsidRPr="00677570">
        <w:rPr>
          <w:lang w:val="en-US"/>
        </w:rPr>
        <w:t xml:space="preserve"> a</w:t>
      </w:r>
      <w:r w:rsidR="00AF3259" w:rsidRPr="00677570">
        <w:rPr>
          <w:lang w:val="en-US"/>
        </w:rPr>
        <w:t xml:space="preserve">nd </w:t>
      </w:r>
      <w:r w:rsidR="005F5B2C" w:rsidRPr="00677570">
        <w:rPr>
          <w:lang w:val="en-US"/>
        </w:rPr>
        <w:t xml:space="preserve">the </w:t>
      </w:r>
      <w:r w:rsidR="00AF3259" w:rsidRPr="00677570">
        <w:rPr>
          <w:lang w:val="en-US"/>
        </w:rPr>
        <w:t>BEARS-Kid studies</w:t>
      </w:r>
      <w:r w:rsidR="00D12A4E" w:rsidRPr="00677570">
        <w:rPr>
          <w:lang w:val="en-US"/>
        </w:rPr>
        <w:t xml:space="preserve"> – </w:t>
      </w:r>
      <w:r w:rsidR="005F5B2C" w:rsidRPr="00677570">
        <w:rPr>
          <w:lang w:val="en-US"/>
        </w:rPr>
        <w:t>study design</w:t>
      </w:r>
      <w:r w:rsidR="00D12A4E" w:rsidRPr="00677570">
        <w:rPr>
          <w:lang w:val="en-US"/>
        </w:rPr>
        <w:t xml:space="preserve"> and recruitment</w:t>
      </w:r>
      <w:bookmarkEnd w:id="2"/>
    </w:p>
    <w:p w14:paraId="62FAB492" w14:textId="770A56AF" w:rsidR="005F5B2C" w:rsidRPr="00677570" w:rsidRDefault="005F5B2C" w:rsidP="002B2248">
      <w:pPr>
        <w:spacing w:after="0"/>
        <w:rPr>
          <w:rFonts w:cs="Times New Roman"/>
          <w:lang w:val="en-US"/>
        </w:rPr>
      </w:pPr>
      <w:r w:rsidRPr="00677570">
        <w:rPr>
          <w:rFonts w:cs="Times New Roman"/>
          <w:lang w:val="en-US"/>
        </w:rPr>
        <w:t xml:space="preserve">Data analyzed in the current study pertains to the second follow-up assessment </w:t>
      </w:r>
      <w:r w:rsidR="00340AE7" w:rsidRPr="00677570">
        <w:rPr>
          <w:rFonts w:cs="Times New Roman"/>
          <w:bCs/>
          <w:color w:val="000000"/>
          <w:lang w:val="en-US"/>
        </w:rPr>
        <w:t xml:space="preserve">(ethics ID: 2020-02856) </w:t>
      </w:r>
      <w:r w:rsidRPr="00677570">
        <w:rPr>
          <w:rFonts w:cs="Times New Roman"/>
          <w:lang w:val="en-US"/>
        </w:rPr>
        <w:t>of the ‘Bern Epidemiological At-Risk’ (BEAR) and the ‘Bi-national Evaluation of At-Risk Symptoms in children and adolescents’ (BEARS-Kid) studies</w:t>
      </w:r>
      <w:r w:rsidR="00D345F2">
        <w:rPr>
          <w:rFonts w:cs="Times New Roman"/>
          <w:lang w:val="en-US"/>
        </w:rPr>
        <w:t xml:space="preserve"> </w:t>
      </w:r>
      <w:r w:rsidR="00A6625C" w:rsidRPr="000765BC">
        <w:rPr>
          <w:rFonts w:cs="Times New Roman"/>
          <w:lang w:val="en-US"/>
        </w:rPr>
        <w:t>[1–3]</w:t>
      </w:r>
      <w:r w:rsidRPr="00677570">
        <w:rPr>
          <w:rFonts w:cs="Times New Roman"/>
          <w:bCs/>
          <w:color w:val="000000"/>
          <w:lang w:val="en-US"/>
        </w:rPr>
        <w:t>.</w:t>
      </w:r>
      <w:r w:rsidR="005F338F" w:rsidRPr="00677570">
        <w:rPr>
          <w:rFonts w:cs="Times New Roman"/>
          <w:bCs/>
          <w:color w:val="000000"/>
          <w:lang w:val="en-US"/>
        </w:rPr>
        <w:t xml:space="preserve"> </w:t>
      </w:r>
    </w:p>
    <w:p w14:paraId="1B88D89A" w14:textId="6B4CB20C" w:rsidR="002B2248" w:rsidRPr="00677570" w:rsidRDefault="005F5B2C" w:rsidP="005F5B2C">
      <w:pPr>
        <w:spacing w:before="0" w:after="0"/>
        <w:rPr>
          <w:rFonts w:cs="Times New Roman"/>
          <w:lang w:val="en-US"/>
        </w:rPr>
      </w:pPr>
      <w:r w:rsidRPr="00677570">
        <w:rPr>
          <w:rFonts w:cs="Times New Roman"/>
          <w:lang w:val="en-US"/>
        </w:rPr>
        <w:t>At baseline, p</w:t>
      </w:r>
      <w:r w:rsidR="008A66D0" w:rsidRPr="00677570">
        <w:rPr>
          <w:rFonts w:cs="Times New Roman"/>
          <w:lang w:val="en-US"/>
        </w:rPr>
        <w:t>articipants in</w:t>
      </w:r>
      <w:r w:rsidR="00285AF2" w:rsidRPr="00677570">
        <w:rPr>
          <w:rFonts w:cs="Times New Roman"/>
          <w:lang w:val="en-US"/>
        </w:rPr>
        <w:t xml:space="preserve"> the two community studies were </w:t>
      </w:r>
      <w:r w:rsidR="002B2248" w:rsidRPr="00677570">
        <w:rPr>
          <w:rFonts w:cs="Times New Roman"/>
          <w:lang w:val="en-US"/>
        </w:rPr>
        <w:t xml:space="preserve">randomly </w:t>
      </w:r>
      <w:r w:rsidRPr="00677570">
        <w:rPr>
          <w:rFonts w:cs="Times New Roman"/>
          <w:lang w:val="en-US"/>
        </w:rPr>
        <w:t>selected</w:t>
      </w:r>
      <w:r w:rsidR="00285AF2" w:rsidRPr="00677570">
        <w:rPr>
          <w:rFonts w:cs="Times New Roman"/>
          <w:lang w:val="en-US"/>
        </w:rPr>
        <w:t xml:space="preserve"> from </w:t>
      </w:r>
      <w:r w:rsidR="0051418B" w:rsidRPr="00677570">
        <w:rPr>
          <w:rFonts w:cs="Times New Roman"/>
          <w:lang w:val="en-US"/>
        </w:rPr>
        <w:t xml:space="preserve">the population registry of Canton Bern, Switzerland, among </w:t>
      </w:r>
      <w:r w:rsidR="002E5964" w:rsidRPr="00677570">
        <w:rPr>
          <w:rFonts w:cs="Times New Roman"/>
          <w:lang w:val="en-US"/>
        </w:rPr>
        <w:t>about 384</w:t>
      </w:r>
      <w:r w:rsidR="00623A76">
        <w:rPr>
          <w:rFonts w:cs="Times New Roman"/>
          <w:lang w:val="en-US"/>
        </w:rPr>
        <w:t>,</w:t>
      </w:r>
      <w:r w:rsidR="002E5964" w:rsidRPr="00677570">
        <w:rPr>
          <w:rFonts w:cs="Times New Roman"/>
          <w:lang w:val="en-US"/>
        </w:rPr>
        <w:t xml:space="preserve">000 persons </w:t>
      </w:r>
      <w:r w:rsidR="0051418B" w:rsidRPr="00677570">
        <w:rPr>
          <w:rFonts w:cs="Times New Roman"/>
          <w:lang w:val="en-US"/>
        </w:rPr>
        <w:t>in the targeted age range</w:t>
      </w:r>
      <w:r w:rsidR="00285AF2" w:rsidRPr="00677570">
        <w:rPr>
          <w:rFonts w:cs="Times New Roman"/>
          <w:lang w:val="en-US"/>
        </w:rPr>
        <w:t xml:space="preserve">. Using a stratified sampling method, two representative samples of </w:t>
      </w:r>
      <w:r w:rsidR="00195FCD" w:rsidRPr="00677570">
        <w:rPr>
          <w:rFonts w:cs="Times New Roman"/>
          <w:lang w:val="en-US"/>
        </w:rPr>
        <w:t xml:space="preserve">eligible </w:t>
      </w:r>
      <w:r w:rsidR="00285AF2" w:rsidRPr="00677570">
        <w:rPr>
          <w:rFonts w:cs="Times New Roman"/>
          <w:lang w:val="en-US"/>
        </w:rPr>
        <w:t xml:space="preserve">residents aged 16-40 (BEAR, </w:t>
      </w:r>
      <w:r w:rsidR="00285AF2" w:rsidRPr="00677570">
        <w:rPr>
          <w:rFonts w:cs="Times New Roman"/>
          <w:i/>
          <w:lang w:val="en-US"/>
        </w:rPr>
        <w:t>N</w:t>
      </w:r>
      <w:r w:rsidR="00285AF2" w:rsidRPr="00677570">
        <w:rPr>
          <w:rFonts w:cs="Times New Roman"/>
          <w:lang w:val="en-US"/>
        </w:rPr>
        <w:t>=</w:t>
      </w:r>
      <w:r w:rsidR="00195FCD" w:rsidRPr="00677570">
        <w:rPr>
          <w:rFonts w:cs="Times New Roman"/>
          <w:lang w:val="en-US"/>
        </w:rPr>
        <w:t>4</w:t>
      </w:r>
      <w:r w:rsidR="00623A76">
        <w:rPr>
          <w:rFonts w:cs="Times New Roman"/>
          <w:lang w:val="en-US"/>
        </w:rPr>
        <w:t>,</w:t>
      </w:r>
      <w:r w:rsidR="00195FCD" w:rsidRPr="00677570">
        <w:rPr>
          <w:rFonts w:cs="Times New Roman"/>
          <w:lang w:val="en-US"/>
        </w:rPr>
        <w:t>471</w:t>
      </w:r>
      <w:r w:rsidR="00285AF2" w:rsidRPr="00677570">
        <w:rPr>
          <w:rFonts w:cs="Times New Roman"/>
          <w:lang w:val="en-US"/>
        </w:rPr>
        <w:t xml:space="preserve">, response rate: 63.4%) and 8-17 years (BEARS-Kid, </w:t>
      </w:r>
      <w:r w:rsidR="00285AF2" w:rsidRPr="00677570">
        <w:rPr>
          <w:rFonts w:cs="Times New Roman"/>
          <w:i/>
          <w:lang w:val="en-US"/>
        </w:rPr>
        <w:t>N</w:t>
      </w:r>
      <w:r w:rsidR="00285AF2" w:rsidRPr="00677570">
        <w:rPr>
          <w:rFonts w:cs="Times New Roman"/>
          <w:lang w:val="en-US"/>
        </w:rPr>
        <w:t xml:space="preserve">=980, response rate 32.6%) </w:t>
      </w:r>
      <w:r w:rsidR="002B2248" w:rsidRPr="00677570">
        <w:rPr>
          <w:rFonts w:cs="Times New Roman"/>
          <w:lang w:val="en-US"/>
        </w:rPr>
        <w:t xml:space="preserve">were </w:t>
      </w:r>
      <w:r w:rsidR="0051418B" w:rsidRPr="00677570">
        <w:rPr>
          <w:rFonts w:cs="Times New Roman"/>
          <w:lang w:val="en-US"/>
        </w:rPr>
        <w:t xml:space="preserve">thus </w:t>
      </w:r>
      <w:r w:rsidR="002B2248" w:rsidRPr="00677570">
        <w:rPr>
          <w:rFonts w:cs="Times New Roman"/>
          <w:lang w:val="en-US"/>
        </w:rPr>
        <w:t>obtained.</w:t>
      </w:r>
    </w:p>
    <w:p w14:paraId="24563EC8" w14:textId="76EB0148" w:rsidR="00386EFA" w:rsidRPr="00677570" w:rsidRDefault="00386EFA" w:rsidP="00386EFA">
      <w:pPr>
        <w:autoSpaceDE w:val="0"/>
        <w:autoSpaceDN w:val="0"/>
        <w:adjustRightInd w:val="0"/>
        <w:spacing w:before="0" w:after="0"/>
        <w:rPr>
          <w:rFonts w:cs="Times New Roman"/>
          <w:bCs/>
          <w:color w:val="000000"/>
          <w:lang w:val="en-US"/>
        </w:rPr>
      </w:pPr>
      <w:r w:rsidRPr="00677570">
        <w:rPr>
          <w:rFonts w:cs="Times New Roman"/>
          <w:bCs/>
          <w:color w:val="000000"/>
          <w:lang w:val="en-US"/>
        </w:rPr>
        <w:t xml:space="preserve">Selection of the first age range was based on the documented high frequency of psychotic experiences during this period and its consequent relevance for studying psychosis risk </w:t>
      </w:r>
      <w:r w:rsidR="00A6625C">
        <w:rPr>
          <w:rFonts w:cs="Times New Roman"/>
          <w:lang w:val="en-US"/>
        </w:rPr>
        <w:t>[4,5]</w:t>
      </w:r>
      <w:r w:rsidRPr="00D345F2">
        <w:rPr>
          <w:rFonts w:cs="Times New Roman"/>
          <w:bCs/>
          <w:color w:val="000000"/>
          <w:lang w:val="en-US"/>
        </w:rPr>
        <w:t xml:space="preserve">. </w:t>
      </w:r>
      <w:r w:rsidRPr="00677570">
        <w:rPr>
          <w:rFonts w:cs="Times New Roman"/>
          <w:bCs/>
          <w:color w:val="000000"/>
          <w:lang w:val="en-US"/>
        </w:rPr>
        <w:t xml:space="preserve">The second age range was chosen to explore the associations between neurodevelopment and </w:t>
      </w:r>
      <w:r w:rsidR="00213F7D">
        <w:rPr>
          <w:rFonts w:cs="Times New Roman"/>
          <w:bCs/>
          <w:color w:val="000000"/>
          <w:lang w:val="en-US"/>
        </w:rPr>
        <w:t>CHR-P</w:t>
      </w:r>
      <w:r w:rsidRPr="00677570">
        <w:rPr>
          <w:rFonts w:cs="Times New Roman"/>
          <w:bCs/>
          <w:color w:val="000000"/>
          <w:lang w:val="en-US"/>
        </w:rPr>
        <w:t xml:space="preserve">-symptoms, which are reported to be more frequent but less clinically significant in children and adolescents </w:t>
      </w:r>
      <w:r w:rsidR="00A6625C">
        <w:rPr>
          <w:rFonts w:cs="Times New Roman"/>
          <w:lang w:val="en-US"/>
        </w:rPr>
        <w:t>[6]</w:t>
      </w:r>
      <w:r w:rsidRPr="00677570">
        <w:rPr>
          <w:rFonts w:cs="Times New Roman"/>
          <w:bCs/>
          <w:color w:val="000000"/>
          <w:lang w:val="en-US"/>
        </w:rPr>
        <w:t>.</w:t>
      </w:r>
    </w:p>
    <w:p w14:paraId="647C4CA1" w14:textId="05FA5D85" w:rsidR="002B2248" w:rsidRPr="00677570" w:rsidRDefault="002B2248" w:rsidP="002B2248">
      <w:pPr>
        <w:spacing w:before="0" w:after="0"/>
        <w:rPr>
          <w:rFonts w:cs="Times New Roman"/>
          <w:lang w:val="en-US"/>
        </w:rPr>
      </w:pPr>
      <w:r w:rsidRPr="00677570">
        <w:rPr>
          <w:rFonts w:cs="Times New Roman"/>
          <w:lang w:val="en-US"/>
        </w:rPr>
        <w:t xml:space="preserve">For both studies, inclusion criteria </w:t>
      </w:r>
      <w:r w:rsidR="00AF3DFE" w:rsidRPr="00677570">
        <w:rPr>
          <w:rFonts w:cs="Times New Roman"/>
          <w:lang w:val="en-US"/>
        </w:rPr>
        <w:t xml:space="preserve">at baseline </w:t>
      </w:r>
      <w:r w:rsidRPr="00677570">
        <w:rPr>
          <w:rFonts w:cs="Times New Roman"/>
          <w:lang w:val="en-US"/>
        </w:rPr>
        <w:t>were main residence in Canton Bern and an available telephone number. Exclusion criteria, leading to</w:t>
      </w:r>
      <w:r w:rsidR="006C520C" w:rsidRPr="00677570">
        <w:rPr>
          <w:rFonts w:cs="Times New Roman"/>
          <w:lang w:val="en-US"/>
        </w:rPr>
        <w:t xml:space="preserve"> premature</w:t>
      </w:r>
      <w:r w:rsidRPr="00677570">
        <w:rPr>
          <w:rFonts w:cs="Times New Roman"/>
          <w:lang w:val="en-US"/>
        </w:rPr>
        <w:t xml:space="preserve"> interruption of the </w:t>
      </w:r>
      <w:r w:rsidR="005F5B2C" w:rsidRPr="00677570">
        <w:rPr>
          <w:rFonts w:cs="Times New Roman"/>
          <w:lang w:val="en-US"/>
        </w:rPr>
        <w:t>interview</w:t>
      </w:r>
      <w:r w:rsidR="006C520C" w:rsidRPr="00677570">
        <w:rPr>
          <w:rFonts w:cs="Times New Roman"/>
          <w:lang w:val="en-US"/>
        </w:rPr>
        <w:t>,</w:t>
      </w:r>
      <w:r w:rsidRPr="00677570">
        <w:rPr>
          <w:rFonts w:cs="Times New Roman"/>
          <w:lang w:val="en-US"/>
        </w:rPr>
        <w:t xml:space="preserve"> were insufficient German, French</w:t>
      </w:r>
      <w:r w:rsidR="006C520C" w:rsidRPr="00677570">
        <w:rPr>
          <w:rFonts w:cs="Times New Roman"/>
          <w:lang w:val="en-US"/>
        </w:rPr>
        <w:t>,</w:t>
      </w:r>
      <w:r w:rsidRPr="00677570">
        <w:rPr>
          <w:rFonts w:cs="Times New Roman"/>
          <w:lang w:val="en-US"/>
        </w:rPr>
        <w:t xml:space="preserve"> or English skills and a lifetime diagnosis of psychosis.</w:t>
      </w:r>
    </w:p>
    <w:p w14:paraId="3672C821" w14:textId="74A72240" w:rsidR="001A7184" w:rsidRPr="00677570" w:rsidRDefault="005F5B2C" w:rsidP="001A7184">
      <w:pPr>
        <w:spacing w:before="0" w:after="0"/>
        <w:rPr>
          <w:rFonts w:cs="Times New Roman"/>
          <w:lang w:val="en-US"/>
        </w:rPr>
      </w:pPr>
      <w:r w:rsidRPr="00677570">
        <w:rPr>
          <w:rFonts w:cs="Times New Roman"/>
          <w:lang w:val="en-US"/>
        </w:rPr>
        <w:t>At baseline and previous follow-up assessments, p</w:t>
      </w:r>
      <w:r w:rsidR="001A7184" w:rsidRPr="00677570">
        <w:rPr>
          <w:rFonts w:cs="Times New Roman"/>
          <w:lang w:val="en-US"/>
        </w:rPr>
        <w:t>articipant</w:t>
      </w:r>
      <w:r w:rsidR="008A66D0" w:rsidRPr="00677570">
        <w:rPr>
          <w:rFonts w:cs="Times New Roman"/>
          <w:lang w:val="en-US"/>
        </w:rPr>
        <w:t>s in</w:t>
      </w:r>
      <w:r w:rsidR="001A7184" w:rsidRPr="00677570">
        <w:rPr>
          <w:rFonts w:cs="Times New Roman"/>
          <w:lang w:val="en-US"/>
        </w:rPr>
        <w:t xml:space="preserve"> the BEARS-Kid study and their parents provided written informed assent/consent</w:t>
      </w:r>
      <w:r w:rsidR="00136237" w:rsidRPr="00677570">
        <w:rPr>
          <w:rFonts w:cs="Times New Roman"/>
          <w:lang w:val="en-US"/>
        </w:rPr>
        <w:t xml:space="preserve"> prior to </w:t>
      </w:r>
      <w:r w:rsidR="001A7184" w:rsidRPr="00677570">
        <w:rPr>
          <w:rFonts w:cs="Times New Roman"/>
          <w:lang w:val="en-US"/>
        </w:rPr>
        <w:t>face-to-face</w:t>
      </w:r>
      <w:r w:rsidR="00136237" w:rsidRPr="00677570">
        <w:rPr>
          <w:rFonts w:cs="Times New Roman"/>
          <w:lang w:val="en-US"/>
        </w:rPr>
        <w:t xml:space="preserve"> assessment</w:t>
      </w:r>
      <w:r w:rsidR="001A7184" w:rsidRPr="00677570">
        <w:rPr>
          <w:rFonts w:cs="Times New Roman"/>
          <w:lang w:val="en-US"/>
        </w:rPr>
        <w:t>, while</w:t>
      </w:r>
      <w:r w:rsidR="008A66D0" w:rsidRPr="00677570">
        <w:rPr>
          <w:rFonts w:cs="Times New Roman"/>
          <w:lang w:val="en-US"/>
        </w:rPr>
        <w:t>, for the BEAR-study,</w:t>
      </w:r>
      <w:r w:rsidR="001A7184" w:rsidRPr="00677570">
        <w:rPr>
          <w:rFonts w:cs="Times New Roman"/>
          <w:lang w:val="en-US"/>
        </w:rPr>
        <w:t xml:space="preserve"> participation in the </w:t>
      </w:r>
      <w:r w:rsidRPr="00677570">
        <w:rPr>
          <w:rFonts w:cs="Times New Roman"/>
          <w:lang w:val="en-US"/>
        </w:rPr>
        <w:t>telephone interview co</w:t>
      </w:r>
      <w:r w:rsidR="008A66D0" w:rsidRPr="00677570">
        <w:rPr>
          <w:rFonts w:cs="Times New Roman"/>
          <w:lang w:val="en-US"/>
        </w:rPr>
        <w:t>n</w:t>
      </w:r>
      <w:r w:rsidRPr="00677570">
        <w:rPr>
          <w:rFonts w:cs="Times New Roman"/>
          <w:lang w:val="en-US"/>
        </w:rPr>
        <w:t xml:space="preserve">stituting the </w:t>
      </w:r>
      <w:r w:rsidR="001A7184" w:rsidRPr="00677570">
        <w:rPr>
          <w:rFonts w:cs="Times New Roman"/>
          <w:lang w:val="en-US"/>
        </w:rPr>
        <w:t xml:space="preserve">main assessment was equated to informed consent. Before data collection began, </w:t>
      </w:r>
      <w:r w:rsidR="00861F3E" w:rsidRPr="00677570">
        <w:rPr>
          <w:rFonts w:cs="Times New Roman"/>
          <w:lang w:val="en-US"/>
        </w:rPr>
        <w:t xml:space="preserve">a feasibility study tested </w:t>
      </w:r>
      <w:r w:rsidR="001A7184" w:rsidRPr="00677570">
        <w:rPr>
          <w:rFonts w:cs="Times New Roman"/>
          <w:lang w:val="en-US"/>
        </w:rPr>
        <w:t>the reliability of the telephone assessment, reporting excellent (78-100%) concordance rates between telephone and face-to-face</w:t>
      </w:r>
      <w:r w:rsidR="00173A7B" w:rsidRPr="00677570">
        <w:rPr>
          <w:rFonts w:cs="Times New Roman"/>
          <w:lang w:val="en-US"/>
        </w:rPr>
        <w:t xml:space="preserve"> interviews,</w:t>
      </w:r>
      <w:r w:rsidR="001A7184" w:rsidRPr="00677570">
        <w:rPr>
          <w:rFonts w:cs="Times New Roman"/>
          <w:lang w:val="en-US"/>
        </w:rPr>
        <w:t xml:space="preserve"> </w:t>
      </w:r>
      <w:r w:rsidR="00136237" w:rsidRPr="00677570">
        <w:rPr>
          <w:rFonts w:cs="Times New Roman"/>
          <w:lang w:val="en-US"/>
        </w:rPr>
        <w:t xml:space="preserve">thus </w:t>
      </w:r>
      <w:r w:rsidR="001A7184" w:rsidRPr="00677570">
        <w:rPr>
          <w:rFonts w:cs="Times New Roman"/>
          <w:lang w:val="en-US"/>
        </w:rPr>
        <w:t xml:space="preserve">suggesting that merging data from the two studies would not introduce a systematic bias </w:t>
      </w:r>
      <w:r w:rsidR="00A6625C">
        <w:rPr>
          <w:rFonts w:cs="Times New Roman"/>
          <w:lang w:val="en-US"/>
        </w:rPr>
        <w:t>[7]</w:t>
      </w:r>
      <w:r w:rsidR="001A7184" w:rsidRPr="00677570">
        <w:rPr>
          <w:rFonts w:cs="Times New Roman"/>
          <w:lang w:val="en-US"/>
        </w:rPr>
        <w:t>.</w:t>
      </w:r>
    </w:p>
    <w:p w14:paraId="0AF26BD9" w14:textId="445A503E" w:rsidR="005F5B2C" w:rsidRPr="00677570" w:rsidRDefault="002751BC" w:rsidP="002B5293">
      <w:pPr>
        <w:spacing w:before="0" w:after="0"/>
        <w:rPr>
          <w:rFonts w:cs="Times New Roman"/>
          <w:lang w:val="en-US"/>
        </w:rPr>
      </w:pPr>
      <w:r w:rsidRPr="00677570">
        <w:rPr>
          <w:rFonts w:cs="Times New Roman"/>
          <w:lang w:val="en-US"/>
        </w:rPr>
        <w:t>In both studies and for all time points, f</w:t>
      </w:r>
      <w:r w:rsidR="001A7184" w:rsidRPr="00677570">
        <w:rPr>
          <w:rFonts w:cs="Times New Roman"/>
          <w:lang w:val="en-US"/>
        </w:rPr>
        <w:t>irst telephone contact</w:t>
      </w:r>
      <w:r w:rsidR="00136237" w:rsidRPr="00677570">
        <w:rPr>
          <w:rFonts w:cs="Times New Roman"/>
          <w:lang w:val="en-US"/>
        </w:rPr>
        <w:t xml:space="preserve"> </w:t>
      </w:r>
      <w:r w:rsidR="001A7184" w:rsidRPr="00677570">
        <w:rPr>
          <w:rFonts w:cs="Times New Roman"/>
          <w:lang w:val="en-US"/>
        </w:rPr>
        <w:t>was attempted t</w:t>
      </w:r>
      <w:r w:rsidR="006C520C" w:rsidRPr="00677570">
        <w:rPr>
          <w:rFonts w:cs="Times New Roman"/>
          <w:lang w:val="en-US"/>
        </w:rPr>
        <w:t xml:space="preserve">wo weeks after </w:t>
      </w:r>
      <w:r w:rsidR="001A7184" w:rsidRPr="00677570">
        <w:rPr>
          <w:rFonts w:cs="Times New Roman"/>
          <w:lang w:val="en-US"/>
        </w:rPr>
        <w:t xml:space="preserve">sending </w:t>
      </w:r>
      <w:r w:rsidR="006C520C" w:rsidRPr="00677570">
        <w:rPr>
          <w:rFonts w:cs="Times New Roman"/>
          <w:lang w:val="en-US"/>
        </w:rPr>
        <w:t>a short information letter on study aims and procedure, as well as voluntariness of participation and anonymization o</w:t>
      </w:r>
      <w:r w:rsidR="0016091A" w:rsidRPr="00677570">
        <w:rPr>
          <w:rFonts w:cs="Times New Roman"/>
          <w:lang w:val="en-US"/>
        </w:rPr>
        <w:t>f collected data used for scientific</w:t>
      </w:r>
      <w:r w:rsidR="006C520C" w:rsidRPr="00677570">
        <w:rPr>
          <w:rFonts w:cs="Times New Roman"/>
          <w:lang w:val="en-US"/>
        </w:rPr>
        <w:t xml:space="preserve"> purposes</w:t>
      </w:r>
      <w:r w:rsidR="001A7184" w:rsidRPr="00677570">
        <w:rPr>
          <w:rFonts w:cs="Times New Roman"/>
          <w:lang w:val="en-US"/>
        </w:rPr>
        <w:t>.</w:t>
      </w:r>
    </w:p>
    <w:p w14:paraId="24E41646" w14:textId="319561F7" w:rsidR="00FC4954" w:rsidRDefault="00BC7977" w:rsidP="00FC4954">
      <w:pPr>
        <w:autoSpaceDE w:val="0"/>
        <w:autoSpaceDN w:val="0"/>
        <w:adjustRightInd w:val="0"/>
        <w:spacing w:before="0" w:after="0"/>
        <w:rPr>
          <w:rFonts w:cs="Times New Roman"/>
          <w:bCs/>
          <w:color w:val="000000"/>
          <w:lang w:val="en-US"/>
        </w:rPr>
      </w:pPr>
      <w:r w:rsidRPr="00677570">
        <w:rPr>
          <w:rFonts w:cs="Times New Roman"/>
          <w:lang w:val="en-US"/>
        </w:rPr>
        <w:t xml:space="preserve">At baseline, </w:t>
      </w:r>
      <w:r w:rsidRPr="00677570">
        <w:rPr>
          <w:rFonts w:eastAsia="Calibri" w:cs="Times New Roman"/>
          <w:lang w:val="en-GB"/>
        </w:rPr>
        <w:t>2</w:t>
      </w:r>
      <w:r w:rsidR="00623A76">
        <w:rPr>
          <w:rFonts w:eastAsia="Calibri" w:cs="Times New Roman"/>
          <w:lang w:val="en-GB"/>
        </w:rPr>
        <w:t>,</w:t>
      </w:r>
      <w:r w:rsidRPr="00677570">
        <w:rPr>
          <w:rFonts w:eastAsia="Calibri" w:cs="Times New Roman"/>
          <w:lang w:val="en-GB"/>
        </w:rPr>
        <w:t xml:space="preserve">683 </w:t>
      </w:r>
      <w:r w:rsidR="00CC168C" w:rsidRPr="00677570">
        <w:rPr>
          <w:rFonts w:eastAsia="Calibri" w:cs="Times New Roman"/>
          <w:lang w:val="en-GB"/>
        </w:rPr>
        <w:t>participants were interviewed in the B</w:t>
      </w:r>
      <w:r w:rsidRPr="00677570">
        <w:rPr>
          <w:rFonts w:eastAsia="Calibri" w:cs="Times New Roman"/>
          <w:lang w:val="en-GB"/>
        </w:rPr>
        <w:t>EAR</w:t>
      </w:r>
      <w:r w:rsidR="00CC168C" w:rsidRPr="00677570">
        <w:rPr>
          <w:rFonts w:eastAsia="Calibri" w:cs="Times New Roman"/>
          <w:lang w:val="en-GB"/>
        </w:rPr>
        <w:t xml:space="preserve"> </w:t>
      </w:r>
      <w:r w:rsidRPr="00677570">
        <w:rPr>
          <w:rFonts w:eastAsia="Calibri" w:cs="Times New Roman"/>
          <w:lang w:val="en-GB"/>
        </w:rPr>
        <w:t xml:space="preserve">and </w:t>
      </w:r>
      <w:r w:rsidR="00CC168C" w:rsidRPr="00677570">
        <w:rPr>
          <w:rFonts w:eastAsia="Calibri" w:cs="Times New Roman"/>
          <w:lang w:val="en-GB"/>
        </w:rPr>
        <w:t xml:space="preserve">235 in the </w:t>
      </w:r>
      <w:r w:rsidRPr="00677570">
        <w:rPr>
          <w:rFonts w:eastAsia="Calibri" w:cs="Times New Roman"/>
          <w:lang w:val="en-GB"/>
        </w:rPr>
        <w:t>BEARS-Kid</w:t>
      </w:r>
      <w:r w:rsidR="00CC168C" w:rsidRPr="00677570">
        <w:rPr>
          <w:rFonts w:eastAsia="Calibri" w:cs="Times New Roman"/>
          <w:lang w:val="en-GB"/>
        </w:rPr>
        <w:t xml:space="preserve"> study</w:t>
      </w:r>
      <w:r w:rsidR="004B60CD" w:rsidRPr="00677570">
        <w:rPr>
          <w:rFonts w:eastAsia="Calibri" w:cs="Times New Roman"/>
          <w:lang w:val="en-GB"/>
        </w:rPr>
        <w:t>, with</w:t>
      </w:r>
      <w:r w:rsidR="005C2D38" w:rsidRPr="00677570">
        <w:rPr>
          <w:rFonts w:eastAsia="Calibri" w:cs="Times New Roman"/>
          <w:lang w:val="en-GB"/>
        </w:rPr>
        <w:t xml:space="preserve"> </w:t>
      </w:r>
      <w:r w:rsidR="004B60CD" w:rsidRPr="00677570">
        <w:rPr>
          <w:rFonts w:eastAsia="Calibri" w:cs="Times New Roman"/>
          <w:lang w:val="en-GB"/>
        </w:rPr>
        <w:t>a</w:t>
      </w:r>
      <w:r w:rsidR="00932460" w:rsidRPr="00677570">
        <w:rPr>
          <w:rFonts w:eastAsia="Calibri" w:cs="Times New Roman"/>
          <w:lang w:val="en-GB"/>
        </w:rPr>
        <w:t xml:space="preserve">bout a </w:t>
      </w:r>
      <w:r w:rsidR="00F454D0" w:rsidRPr="00677570">
        <w:rPr>
          <w:rFonts w:eastAsia="Calibri" w:cs="Times New Roman"/>
          <w:lang w:val="en-GB"/>
        </w:rPr>
        <w:t xml:space="preserve">quarter of </w:t>
      </w:r>
      <w:r w:rsidR="00932460" w:rsidRPr="00677570">
        <w:rPr>
          <w:rFonts w:eastAsia="Calibri" w:cs="Times New Roman"/>
          <w:lang w:val="en-GB"/>
        </w:rPr>
        <w:t>them report</w:t>
      </w:r>
      <w:r w:rsidR="004B60CD" w:rsidRPr="00677570">
        <w:rPr>
          <w:rFonts w:eastAsia="Calibri" w:cs="Times New Roman"/>
          <w:lang w:val="en-GB"/>
        </w:rPr>
        <w:t>ing</w:t>
      </w:r>
      <w:r w:rsidR="00932460" w:rsidRPr="00677570">
        <w:rPr>
          <w:rFonts w:eastAsia="Calibri" w:cs="Times New Roman"/>
          <w:lang w:val="en-GB"/>
        </w:rPr>
        <w:t xml:space="preserve"> </w:t>
      </w:r>
      <w:r w:rsidR="003454F4">
        <w:rPr>
          <w:rFonts w:eastAsia="Calibri" w:cs="Times New Roman"/>
          <w:lang w:val="en-GB"/>
        </w:rPr>
        <w:t>CHR-P-symptoms</w:t>
      </w:r>
      <w:r w:rsidR="005C2D38" w:rsidRPr="00677570">
        <w:rPr>
          <w:rFonts w:eastAsia="Calibri" w:cs="Times New Roman"/>
          <w:lang w:val="en-GB"/>
        </w:rPr>
        <w:t xml:space="preserve"> and 2.4% me</w:t>
      </w:r>
      <w:r w:rsidR="004B60CD" w:rsidRPr="00677570">
        <w:rPr>
          <w:rFonts w:eastAsia="Calibri" w:cs="Times New Roman"/>
          <w:lang w:val="en-GB"/>
        </w:rPr>
        <w:t>e</w:t>
      </w:r>
      <w:r w:rsidR="005C2D38" w:rsidRPr="00677570">
        <w:rPr>
          <w:rFonts w:eastAsia="Calibri" w:cs="Times New Roman"/>
          <w:lang w:val="en-GB"/>
        </w:rPr>
        <w:t>t</w:t>
      </w:r>
      <w:r w:rsidR="004B60CD" w:rsidRPr="00677570">
        <w:rPr>
          <w:rFonts w:eastAsia="Calibri" w:cs="Times New Roman"/>
          <w:lang w:val="en-GB"/>
        </w:rPr>
        <w:t>ing</w:t>
      </w:r>
      <w:r w:rsidR="005C2D38" w:rsidRPr="00677570">
        <w:rPr>
          <w:rFonts w:eastAsia="Calibri" w:cs="Times New Roman"/>
          <w:lang w:val="en-GB"/>
        </w:rPr>
        <w:t xml:space="preserve"> CHR-P criteri</w:t>
      </w:r>
      <w:r w:rsidR="004B60CD" w:rsidRPr="00677570">
        <w:rPr>
          <w:rFonts w:eastAsia="Calibri" w:cs="Times New Roman"/>
          <w:lang w:val="en-GB"/>
        </w:rPr>
        <w:t>a.</w:t>
      </w:r>
      <w:r w:rsidR="002943E9" w:rsidRPr="00677570">
        <w:rPr>
          <w:rFonts w:eastAsia="Calibri" w:cs="Times New Roman"/>
          <w:lang w:val="en-GB"/>
        </w:rPr>
        <w:t xml:space="preserve"> For the first three-year follow-up of the BEAR-study, 1</w:t>
      </w:r>
      <w:r w:rsidR="00623A76">
        <w:rPr>
          <w:rFonts w:eastAsia="Calibri" w:cs="Times New Roman"/>
          <w:lang w:val="en-GB"/>
        </w:rPr>
        <w:t>,</w:t>
      </w:r>
      <w:r w:rsidR="002943E9" w:rsidRPr="00677570">
        <w:rPr>
          <w:rFonts w:eastAsia="Calibri" w:cs="Times New Roman"/>
          <w:lang w:val="en-GB"/>
        </w:rPr>
        <w:t>263 participants were sampled</w:t>
      </w:r>
      <w:r w:rsidR="006A65DC" w:rsidRPr="00677570">
        <w:rPr>
          <w:rFonts w:eastAsia="Calibri" w:cs="Times New Roman"/>
          <w:lang w:val="en-GB"/>
        </w:rPr>
        <w:t xml:space="preserve"> (response rate 66.4%)</w:t>
      </w:r>
      <w:r w:rsidR="002943E9" w:rsidRPr="00677570">
        <w:rPr>
          <w:rFonts w:eastAsia="Calibri" w:cs="Times New Roman"/>
          <w:lang w:val="en-GB"/>
        </w:rPr>
        <w:t xml:space="preserve">. Out of the </w:t>
      </w:r>
      <w:r w:rsidR="00221F75" w:rsidRPr="00677570">
        <w:rPr>
          <w:rFonts w:eastAsia="Calibri" w:cs="Times New Roman"/>
          <w:lang w:val="en-GB"/>
        </w:rPr>
        <w:t xml:space="preserve">834 </w:t>
      </w:r>
      <w:r w:rsidR="002943E9" w:rsidRPr="00677570">
        <w:rPr>
          <w:rFonts w:eastAsia="Calibri" w:cs="Times New Roman"/>
          <w:lang w:val="en-GB"/>
        </w:rPr>
        <w:t xml:space="preserve">who were interviewed, </w:t>
      </w:r>
      <w:r w:rsidR="005B3391" w:rsidRPr="00677570">
        <w:rPr>
          <w:rFonts w:eastAsia="Calibri" w:cs="Times New Roman"/>
          <w:lang w:val="en-GB"/>
        </w:rPr>
        <w:t xml:space="preserve">5 </w:t>
      </w:r>
      <w:r w:rsidR="00D97A33" w:rsidRPr="00677570">
        <w:rPr>
          <w:rFonts w:eastAsia="Calibri" w:cs="Times New Roman"/>
          <w:lang w:val="en-GB"/>
        </w:rPr>
        <w:t xml:space="preserve">(0.5%) </w:t>
      </w:r>
      <w:r w:rsidR="00AE3A37" w:rsidRPr="00677570">
        <w:rPr>
          <w:rFonts w:eastAsia="Calibri" w:cs="Times New Roman"/>
          <w:lang w:val="en-GB"/>
        </w:rPr>
        <w:t>had converted to psychosis, all of whom</w:t>
      </w:r>
      <w:r w:rsidR="002943E9" w:rsidRPr="00677570">
        <w:rPr>
          <w:rFonts w:eastAsia="Calibri" w:cs="Times New Roman"/>
          <w:lang w:val="en-GB"/>
        </w:rPr>
        <w:t xml:space="preserve"> </w:t>
      </w:r>
      <w:r w:rsidR="005D60D7" w:rsidRPr="00677570">
        <w:rPr>
          <w:rFonts w:eastAsia="Calibri" w:cs="Times New Roman"/>
          <w:lang w:val="en-GB"/>
        </w:rPr>
        <w:t xml:space="preserve">had </w:t>
      </w:r>
      <w:r w:rsidR="006A65DC" w:rsidRPr="00677570">
        <w:rPr>
          <w:rFonts w:eastAsia="Calibri" w:cs="Times New Roman"/>
          <w:lang w:val="en-GB"/>
        </w:rPr>
        <w:t>presented with</w:t>
      </w:r>
      <w:r w:rsidR="005D60D7" w:rsidRPr="00677570">
        <w:rPr>
          <w:rFonts w:eastAsia="Calibri" w:cs="Times New Roman"/>
          <w:lang w:val="en-GB"/>
        </w:rPr>
        <w:t xml:space="preserve"> </w:t>
      </w:r>
      <w:r w:rsidR="003454F4">
        <w:rPr>
          <w:rFonts w:eastAsia="Calibri" w:cs="Times New Roman"/>
          <w:lang w:val="en-GB"/>
        </w:rPr>
        <w:t>CHR-P-symptoms</w:t>
      </w:r>
      <w:r w:rsidR="00AE3A37" w:rsidRPr="00677570">
        <w:rPr>
          <w:rFonts w:eastAsia="Calibri" w:cs="Times New Roman"/>
          <w:lang w:val="en-GB"/>
        </w:rPr>
        <w:t xml:space="preserve">/criteria </w:t>
      </w:r>
      <w:r w:rsidR="005D60D7" w:rsidRPr="00677570">
        <w:rPr>
          <w:rFonts w:eastAsia="Calibri" w:cs="Times New Roman"/>
          <w:lang w:val="en-GB"/>
        </w:rPr>
        <w:t xml:space="preserve">at baseline </w:t>
      </w:r>
      <w:r w:rsidR="00AE3A37" w:rsidRPr="00677570">
        <w:rPr>
          <w:rFonts w:eastAsia="Calibri" w:cs="Times New Roman"/>
          <w:lang w:val="en-GB"/>
        </w:rPr>
        <w:t>(</w:t>
      </w:r>
      <w:r w:rsidR="00AE3A37" w:rsidRPr="00677570">
        <w:rPr>
          <w:rFonts w:eastAsia="Calibri" w:cs="Times New Roman"/>
          <w:i/>
          <w:iCs/>
          <w:lang w:val="en-GB"/>
        </w:rPr>
        <w:t>N</w:t>
      </w:r>
      <w:r w:rsidR="00AE3A37" w:rsidRPr="00677570">
        <w:rPr>
          <w:rFonts w:eastAsia="Calibri" w:cs="Times New Roman"/>
          <w:lang w:val="en-GB"/>
        </w:rPr>
        <w:t>=434).</w:t>
      </w:r>
      <w:r w:rsidR="00DF4DC7" w:rsidRPr="00677570">
        <w:rPr>
          <w:rFonts w:eastAsia="Calibri" w:cs="Times New Roman"/>
          <w:lang w:val="en-GB"/>
        </w:rPr>
        <w:t xml:space="preserve"> By the first two-year follow-up of the BEARS-Kid study</w:t>
      </w:r>
      <w:r w:rsidR="00502085" w:rsidRPr="00677570">
        <w:rPr>
          <w:rFonts w:eastAsia="Calibri" w:cs="Times New Roman"/>
          <w:lang w:val="en-GB"/>
        </w:rPr>
        <w:t xml:space="preserve"> (</w:t>
      </w:r>
      <w:r w:rsidR="00502085" w:rsidRPr="00677570">
        <w:rPr>
          <w:rFonts w:eastAsia="Calibri" w:cs="Times New Roman"/>
          <w:i/>
          <w:iCs/>
          <w:lang w:val="en-GB"/>
        </w:rPr>
        <w:t>N</w:t>
      </w:r>
      <w:r w:rsidR="00502085" w:rsidRPr="00677570">
        <w:rPr>
          <w:rFonts w:eastAsia="Calibri" w:cs="Times New Roman"/>
          <w:lang w:val="en-GB"/>
        </w:rPr>
        <w:t>=195, dropout rate 11%)</w:t>
      </w:r>
      <w:r w:rsidR="00DF4DC7" w:rsidRPr="00677570">
        <w:rPr>
          <w:rFonts w:eastAsia="Calibri" w:cs="Times New Roman"/>
          <w:lang w:val="en-GB"/>
        </w:rPr>
        <w:t xml:space="preserve">, one person </w:t>
      </w:r>
      <w:r w:rsidR="00571C7E" w:rsidRPr="00677570">
        <w:rPr>
          <w:rFonts w:eastAsia="Calibri" w:cs="Times New Roman"/>
          <w:lang w:val="en-GB"/>
        </w:rPr>
        <w:t>who had reported</w:t>
      </w:r>
      <w:r w:rsidR="00502085" w:rsidRPr="00677570">
        <w:rPr>
          <w:rFonts w:eastAsia="Calibri" w:cs="Times New Roman"/>
          <w:lang w:val="en-GB"/>
        </w:rPr>
        <w:t xml:space="preserve"> </w:t>
      </w:r>
      <w:r w:rsidR="003454F4">
        <w:rPr>
          <w:rFonts w:eastAsia="Calibri" w:cs="Times New Roman"/>
          <w:lang w:val="en-GB"/>
        </w:rPr>
        <w:t>CHR-P-symptoms</w:t>
      </w:r>
      <w:r w:rsidR="00502085" w:rsidRPr="00677570">
        <w:rPr>
          <w:rFonts w:eastAsia="Calibri" w:cs="Times New Roman"/>
          <w:lang w:val="en-GB"/>
        </w:rPr>
        <w:t xml:space="preserve"> at baseline had converted to psychosis. </w:t>
      </w:r>
      <w:r w:rsidR="00571C7E" w:rsidRPr="00677570">
        <w:rPr>
          <w:rFonts w:eastAsia="Calibri" w:cs="Times New Roman"/>
          <w:lang w:val="en-GB"/>
        </w:rPr>
        <w:t>For the second ten-year-follow up, the two samples were merged</w:t>
      </w:r>
      <w:r w:rsidR="008D059C" w:rsidRPr="00677570">
        <w:rPr>
          <w:rFonts w:eastAsia="Calibri" w:cs="Times New Roman"/>
          <w:lang w:val="en-GB"/>
        </w:rPr>
        <w:t xml:space="preserve"> (</w:t>
      </w:r>
      <w:r w:rsidR="008D059C" w:rsidRPr="00677570">
        <w:rPr>
          <w:rFonts w:eastAsia="Calibri" w:cs="Times New Roman"/>
          <w:i/>
          <w:iCs/>
          <w:lang w:val="en-GB"/>
        </w:rPr>
        <w:t>N</w:t>
      </w:r>
      <w:r w:rsidR="008D059C" w:rsidRPr="00677570">
        <w:rPr>
          <w:rFonts w:eastAsia="Calibri" w:cs="Times New Roman"/>
          <w:lang w:val="en-GB"/>
        </w:rPr>
        <w:t>=1</w:t>
      </w:r>
      <w:r w:rsidR="00623A76">
        <w:rPr>
          <w:rFonts w:eastAsia="Calibri" w:cs="Times New Roman"/>
          <w:lang w:val="en-GB"/>
        </w:rPr>
        <w:t>,</w:t>
      </w:r>
      <w:r w:rsidR="008D059C" w:rsidRPr="00677570">
        <w:rPr>
          <w:rFonts w:eastAsia="Calibri" w:cs="Times New Roman"/>
          <w:lang w:val="en-GB"/>
        </w:rPr>
        <w:t>278)</w:t>
      </w:r>
      <w:r w:rsidR="00571C7E" w:rsidRPr="00677570">
        <w:rPr>
          <w:rFonts w:eastAsia="Calibri" w:cs="Times New Roman"/>
          <w:lang w:val="en-GB"/>
        </w:rPr>
        <w:t xml:space="preserve">, </w:t>
      </w:r>
      <w:r w:rsidR="002C1EF5" w:rsidRPr="00677570">
        <w:rPr>
          <w:rFonts w:eastAsia="Calibri" w:cs="Times New Roman"/>
          <w:lang w:val="en-GB"/>
        </w:rPr>
        <w:t xml:space="preserve">excluding </w:t>
      </w:r>
      <w:r w:rsidR="001064BF" w:rsidRPr="00677570">
        <w:rPr>
          <w:rFonts w:eastAsia="Calibri" w:cs="Times New Roman"/>
          <w:lang w:val="en-GB"/>
        </w:rPr>
        <w:t xml:space="preserve">both converters and </w:t>
      </w:r>
      <w:r w:rsidR="002C1EF5" w:rsidRPr="00677570">
        <w:rPr>
          <w:rFonts w:eastAsia="Calibri" w:cs="Times New Roman"/>
          <w:lang w:val="en-GB"/>
        </w:rPr>
        <w:t xml:space="preserve">those who </w:t>
      </w:r>
      <w:r w:rsidR="00362BD5" w:rsidRPr="00677570">
        <w:rPr>
          <w:rFonts w:eastAsia="Calibri" w:cs="Times New Roman"/>
          <w:lang w:val="en-GB"/>
        </w:rPr>
        <w:t xml:space="preserve">did not give </w:t>
      </w:r>
      <w:r w:rsidR="008D059C" w:rsidRPr="00677570">
        <w:rPr>
          <w:rFonts w:eastAsia="Calibri" w:cs="Times New Roman"/>
          <w:lang w:val="en-GB"/>
        </w:rPr>
        <w:t>permission to be recontacted</w:t>
      </w:r>
      <w:r w:rsidR="00362BD5" w:rsidRPr="00677570">
        <w:rPr>
          <w:rFonts w:eastAsia="Calibri" w:cs="Times New Roman"/>
          <w:lang w:val="en-GB"/>
        </w:rPr>
        <w:t xml:space="preserve"> after the first follow-up</w:t>
      </w:r>
      <w:r w:rsidR="002C1EF5" w:rsidRPr="00677570">
        <w:rPr>
          <w:rFonts w:eastAsia="Calibri" w:cs="Times New Roman"/>
          <w:lang w:val="en-GB"/>
        </w:rPr>
        <w:t>.</w:t>
      </w:r>
      <w:r w:rsidR="00B8747C" w:rsidRPr="00677570">
        <w:rPr>
          <w:rFonts w:eastAsia="Calibri" w:cs="Times New Roman"/>
          <w:lang w:val="en-GB"/>
        </w:rPr>
        <w:t xml:space="preserve"> </w:t>
      </w:r>
      <w:r w:rsidR="009D1F75" w:rsidRPr="00677570">
        <w:rPr>
          <w:rFonts w:eastAsia="Calibri" w:cs="Times New Roman"/>
          <w:lang w:val="en-GB"/>
        </w:rPr>
        <w:t xml:space="preserve">With data collection drawing to a close, </w:t>
      </w:r>
      <w:r w:rsidR="002854A5" w:rsidRPr="00677570">
        <w:rPr>
          <w:rFonts w:eastAsia="Calibri" w:cs="Times New Roman"/>
          <w:lang w:val="en-GB"/>
        </w:rPr>
        <w:t>846 participants have been interviewed (response rate 85.5%)</w:t>
      </w:r>
      <w:r w:rsidR="0088155A" w:rsidRPr="00677570">
        <w:rPr>
          <w:rFonts w:eastAsia="Calibri" w:cs="Times New Roman"/>
          <w:lang w:val="en-GB"/>
        </w:rPr>
        <w:t xml:space="preserve">, 2 </w:t>
      </w:r>
      <w:r w:rsidR="006B5D81" w:rsidRPr="00677570">
        <w:rPr>
          <w:rFonts w:eastAsia="Calibri" w:cs="Times New Roman"/>
          <w:lang w:val="en-GB"/>
        </w:rPr>
        <w:t xml:space="preserve">of which </w:t>
      </w:r>
      <w:r w:rsidR="0088155A" w:rsidRPr="00677570">
        <w:rPr>
          <w:rFonts w:eastAsia="Calibri" w:cs="Times New Roman"/>
          <w:lang w:val="en-GB"/>
        </w:rPr>
        <w:t>have converted to psychosis.</w:t>
      </w:r>
      <w:r w:rsidR="00FC4954">
        <w:rPr>
          <w:rFonts w:eastAsia="Calibri" w:cs="Times New Roman"/>
          <w:lang w:val="en-GB"/>
        </w:rPr>
        <w:t xml:space="preserve"> At baseline and second follow-up, t</w:t>
      </w:r>
      <w:r w:rsidR="00FC4954">
        <w:rPr>
          <w:rFonts w:cs="Times New Roman"/>
          <w:bCs/>
          <w:color w:val="000000"/>
          <w:lang w:val="en-US"/>
        </w:rPr>
        <w:t xml:space="preserve">here were no </w:t>
      </w:r>
      <w:r w:rsidR="00FC4954">
        <w:rPr>
          <w:rFonts w:cs="Times New Roman"/>
          <w:bCs/>
          <w:color w:val="000000"/>
          <w:lang w:val="en-US"/>
        </w:rPr>
        <w:lastRenderedPageBreak/>
        <w:t>significant differences in age or sex between those who participated and those who did not (</w:t>
      </w:r>
      <w:r w:rsidR="00FC4954" w:rsidRPr="00B91049">
        <w:rPr>
          <w:lang w:val="en-US"/>
        </w:rPr>
        <w:t>W=49</w:t>
      </w:r>
      <w:r w:rsidR="00FC4954">
        <w:rPr>
          <w:lang w:val="en-US"/>
        </w:rPr>
        <w:t>,</w:t>
      </w:r>
      <w:r w:rsidR="00FC4954" w:rsidRPr="00B91049">
        <w:rPr>
          <w:lang w:val="en-US"/>
        </w:rPr>
        <w:t>042, p=0.1</w:t>
      </w:r>
      <w:r w:rsidR="00FC4954">
        <w:rPr>
          <w:lang w:val="en-US"/>
        </w:rPr>
        <w:t xml:space="preserve">9; </w:t>
      </w:r>
      <w:r w:rsidR="00FC4954" w:rsidRPr="00552E3E">
        <w:rPr>
          <w:rFonts w:eastAsia="Times New Roman" w:cs="Times New Roman"/>
          <w:bCs/>
          <w:lang w:eastAsia="de-DE"/>
        </w:rPr>
        <w:t>χ</w:t>
      </w:r>
      <w:r w:rsidR="00FC4954" w:rsidRPr="00AE0E3F">
        <w:rPr>
          <w:rFonts w:eastAsia="Times New Roman" w:cs="Times New Roman"/>
          <w:bCs/>
          <w:lang w:val="en-US" w:eastAsia="de-DE"/>
        </w:rPr>
        <w:t>²=</w:t>
      </w:r>
      <w:r w:rsidR="00FC4954" w:rsidRPr="00B91049">
        <w:rPr>
          <w:lang w:val="en-US"/>
        </w:rPr>
        <w:t>0.63</w:t>
      </w:r>
      <w:r w:rsidR="00FC4954">
        <w:rPr>
          <w:lang w:val="en-US"/>
        </w:rPr>
        <w:t>, p=0.43)</w:t>
      </w:r>
      <w:r w:rsidR="00FC4954">
        <w:rPr>
          <w:rFonts w:cs="Times New Roman"/>
          <w:bCs/>
          <w:color w:val="000000"/>
          <w:lang w:val="en-US"/>
        </w:rPr>
        <w:t>, indicating that selection effects involving these key descriptive variables are unlikely</w:t>
      </w:r>
      <w:r w:rsidR="00FC4954" w:rsidRPr="00275307">
        <w:rPr>
          <w:rFonts w:cs="Times New Roman"/>
          <w:bCs/>
          <w:color w:val="000000"/>
          <w:lang w:val="en-US"/>
        </w:rPr>
        <w:t>.</w:t>
      </w:r>
      <w:r w:rsidR="00E71240">
        <w:rPr>
          <w:rFonts w:cs="Times New Roman"/>
          <w:bCs/>
          <w:color w:val="000000"/>
          <w:lang w:val="en-US"/>
        </w:rPr>
        <w:t xml:space="preserve"> </w:t>
      </w:r>
      <w:r w:rsidR="00E71240" w:rsidRPr="00593816">
        <w:rPr>
          <w:rFonts w:cs="Times New Roman"/>
          <w:bCs/>
          <w:color w:val="000000"/>
          <w:lang w:val="en-US"/>
        </w:rPr>
        <w:t xml:space="preserve">However, the sub-sample used in the current study </w:t>
      </w:r>
      <w:r w:rsidR="00647DB1" w:rsidRPr="00593816">
        <w:rPr>
          <w:rFonts w:cs="Times New Roman"/>
          <w:bCs/>
          <w:color w:val="000000"/>
          <w:lang w:val="en-US"/>
        </w:rPr>
        <w:t xml:space="preserve">seems to </w:t>
      </w:r>
      <w:r w:rsidR="00E71240" w:rsidRPr="00593816">
        <w:rPr>
          <w:rFonts w:cs="Times New Roman"/>
          <w:bCs/>
          <w:color w:val="000000"/>
          <w:lang w:val="en-US"/>
        </w:rPr>
        <w:t>show</w:t>
      </w:r>
      <w:r w:rsidR="00647DB1" w:rsidRPr="00593816">
        <w:rPr>
          <w:rFonts w:cs="Times New Roman"/>
          <w:bCs/>
          <w:color w:val="000000"/>
          <w:lang w:val="en-US"/>
        </w:rPr>
        <w:t xml:space="preserve"> </w:t>
      </w:r>
      <w:r w:rsidR="00E71240" w:rsidRPr="00593816">
        <w:rPr>
          <w:rFonts w:cs="Times New Roman"/>
          <w:bCs/>
          <w:color w:val="000000"/>
          <w:lang w:val="en-US"/>
        </w:rPr>
        <w:t xml:space="preserve">a selection bias towards female, highly educated, and functionally unimpaired individuals. </w:t>
      </w:r>
      <w:r w:rsidR="00C90F1F" w:rsidRPr="00593816">
        <w:rPr>
          <w:rFonts w:cs="Times New Roman"/>
          <w:bCs/>
          <w:color w:val="000000"/>
          <w:lang w:val="en-US"/>
        </w:rPr>
        <w:t xml:space="preserve">Two </w:t>
      </w:r>
      <w:r w:rsidR="00DC7D5E" w:rsidRPr="00593816">
        <w:rPr>
          <w:rFonts w:cs="Times New Roman"/>
          <w:bCs/>
          <w:color w:val="000000"/>
          <w:lang w:val="en-US"/>
        </w:rPr>
        <w:t>factors likely contributed to this bias</w:t>
      </w:r>
      <w:r w:rsidR="00BB2CFE" w:rsidRPr="00593816">
        <w:rPr>
          <w:rFonts w:cs="Times New Roman"/>
          <w:bCs/>
          <w:color w:val="000000"/>
          <w:lang w:val="en-US"/>
        </w:rPr>
        <w:t xml:space="preserve">. </w:t>
      </w:r>
      <w:r w:rsidR="00DC7D5E" w:rsidRPr="00593816">
        <w:rPr>
          <w:rFonts w:cs="Times New Roman"/>
          <w:bCs/>
          <w:color w:val="000000"/>
          <w:lang w:val="en-US"/>
        </w:rPr>
        <w:t>First</w:t>
      </w:r>
      <w:r w:rsidR="00BB2CFE" w:rsidRPr="00593816">
        <w:rPr>
          <w:rFonts w:cs="Times New Roman"/>
          <w:bCs/>
          <w:color w:val="000000"/>
          <w:lang w:val="en-US"/>
        </w:rPr>
        <w:t xml:space="preserve">, </w:t>
      </w:r>
      <w:r w:rsidR="00C90F1F" w:rsidRPr="00593816">
        <w:rPr>
          <w:rFonts w:cs="Times New Roman"/>
          <w:bCs/>
          <w:color w:val="000000"/>
          <w:lang w:val="en-US"/>
        </w:rPr>
        <w:t>participation in the add-on study</w:t>
      </w:r>
      <w:r w:rsidR="00BB2CFE" w:rsidRPr="00593816">
        <w:rPr>
          <w:rFonts w:cs="Times New Roman"/>
          <w:bCs/>
          <w:color w:val="000000"/>
          <w:lang w:val="en-US"/>
        </w:rPr>
        <w:t>, which was an inclusion criterion for the present work, may have attracted individuals who were more motivated, had greater availability, or were more engaged with research</w:t>
      </w:r>
      <w:r w:rsidR="00DC7D5E" w:rsidRPr="00593816">
        <w:rPr>
          <w:rFonts w:cs="Times New Roman"/>
          <w:bCs/>
          <w:color w:val="000000"/>
          <w:lang w:val="en-US"/>
        </w:rPr>
        <w:t xml:space="preserve"> – characteristics that might </w:t>
      </w:r>
      <w:r w:rsidR="00BB2CFE" w:rsidRPr="00593816">
        <w:rPr>
          <w:rFonts w:cs="Times New Roman"/>
          <w:bCs/>
          <w:color w:val="000000"/>
          <w:lang w:val="en-US"/>
        </w:rPr>
        <w:t xml:space="preserve">correlate with higher education levels and better functioning. Second, </w:t>
      </w:r>
      <w:r w:rsidR="00C90F1F" w:rsidRPr="00593816">
        <w:rPr>
          <w:rFonts w:cs="Times New Roman"/>
          <w:bCs/>
          <w:color w:val="000000"/>
          <w:lang w:val="en-US"/>
        </w:rPr>
        <w:t xml:space="preserve">data collection for the second follow-up of the BEAR and BEARS-Kid studies </w:t>
      </w:r>
      <w:r w:rsidR="00BB2CFE" w:rsidRPr="00593816">
        <w:rPr>
          <w:rFonts w:cs="Times New Roman"/>
          <w:bCs/>
          <w:color w:val="000000"/>
          <w:lang w:val="en-US"/>
        </w:rPr>
        <w:t>was</w:t>
      </w:r>
      <w:r w:rsidR="00C90F1F" w:rsidRPr="00593816">
        <w:rPr>
          <w:rFonts w:cs="Times New Roman"/>
          <w:bCs/>
          <w:color w:val="000000"/>
          <w:lang w:val="en-US"/>
        </w:rPr>
        <w:t xml:space="preserve"> incomplete at the time of analysis</w:t>
      </w:r>
      <w:r w:rsidR="00BB2CFE" w:rsidRPr="00593816">
        <w:rPr>
          <w:rFonts w:cs="Times New Roman"/>
          <w:bCs/>
          <w:color w:val="000000"/>
          <w:lang w:val="en-US"/>
        </w:rPr>
        <w:t>. I</w:t>
      </w:r>
      <w:r w:rsidR="00C90F1F" w:rsidRPr="00593816">
        <w:rPr>
          <w:rFonts w:cs="Times New Roman"/>
          <w:bCs/>
          <w:color w:val="000000"/>
          <w:lang w:val="en-US"/>
        </w:rPr>
        <w:t>ndividuals who had not yet been contacted may differ in socio-demographic characteristics due to logistical challenges, such as availability during specific calling hours or contact issues</w:t>
      </w:r>
      <w:r w:rsidR="009114FC" w:rsidRPr="00593816">
        <w:rPr>
          <w:rFonts w:cs="Times New Roman"/>
          <w:bCs/>
          <w:color w:val="000000"/>
          <w:lang w:val="en-US"/>
        </w:rPr>
        <w:t xml:space="preserve">. These factors </w:t>
      </w:r>
      <w:r w:rsidR="00C90F1F" w:rsidRPr="00593816">
        <w:rPr>
          <w:rFonts w:cs="Times New Roman"/>
          <w:bCs/>
          <w:color w:val="000000"/>
          <w:lang w:val="en-US"/>
        </w:rPr>
        <w:t>may inadvertently exclude certain populations (e.g., those with lower socioeconomic status or more demanding work schedules).</w:t>
      </w:r>
      <w:r w:rsidR="00BB2CFE" w:rsidRPr="00593816">
        <w:rPr>
          <w:rFonts w:cs="Times New Roman"/>
          <w:bCs/>
          <w:color w:val="000000"/>
          <w:lang w:val="en-US"/>
        </w:rPr>
        <w:t xml:space="preserve"> </w:t>
      </w:r>
      <w:r w:rsidR="00E71240" w:rsidRPr="00593816">
        <w:rPr>
          <w:rFonts w:cs="Times New Roman"/>
          <w:bCs/>
          <w:color w:val="000000"/>
          <w:lang w:val="en-US"/>
        </w:rPr>
        <w:t>Thus, while the original sample aimed to be representative, the sub-sample may not fully reflect the socio-demographic diversity of the Bernese community.</w:t>
      </w:r>
    </w:p>
    <w:p w14:paraId="4D4A3916" w14:textId="74FCE4D8" w:rsidR="002751BC" w:rsidRPr="00FC4954" w:rsidRDefault="006A65DC" w:rsidP="00FC4954">
      <w:pPr>
        <w:autoSpaceDE w:val="0"/>
        <w:autoSpaceDN w:val="0"/>
        <w:adjustRightInd w:val="0"/>
        <w:spacing w:before="0" w:after="0"/>
        <w:rPr>
          <w:rFonts w:cs="Times New Roman"/>
          <w:bCs/>
          <w:color w:val="000000"/>
          <w:lang w:val="en-US"/>
        </w:rPr>
      </w:pPr>
      <w:r w:rsidRPr="00677570">
        <w:rPr>
          <w:rFonts w:cs="Times New Roman"/>
          <w:lang w:val="en-GB"/>
        </w:rPr>
        <w:t>I</w:t>
      </w:r>
      <w:r w:rsidR="0042693C" w:rsidRPr="00677570">
        <w:rPr>
          <w:rFonts w:cs="Times New Roman"/>
          <w:lang w:val="en-US"/>
        </w:rPr>
        <w:t>n the second follow-up</w:t>
      </w:r>
      <w:r w:rsidRPr="00677570">
        <w:rPr>
          <w:rFonts w:cs="Times New Roman"/>
          <w:lang w:val="en-US"/>
        </w:rPr>
        <w:t>,</w:t>
      </w:r>
      <w:r w:rsidR="0042693C" w:rsidRPr="00677570">
        <w:rPr>
          <w:rFonts w:cs="Times New Roman"/>
          <w:lang w:val="en-US"/>
        </w:rPr>
        <w:t xml:space="preserve"> the same </w:t>
      </w:r>
      <w:r w:rsidR="002751BC" w:rsidRPr="00677570">
        <w:rPr>
          <w:rFonts w:cs="Times New Roman"/>
          <w:lang w:val="en-US"/>
        </w:rPr>
        <w:t>r</w:t>
      </w:r>
      <w:r w:rsidR="005F5B2C" w:rsidRPr="00677570">
        <w:rPr>
          <w:rFonts w:cs="Times New Roman"/>
          <w:lang w:val="en-US"/>
        </w:rPr>
        <w:t>ecruitment and assessm</w:t>
      </w:r>
      <w:r w:rsidR="008A66D0" w:rsidRPr="00677570">
        <w:rPr>
          <w:rFonts w:cs="Times New Roman"/>
          <w:lang w:val="en-US"/>
        </w:rPr>
        <w:t xml:space="preserve">ent procedures </w:t>
      </w:r>
      <w:r w:rsidR="002751BC" w:rsidRPr="00677570">
        <w:rPr>
          <w:rFonts w:cs="Times New Roman"/>
          <w:lang w:val="en-US"/>
        </w:rPr>
        <w:t xml:space="preserve">of previous time points </w:t>
      </w:r>
      <w:r w:rsidR="008A66D0" w:rsidRPr="00677570">
        <w:rPr>
          <w:rFonts w:cs="Times New Roman"/>
          <w:lang w:val="en-US"/>
        </w:rPr>
        <w:t xml:space="preserve">applied, with the exception that all </w:t>
      </w:r>
      <w:r w:rsidR="002751BC" w:rsidRPr="00677570">
        <w:rPr>
          <w:rFonts w:cs="Times New Roman"/>
          <w:lang w:val="en-US"/>
        </w:rPr>
        <w:t xml:space="preserve">interviews were conducted </w:t>
      </w:r>
      <w:r w:rsidR="008A66D0" w:rsidRPr="00677570">
        <w:rPr>
          <w:rFonts w:cs="Times New Roman"/>
          <w:lang w:val="en-US"/>
        </w:rPr>
        <w:t>on the phone. Minors</w:t>
      </w:r>
      <w:r w:rsidR="002751BC" w:rsidRPr="00677570">
        <w:rPr>
          <w:rFonts w:cs="Times New Roman"/>
          <w:lang w:val="en-US"/>
        </w:rPr>
        <w:t xml:space="preserve">, who were all 14 years old and upwards, </w:t>
      </w:r>
      <w:r w:rsidR="008A66D0" w:rsidRPr="00677570">
        <w:rPr>
          <w:rFonts w:cs="Times New Roman"/>
          <w:lang w:val="en-US"/>
        </w:rPr>
        <w:t xml:space="preserve">provided written </w:t>
      </w:r>
      <w:r w:rsidR="002751BC" w:rsidRPr="00677570">
        <w:rPr>
          <w:rFonts w:cs="Times New Roman"/>
          <w:lang w:val="en-US"/>
        </w:rPr>
        <w:t xml:space="preserve">informed consent/assent, and, for participants younger </w:t>
      </w:r>
      <w:r w:rsidR="00ED17AB" w:rsidRPr="00677570">
        <w:rPr>
          <w:rFonts w:cs="Times New Roman"/>
          <w:lang w:val="en-US"/>
        </w:rPr>
        <w:t xml:space="preserve">than 16, </w:t>
      </w:r>
      <w:r w:rsidR="002751BC" w:rsidRPr="00677570">
        <w:rPr>
          <w:rFonts w:cs="Times New Roman"/>
          <w:lang w:val="en-US"/>
        </w:rPr>
        <w:t xml:space="preserve">written informed consent </w:t>
      </w:r>
      <w:r w:rsidR="00ED17AB" w:rsidRPr="00677570">
        <w:rPr>
          <w:rFonts w:cs="Times New Roman"/>
          <w:lang w:val="en-US"/>
        </w:rPr>
        <w:t xml:space="preserve">by a parent </w:t>
      </w:r>
      <w:r w:rsidR="002751BC" w:rsidRPr="00677570">
        <w:rPr>
          <w:rFonts w:cs="Times New Roman"/>
          <w:lang w:val="en-US"/>
        </w:rPr>
        <w:t>was also required. This time, however, BEA</w:t>
      </w:r>
      <w:r w:rsidR="00D306EE" w:rsidRPr="00677570">
        <w:rPr>
          <w:rFonts w:cs="Times New Roman"/>
          <w:lang w:val="en-US"/>
        </w:rPr>
        <w:t>RS-Kid participants over 18</w:t>
      </w:r>
      <w:r w:rsidR="002751BC" w:rsidRPr="00677570">
        <w:rPr>
          <w:rFonts w:cs="Times New Roman"/>
          <w:lang w:val="en-US"/>
        </w:rPr>
        <w:t xml:space="preserve"> </w:t>
      </w:r>
      <w:r w:rsidR="00AF3DFE" w:rsidRPr="00677570">
        <w:rPr>
          <w:rFonts w:cs="Times New Roman"/>
          <w:lang w:val="en-US"/>
        </w:rPr>
        <w:t xml:space="preserve">gave </w:t>
      </w:r>
      <w:r w:rsidR="002751BC" w:rsidRPr="00677570">
        <w:rPr>
          <w:rFonts w:cs="Times New Roman"/>
          <w:lang w:val="en-US"/>
        </w:rPr>
        <w:t xml:space="preserve">informed consent </w:t>
      </w:r>
      <w:r w:rsidR="00AF3DFE" w:rsidRPr="00677570">
        <w:rPr>
          <w:rFonts w:cs="Times New Roman"/>
          <w:lang w:val="en-US"/>
        </w:rPr>
        <w:t xml:space="preserve">verbally </w:t>
      </w:r>
      <w:r w:rsidR="002751BC" w:rsidRPr="00677570">
        <w:rPr>
          <w:rFonts w:cs="Times New Roman"/>
          <w:lang w:val="en-US"/>
        </w:rPr>
        <w:t>by participating in the telephone interview.</w:t>
      </w:r>
      <w:r w:rsidR="00AF3DFE" w:rsidRPr="00677570">
        <w:rPr>
          <w:rFonts w:cs="Times New Roman"/>
          <w:lang w:val="en-US"/>
        </w:rPr>
        <w:t xml:space="preserve"> </w:t>
      </w:r>
      <w:r w:rsidR="00ED17AB" w:rsidRPr="00677570">
        <w:rPr>
          <w:rFonts w:cs="Times New Roman"/>
          <w:lang w:val="en-US"/>
        </w:rPr>
        <w:t xml:space="preserve">Additionally, </w:t>
      </w:r>
      <w:r w:rsidR="00AF3DFE" w:rsidRPr="00677570">
        <w:rPr>
          <w:rFonts w:cs="Times New Roman"/>
          <w:lang w:val="en-US"/>
        </w:rPr>
        <w:t xml:space="preserve">German speaking participants who provided an </w:t>
      </w:r>
      <w:r w:rsidR="00AF3DFE" w:rsidRPr="00677570">
        <w:rPr>
          <w:rFonts w:cs="Times New Roman"/>
          <w:i/>
          <w:lang w:val="en-US"/>
        </w:rPr>
        <w:t xml:space="preserve">ad hoc </w:t>
      </w:r>
      <w:r w:rsidR="00AF3DFE" w:rsidRPr="00677570">
        <w:rPr>
          <w:rFonts w:cs="Times New Roman"/>
          <w:lang w:val="en-US"/>
        </w:rPr>
        <w:t>informed consent dur</w:t>
      </w:r>
      <w:r w:rsidR="00CB2952" w:rsidRPr="00677570">
        <w:rPr>
          <w:rFonts w:cs="Times New Roman"/>
          <w:lang w:val="en-US"/>
        </w:rPr>
        <w:t>ing the interview filled out</w:t>
      </w:r>
      <w:r w:rsidR="00AF3DFE" w:rsidRPr="00677570">
        <w:rPr>
          <w:rFonts w:cs="Times New Roman"/>
          <w:lang w:val="en-US"/>
        </w:rPr>
        <w:t xml:space="preserve"> add-on questionnaires online or, if they especially requested it, on paper.</w:t>
      </w:r>
      <w:r w:rsidR="00D22B08" w:rsidRPr="00677570">
        <w:rPr>
          <w:rFonts w:cs="Times New Roman"/>
          <w:lang w:val="en-US"/>
        </w:rPr>
        <w:t xml:space="preserve"> To enhance response rates, participants who did not fill out the questionnaires received a first e-mail reminder after three weeks</w:t>
      </w:r>
      <w:r w:rsidR="00D306EE" w:rsidRPr="00677570">
        <w:rPr>
          <w:rFonts w:cs="Times New Roman"/>
          <w:lang w:val="en-US"/>
        </w:rPr>
        <w:t xml:space="preserve">, then </w:t>
      </w:r>
      <w:r w:rsidR="00D22B08" w:rsidRPr="00677570">
        <w:rPr>
          <w:rFonts w:cs="Times New Roman"/>
          <w:lang w:val="en-US"/>
        </w:rPr>
        <w:t>regular reminders about once a year.</w:t>
      </w:r>
    </w:p>
    <w:p w14:paraId="3CE4CE36" w14:textId="2CDF73E4" w:rsidR="00823D60" w:rsidRPr="00677570" w:rsidRDefault="005F5B2C" w:rsidP="0081156B">
      <w:pPr>
        <w:spacing w:before="0" w:after="0"/>
        <w:rPr>
          <w:rFonts w:cs="Times New Roman"/>
          <w:lang w:val="en-US"/>
        </w:rPr>
      </w:pPr>
      <w:r w:rsidRPr="00677570">
        <w:rPr>
          <w:rFonts w:cs="Times New Roman"/>
          <w:lang w:val="en-US"/>
        </w:rPr>
        <w:t>For both studies and all time points, interviews were conducted by clinical psychologists who participated in a three-month intensive training and weekly supervisions with F. Schultze-Lutter and</w:t>
      </w:r>
      <w:r w:rsidR="00ED17AB" w:rsidRPr="00677570">
        <w:rPr>
          <w:rFonts w:cs="Times New Roman"/>
          <w:lang w:val="en-US"/>
        </w:rPr>
        <w:t>/or</w:t>
      </w:r>
      <w:r w:rsidRPr="00677570">
        <w:rPr>
          <w:rFonts w:cs="Times New Roman"/>
          <w:lang w:val="en-US"/>
        </w:rPr>
        <w:t xml:space="preserve"> C. Michel</w:t>
      </w:r>
      <w:r w:rsidR="004044E1" w:rsidRPr="00677570">
        <w:rPr>
          <w:rFonts w:cs="Times New Roman"/>
          <w:lang w:val="en-US"/>
        </w:rPr>
        <w:t>, ensuring</w:t>
      </w:r>
      <w:r w:rsidRPr="00677570">
        <w:rPr>
          <w:rFonts w:cs="Times New Roman"/>
          <w:lang w:val="en-US"/>
        </w:rPr>
        <w:t xml:space="preserve"> assessment quality</w:t>
      </w:r>
      <w:r w:rsidR="00D345F2">
        <w:rPr>
          <w:rFonts w:cs="Times New Roman"/>
          <w:lang w:val="en-US"/>
        </w:rPr>
        <w:t xml:space="preserve"> </w:t>
      </w:r>
      <w:r w:rsidR="00A6625C">
        <w:rPr>
          <w:rFonts w:cs="Times New Roman"/>
          <w:lang w:val="en-US"/>
        </w:rPr>
        <w:t>[8]</w:t>
      </w:r>
      <w:r w:rsidRPr="00677570">
        <w:rPr>
          <w:rFonts w:cs="Times New Roman"/>
          <w:lang w:val="en-US"/>
        </w:rPr>
        <w:t>.</w:t>
      </w:r>
    </w:p>
    <w:p w14:paraId="2823458D" w14:textId="7EFCBB13" w:rsidR="00901847" w:rsidRDefault="00901847">
      <w:pPr>
        <w:spacing w:before="0"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14:paraId="3CD1D0AB" w14:textId="5BB96CF2" w:rsidR="00D12A4E" w:rsidRPr="00FC7FAB" w:rsidRDefault="0082109D" w:rsidP="00DC391C">
      <w:pPr>
        <w:pStyle w:val="berschrift2"/>
        <w:rPr>
          <w:lang w:val="en-US"/>
        </w:rPr>
      </w:pPr>
      <w:bookmarkStart w:id="3" w:name="_Toc182937923"/>
      <w:r w:rsidRPr="003454F4">
        <w:rPr>
          <w:iCs/>
          <w:lang w:val="en-US"/>
        </w:rPr>
        <w:lastRenderedPageBreak/>
        <w:t>eFigure</w:t>
      </w:r>
      <w:r w:rsidR="00741795" w:rsidRPr="003454F4">
        <w:rPr>
          <w:iCs/>
          <w:lang w:val="en-US"/>
        </w:rPr>
        <w:t xml:space="preserve"> 1</w:t>
      </w:r>
      <w:r w:rsidR="002B5293" w:rsidRPr="00677570">
        <w:rPr>
          <w:lang w:val="en-US"/>
        </w:rPr>
        <w:t xml:space="preserve">: </w:t>
      </w:r>
      <w:r w:rsidR="007E44CE" w:rsidRPr="00677570">
        <w:rPr>
          <w:lang w:val="en-US"/>
        </w:rPr>
        <w:t>T</w:t>
      </w:r>
      <w:r w:rsidR="00AF3259" w:rsidRPr="00677570">
        <w:rPr>
          <w:lang w:val="en-US"/>
        </w:rPr>
        <w:t>he current sample</w:t>
      </w:r>
      <w:bookmarkEnd w:id="3"/>
    </w:p>
    <w:p w14:paraId="23345F4C" w14:textId="6F172ECE" w:rsidR="00901847" w:rsidRPr="00681025" w:rsidRDefault="00D12A4E" w:rsidP="00681025">
      <w:pPr>
        <w:rPr>
          <w:rFonts w:cs="Times New Roman"/>
          <w:lang w:val="en-US"/>
        </w:rPr>
      </w:pPr>
      <w:r w:rsidRPr="00677570">
        <w:rPr>
          <w:rFonts w:cs="Times New Roman"/>
          <w:noProof/>
          <w:lang w:val="de-DE" w:eastAsia="de-DE"/>
        </w:rPr>
        <w:drawing>
          <wp:inline distT="0" distB="0" distL="0" distR="0" wp14:anchorId="0C045F07" wp14:editId="329CCFF7">
            <wp:extent cx="5463820" cy="3062377"/>
            <wp:effectExtent l="0" t="0" r="381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67" cy="306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E6D01" w14:textId="77777777" w:rsidR="00901847" w:rsidRDefault="00901847">
      <w:pPr>
        <w:spacing w:before="0" w:after="0" w:line="240" w:lineRule="auto"/>
        <w:rPr>
          <w:rFonts w:eastAsiaTheme="majorEastAsia" w:cstheme="majorBidi"/>
          <w:b/>
          <w:i/>
          <w:sz w:val="24"/>
          <w:szCs w:val="26"/>
          <w:lang w:val="en-US"/>
        </w:rPr>
      </w:pPr>
      <w:r>
        <w:rPr>
          <w:i/>
          <w:lang w:val="en-US"/>
        </w:rPr>
        <w:br w:type="page"/>
      </w:r>
    </w:p>
    <w:p w14:paraId="546B200E" w14:textId="0FAB88F5" w:rsidR="00214A78" w:rsidRPr="00677570" w:rsidRDefault="0082109D" w:rsidP="00DC391C">
      <w:pPr>
        <w:pStyle w:val="berschrift2"/>
        <w:rPr>
          <w:lang w:val="en-US"/>
        </w:rPr>
      </w:pPr>
      <w:bookmarkStart w:id="4" w:name="_Toc182937924"/>
      <w:r w:rsidRPr="003454F4">
        <w:rPr>
          <w:iCs/>
          <w:lang w:val="en-US"/>
        </w:rPr>
        <w:lastRenderedPageBreak/>
        <w:t>eTable</w:t>
      </w:r>
      <w:r w:rsidR="00214A78" w:rsidRPr="003454F4">
        <w:rPr>
          <w:iCs/>
          <w:lang w:val="en-US"/>
        </w:rPr>
        <w:t xml:space="preserve"> 1</w:t>
      </w:r>
      <w:r w:rsidR="00214A78" w:rsidRPr="00677570">
        <w:rPr>
          <w:lang w:val="en-US"/>
        </w:rPr>
        <w:t xml:space="preserve">: Clinical </w:t>
      </w:r>
      <w:r w:rsidR="00677570" w:rsidRPr="00677570">
        <w:rPr>
          <w:lang w:val="en-US"/>
        </w:rPr>
        <w:t>high-risk</w:t>
      </w:r>
      <w:r w:rsidR="00214A78" w:rsidRPr="00677570">
        <w:rPr>
          <w:lang w:val="en-US"/>
        </w:rPr>
        <w:t xml:space="preserve"> symptoms and criteria of first-episode psychosis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A5897" w:rsidRPr="00593816" w14:paraId="6BFAA097" w14:textId="77777777" w:rsidTr="00A44A51">
        <w:tc>
          <w:tcPr>
            <w:tcW w:w="9186" w:type="dxa"/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6C399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b/>
                <w:lang w:val="en-GB"/>
              </w:rPr>
              <w:t>Ultra-high risk (UHR) criteria</w:t>
            </w:r>
            <w:r w:rsidRPr="00677570">
              <w:rPr>
                <w:rFonts w:cs="Times New Roman"/>
                <w:lang w:val="en-GB"/>
              </w:rPr>
              <w:t xml:space="preserve"> according to the SIPS</w:t>
            </w:r>
          </w:p>
        </w:tc>
      </w:tr>
      <w:tr w:rsidR="007A5897" w:rsidRPr="00593816" w14:paraId="5B87F328" w14:textId="77777777" w:rsidTr="00A44A51">
        <w:tc>
          <w:tcPr>
            <w:tcW w:w="9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C329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A. ‘Brief Intermittent Psychotic Symptoms’ (BIPS)</w:t>
            </w:r>
          </w:p>
          <w:p w14:paraId="711EAA92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677570">
              <w:rPr>
                <w:rFonts w:cs="Times New Roman"/>
                <w:lang w:val="en-GB"/>
              </w:rPr>
              <w:tab/>
              <w:t>At least any 1 of the following SIPS P-items scored 6 ‘severe and psychotic’</w:t>
            </w:r>
          </w:p>
          <w:p w14:paraId="4082A976" w14:textId="77777777" w:rsidR="007A5897" w:rsidRPr="00677570" w:rsidRDefault="007A5897" w:rsidP="007A5897">
            <w:pPr>
              <w:numPr>
                <w:ilvl w:val="0"/>
                <w:numId w:val="3"/>
              </w:num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P1 Unusual Thought Content / Delusional Ideas</w:t>
            </w:r>
          </w:p>
          <w:p w14:paraId="6FABE89C" w14:textId="77777777" w:rsidR="007A5897" w:rsidRPr="00677570" w:rsidRDefault="007A5897" w:rsidP="007A5897">
            <w:pPr>
              <w:numPr>
                <w:ilvl w:val="0"/>
                <w:numId w:val="3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P2 Suspiciousness / Persecutory Ideas</w:t>
            </w:r>
          </w:p>
          <w:p w14:paraId="31079339" w14:textId="77777777" w:rsidR="007A5897" w:rsidRPr="00677570" w:rsidRDefault="007A5897" w:rsidP="007A5897">
            <w:pPr>
              <w:numPr>
                <w:ilvl w:val="0"/>
                <w:numId w:val="3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P3 Grandiose Ideas</w:t>
            </w:r>
          </w:p>
          <w:p w14:paraId="0AA7B093" w14:textId="77777777" w:rsidR="007A5897" w:rsidRPr="00677570" w:rsidRDefault="007A5897" w:rsidP="007A5897">
            <w:pPr>
              <w:numPr>
                <w:ilvl w:val="0"/>
                <w:numId w:val="3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P4 Perceptual Abnormalities / Hallucinations</w:t>
            </w:r>
          </w:p>
          <w:p w14:paraId="5E2DBA16" w14:textId="77777777" w:rsidR="007A5897" w:rsidRPr="00677570" w:rsidRDefault="007A5897" w:rsidP="007A5897">
            <w:pPr>
              <w:numPr>
                <w:ilvl w:val="0"/>
                <w:numId w:val="3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P5 Disorganized Communication</w:t>
            </w:r>
          </w:p>
          <w:p w14:paraId="1B48D129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677570">
              <w:rPr>
                <w:rFonts w:cs="Times New Roman"/>
                <w:lang w:val="en-GB"/>
              </w:rPr>
              <w:tab/>
              <w:t>First appearance in the past three months</w:t>
            </w:r>
          </w:p>
          <w:p w14:paraId="538CCC56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677570">
              <w:rPr>
                <w:rFonts w:cs="Times New Roman"/>
                <w:lang w:val="en-GB"/>
              </w:rPr>
              <w:tab/>
              <w:t>Present for at least several minutes per day at a frequency of at least once per month but less than 7 days</w:t>
            </w:r>
          </w:p>
        </w:tc>
      </w:tr>
      <w:tr w:rsidR="007A5897" w:rsidRPr="00593816" w14:paraId="0BAF4197" w14:textId="77777777" w:rsidTr="00A44A51">
        <w:tc>
          <w:tcPr>
            <w:tcW w:w="9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81F4D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B. ‘Attenuated Positive Symptoms’ (APS)</w:t>
            </w:r>
          </w:p>
          <w:p w14:paraId="46257150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677570">
              <w:rPr>
                <w:rFonts w:cs="Times New Roman"/>
                <w:lang w:val="en-GB"/>
              </w:rPr>
              <w:tab/>
              <w:t>At least any 1 of the following SIPS P-items scored 3 ‘moderate’ to 5 ‘severe but not psychotic’</w:t>
            </w:r>
          </w:p>
          <w:p w14:paraId="2578E793" w14:textId="77777777" w:rsidR="007A5897" w:rsidRPr="00677570" w:rsidRDefault="007A5897" w:rsidP="007A5897">
            <w:pPr>
              <w:numPr>
                <w:ilvl w:val="0"/>
                <w:numId w:val="4"/>
              </w:num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P1 Unusual Thought Content / Delusional Ideas</w:t>
            </w:r>
          </w:p>
          <w:p w14:paraId="2A58C041" w14:textId="77777777" w:rsidR="007A5897" w:rsidRPr="00677570" w:rsidRDefault="007A5897" w:rsidP="007A5897">
            <w:pPr>
              <w:numPr>
                <w:ilvl w:val="0"/>
                <w:numId w:val="4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P2 Suspiciousness / Persecutory Ideas</w:t>
            </w:r>
          </w:p>
          <w:p w14:paraId="29D44CE4" w14:textId="77777777" w:rsidR="007A5897" w:rsidRPr="00677570" w:rsidRDefault="007A5897" w:rsidP="007A5897">
            <w:pPr>
              <w:numPr>
                <w:ilvl w:val="0"/>
                <w:numId w:val="4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P3 Grandiose Ideas</w:t>
            </w:r>
          </w:p>
          <w:p w14:paraId="5096810C" w14:textId="77777777" w:rsidR="007A5897" w:rsidRPr="00677570" w:rsidRDefault="007A5897" w:rsidP="007A5897">
            <w:pPr>
              <w:numPr>
                <w:ilvl w:val="0"/>
                <w:numId w:val="4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P4 Perceptual Abnormalities / Hallucinations</w:t>
            </w:r>
          </w:p>
          <w:p w14:paraId="38E1885F" w14:textId="77777777" w:rsidR="007A5897" w:rsidRPr="00677570" w:rsidRDefault="007A5897" w:rsidP="007A5897">
            <w:pPr>
              <w:numPr>
                <w:ilvl w:val="0"/>
                <w:numId w:val="4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P5 Disorganized Communication</w:t>
            </w:r>
          </w:p>
          <w:p w14:paraId="3F396447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677570">
              <w:rPr>
                <w:rFonts w:cs="Times New Roman"/>
                <w:lang w:val="en-GB"/>
              </w:rPr>
              <w:tab/>
              <w:t>First appearance within the past year or current rating one or more scale points higher compared to 12 months ago</w:t>
            </w:r>
          </w:p>
          <w:p w14:paraId="17C8C160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677570">
              <w:rPr>
                <w:rFonts w:cs="Times New Roman"/>
                <w:lang w:val="en-GB"/>
              </w:rPr>
              <w:tab/>
              <w:t>Symptoms have occurred at an average frequency of at least once per week in the past month</w:t>
            </w:r>
          </w:p>
        </w:tc>
      </w:tr>
      <w:tr w:rsidR="007A5897" w:rsidRPr="00593816" w14:paraId="68D3A940" w14:textId="77777777" w:rsidTr="00A44A51"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3FCCB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C. ‘Genetic Risk and Deterioration’ Syndrome</w:t>
            </w:r>
          </w:p>
          <w:p w14:paraId="45B5E7C4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(1)</w:t>
            </w:r>
            <w:r w:rsidRPr="00677570">
              <w:rPr>
                <w:rFonts w:cs="Times New Roman"/>
                <w:lang w:val="en-GB"/>
              </w:rPr>
              <w:tab/>
              <w:t>Patient meets criteria for Schizotypal Personality Disorder according to SIPS</w:t>
            </w:r>
          </w:p>
          <w:p w14:paraId="6E8912E2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(2)</w:t>
            </w:r>
            <w:r w:rsidRPr="00677570">
              <w:rPr>
                <w:rFonts w:cs="Times New Roman"/>
                <w:lang w:val="en-GB"/>
              </w:rPr>
              <w:tab/>
              <w:t>Patient has 1</w:t>
            </w:r>
            <w:r w:rsidRPr="00677570">
              <w:rPr>
                <w:rFonts w:cs="Times New Roman"/>
                <w:vertAlign w:val="superscript"/>
                <w:lang w:val="en-GB"/>
              </w:rPr>
              <w:t>st</w:t>
            </w:r>
            <w:r w:rsidRPr="00677570">
              <w:rPr>
                <w:rFonts w:cs="Times New Roman"/>
                <w:lang w:val="en-GB"/>
              </w:rPr>
              <w:t xml:space="preserve"> degree relative with a psychotic disorder</w:t>
            </w:r>
          </w:p>
          <w:p w14:paraId="1BA64949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(3)</w:t>
            </w:r>
            <w:r w:rsidRPr="00677570">
              <w:rPr>
                <w:rFonts w:cs="Times New Roman"/>
                <w:lang w:val="en-GB"/>
              </w:rPr>
              <w:tab/>
              <w:t>Patient has experienced &gt;30% drop in global assessment of functioning (GAF) score over the last month compared to 12 months ago</w:t>
            </w:r>
          </w:p>
          <w:p w14:paraId="55563F9F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677570">
              <w:rPr>
                <w:rFonts w:cs="Times New Roman"/>
                <w:lang w:val="en-GB"/>
              </w:rPr>
              <w:tab/>
              <w:t>[1 and 3] or [2 and 3] or all are met.</w:t>
            </w:r>
          </w:p>
        </w:tc>
      </w:tr>
      <w:tr w:rsidR="007A5897" w:rsidRPr="00677570" w14:paraId="7316DDD0" w14:textId="77777777" w:rsidTr="00A44A51">
        <w:tc>
          <w:tcPr>
            <w:tcW w:w="9186" w:type="dxa"/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0EB12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b/>
                <w:lang w:val="de-DE"/>
              </w:rPr>
            </w:pPr>
            <w:r w:rsidRPr="00677570">
              <w:rPr>
                <w:rFonts w:cs="Times New Roman"/>
                <w:b/>
                <w:lang w:val="de-DE"/>
              </w:rPr>
              <w:t>Basic symptom criteria</w:t>
            </w:r>
          </w:p>
        </w:tc>
      </w:tr>
      <w:tr w:rsidR="007A5897" w:rsidRPr="00677570" w14:paraId="1EC649C6" w14:textId="77777777" w:rsidTr="00A44A51">
        <w:tc>
          <w:tcPr>
            <w:tcW w:w="9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87151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Risk criterion ‘Cognitive-Perceptive Basic Symptoms’ (COPER)</w:t>
            </w:r>
          </w:p>
          <w:p w14:paraId="29301AE7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lastRenderedPageBreak/>
              <w:sym w:font="Wingdings" w:char="00DC"/>
            </w:r>
            <w:r w:rsidRPr="00677570">
              <w:rPr>
                <w:rFonts w:cs="Times New Roman"/>
                <w:lang w:val="en-GB"/>
              </w:rPr>
              <w:tab/>
              <w:t>At least any 1 of the following basic symptoms with a SPI-A score of ≥3 within the last 3 months:</w:t>
            </w:r>
          </w:p>
          <w:p w14:paraId="3584C7AA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Thought interference</w:t>
            </w:r>
          </w:p>
          <w:p w14:paraId="41ECA3FE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Thought perseveration</w:t>
            </w:r>
          </w:p>
          <w:p w14:paraId="2E5C1BF2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Thought pressure</w:t>
            </w:r>
          </w:p>
          <w:p w14:paraId="1EA8D022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Thought blockages</w:t>
            </w:r>
          </w:p>
          <w:p w14:paraId="4D456B30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Disturbance of receptive speech</w:t>
            </w:r>
          </w:p>
          <w:p w14:paraId="7B2DEB2C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Decreased ability to discriminate between ideas and perception, fantasy and true memories</w:t>
            </w:r>
          </w:p>
          <w:p w14:paraId="2BA3F5EA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Unstable ideas of reference</w:t>
            </w:r>
          </w:p>
          <w:p w14:paraId="4C1DE075" w14:textId="61F347D4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t>Dereali</w:t>
            </w:r>
            <w:r w:rsidR="005224A6">
              <w:rPr>
                <w:rFonts w:cs="Times New Roman"/>
                <w:lang w:val="de-DE"/>
              </w:rPr>
              <w:t>z</w:t>
            </w:r>
            <w:r w:rsidRPr="00677570">
              <w:rPr>
                <w:rFonts w:cs="Times New Roman"/>
                <w:lang w:val="de-DE"/>
              </w:rPr>
              <w:t>ation</w:t>
            </w:r>
          </w:p>
          <w:p w14:paraId="3138C92A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Visual perception disturbances (excluding hypersensitivity to light or blurred vision)</w:t>
            </w:r>
          </w:p>
          <w:p w14:paraId="6A8A0FDF" w14:textId="77777777" w:rsidR="007A5897" w:rsidRPr="00677570" w:rsidRDefault="007A5897" w:rsidP="007A5897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Acoustic perception disturbances (excluding hypersensitivity to sounds)</w:t>
            </w:r>
          </w:p>
          <w:p w14:paraId="4D8FC004" w14:textId="77777777" w:rsidR="007A5897" w:rsidRPr="00677570" w:rsidRDefault="007A5897" w:rsidP="007A5897">
            <w:pPr>
              <w:spacing w:line="276" w:lineRule="auto"/>
              <w:rPr>
                <w:rFonts w:cs="Times New Roman"/>
                <w:lang w:val="de-DE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677570">
              <w:rPr>
                <w:rFonts w:cs="Times New Roman"/>
                <w:lang w:val="de-DE"/>
              </w:rPr>
              <w:tab/>
              <w:t>First occurrence ≥12 months ago</w:t>
            </w:r>
          </w:p>
        </w:tc>
      </w:tr>
      <w:tr w:rsidR="00CE60A3" w:rsidRPr="00593816" w14:paraId="068D123D" w14:textId="77777777" w:rsidTr="00A44A51">
        <w:tc>
          <w:tcPr>
            <w:tcW w:w="9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F6285" w14:textId="065AAAA8" w:rsidR="00CE60A3" w:rsidRPr="00CE60A3" w:rsidRDefault="00E932F0" w:rsidP="00CE60A3">
            <w:pPr>
              <w:spacing w:line="276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lastRenderedPageBreak/>
              <w:t>R</w:t>
            </w:r>
            <w:r w:rsidR="00CE60A3" w:rsidRPr="00CE60A3">
              <w:rPr>
                <w:rFonts w:cs="Times New Roman"/>
                <w:lang w:val="en-GB"/>
              </w:rPr>
              <w:t>isk criterion ‘Cognitive Disturbances’ (COGDIS)</w:t>
            </w:r>
          </w:p>
          <w:p w14:paraId="1DD348FB" w14:textId="2703B6AE" w:rsidR="00CE60A3" w:rsidRPr="00CE60A3" w:rsidRDefault="00CE60A3" w:rsidP="00CE60A3">
            <w:pPr>
              <w:spacing w:line="276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de-DE"/>
              </w:rPr>
              <w:sym w:font="Wingdings" w:char="00DC"/>
            </w:r>
            <w:r w:rsidRPr="00CE60A3">
              <w:rPr>
                <w:rFonts w:cs="Times New Roman"/>
                <w:lang w:val="en-GB"/>
              </w:rPr>
              <w:tab/>
              <w:t>At least any 2 of the following basic symptoms with a SPI-A score of ≥3 within the last 3 months:</w:t>
            </w:r>
          </w:p>
          <w:p w14:paraId="2CB16E28" w14:textId="77777777" w:rsidR="00CE60A3" w:rsidRPr="00E7492F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lang w:val="de-DE"/>
              </w:rPr>
            </w:pPr>
            <w:r w:rsidRPr="00E7492F">
              <w:rPr>
                <w:rFonts w:cs="Times New Roman"/>
                <w:lang w:val="de-DE"/>
              </w:rPr>
              <w:t>Inability to divide attention</w:t>
            </w:r>
          </w:p>
          <w:p w14:paraId="4C7E1172" w14:textId="77777777" w:rsidR="00CE60A3" w:rsidRPr="00E7492F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lang w:val="de-DE"/>
              </w:rPr>
            </w:pPr>
            <w:r w:rsidRPr="00E7492F">
              <w:rPr>
                <w:rFonts w:cs="Times New Roman"/>
                <w:lang w:val="de-DE"/>
              </w:rPr>
              <w:t>Thought interference</w:t>
            </w:r>
          </w:p>
          <w:p w14:paraId="541C85EB" w14:textId="77777777" w:rsidR="00CE60A3" w:rsidRPr="00E7492F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lang w:val="de-DE"/>
              </w:rPr>
            </w:pPr>
            <w:r w:rsidRPr="00E7492F">
              <w:rPr>
                <w:rFonts w:cs="Times New Roman"/>
                <w:lang w:val="de-DE"/>
              </w:rPr>
              <w:t>Thought pressure</w:t>
            </w:r>
          </w:p>
          <w:p w14:paraId="52D8380C" w14:textId="77777777" w:rsidR="00CE60A3" w:rsidRPr="00E7492F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lang w:val="de-DE"/>
              </w:rPr>
            </w:pPr>
            <w:r w:rsidRPr="00E7492F">
              <w:rPr>
                <w:rFonts w:cs="Times New Roman"/>
                <w:lang w:val="de-DE"/>
              </w:rPr>
              <w:t>Thought blockages</w:t>
            </w:r>
          </w:p>
          <w:p w14:paraId="3E9E4F2F" w14:textId="77777777" w:rsidR="00CE60A3" w:rsidRPr="00E7492F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lang w:val="de-DE"/>
              </w:rPr>
            </w:pPr>
            <w:r w:rsidRPr="00E7492F">
              <w:rPr>
                <w:rFonts w:cs="Times New Roman"/>
                <w:lang w:val="de-DE"/>
              </w:rPr>
              <w:t>Disturbance of receptive speech</w:t>
            </w:r>
          </w:p>
          <w:p w14:paraId="214DFAD8" w14:textId="77777777" w:rsidR="00CE60A3" w:rsidRPr="00E7492F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lang w:val="de-DE"/>
              </w:rPr>
            </w:pPr>
            <w:r w:rsidRPr="00E7492F">
              <w:rPr>
                <w:rFonts w:cs="Times New Roman"/>
                <w:lang w:val="de-DE"/>
              </w:rPr>
              <w:t>Disturbance of expressive speech</w:t>
            </w:r>
          </w:p>
          <w:p w14:paraId="3C97AF7B" w14:textId="77777777" w:rsidR="00CE60A3" w:rsidRPr="00E7492F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lang w:val="de-DE"/>
              </w:rPr>
            </w:pPr>
            <w:r w:rsidRPr="00E7492F">
              <w:rPr>
                <w:rFonts w:cs="Times New Roman"/>
                <w:lang w:val="de-DE"/>
              </w:rPr>
              <w:t>Unstable ideas of reference</w:t>
            </w:r>
          </w:p>
          <w:p w14:paraId="55827D76" w14:textId="77777777" w:rsidR="00CE60A3" w:rsidRPr="00E7492F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lang w:val="de-DE"/>
              </w:rPr>
            </w:pPr>
            <w:r w:rsidRPr="00E7492F">
              <w:rPr>
                <w:rFonts w:cs="Times New Roman"/>
                <w:lang w:val="de-DE"/>
              </w:rPr>
              <w:t>Disturbances of abstract thinking</w:t>
            </w:r>
          </w:p>
          <w:p w14:paraId="58210A18" w14:textId="4FED166F" w:rsidR="00CE60A3" w:rsidRPr="00677570" w:rsidRDefault="00CE60A3" w:rsidP="00E7492F">
            <w:pPr>
              <w:numPr>
                <w:ilvl w:val="0"/>
                <w:numId w:val="2"/>
              </w:numPr>
              <w:spacing w:line="276" w:lineRule="auto"/>
              <w:rPr>
                <w:rFonts w:cs="Times New Roman"/>
                <w:lang w:val="en-GB"/>
              </w:rPr>
            </w:pPr>
            <w:r w:rsidRPr="00E7492F">
              <w:rPr>
                <w:rFonts w:cs="Times New Roman"/>
                <w:lang w:val="en-US"/>
              </w:rPr>
              <w:t>Captivation of attention by details of the visual field</w:t>
            </w:r>
          </w:p>
        </w:tc>
      </w:tr>
    </w:tbl>
    <w:p w14:paraId="5D36CF9F" w14:textId="6EBB88E1" w:rsidR="00901847" w:rsidRDefault="00901847" w:rsidP="007A5897">
      <w:pPr>
        <w:rPr>
          <w:rFonts w:cs="Times New Roman"/>
          <w:lang w:val="en-US"/>
        </w:rPr>
      </w:pPr>
    </w:p>
    <w:p w14:paraId="2B7F1826" w14:textId="77777777" w:rsidR="00901847" w:rsidRDefault="00901847">
      <w:pPr>
        <w:spacing w:before="0"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14:paraId="3840F10E" w14:textId="53628FCF" w:rsidR="00214A78" w:rsidRPr="00677570" w:rsidRDefault="0082109D" w:rsidP="00DC391C">
      <w:pPr>
        <w:pStyle w:val="berschrift2"/>
        <w:rPr>
          <w:lang w:val="en-US"/>
        </w:rPr>
      </w:pPr>
      <w:bookmarkStart w:id="5" w:name="_Toc182937925"/>
      <w:r w:rsidRPr="003454F4">
        <w:rPr>
          <w:lang w:val="en-US"/>
        </w:rPr>
        <w:lastRenderedPageBreak/>
        <w:t>eTable</w:t>
      </w:r>
      <w:r w:rsidR="00147B7B" w:rsidRPr="003454F4">
        <w:rPr>
          <w:lang w:val="en-US"/>
        </w:rPr>
        <w:t xml:space="preserve"> </w:t>
      </w:r>
      <w:r w:rsidR="00AA6006" w:rsidRPr="003454F4">
        <w:rPr>
          <w:lang w:val="en-US"/>
        </w:rPr>
        <w:t>2</w:t>
      </w:r>
      <w:r w:rsidR="00214A78" w:rsidRPr="00677570">
        <w:rPr>
          <w:lang w:val="en-US"/>
        </w:rPr>
        <w:t xml:space="preserve">: </w:t>
      </w:r>
      <w:r w:rsidR="00AA6006">
        <w:rPr>
          <w:lang w:val="en-US"/>
        </w:rPr>
        <w:t xml:space="preserve">The </w:t>
      </w:r>
      <w:r w:rsidR="00214A78" w:rsidRPr="00677570">
        <w:rPr>
          <w:lang w:val="en-US"/>
        </w:rPr>
        <w:t>Alternative Model of Personality Disorders in DSM-5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6006" w:rsidRPr="00C80A4E" w14:paraId="08678173" w14:textId="77777777" w:rsidTr="00085432">
        <w:tc>
          <w:tcPr>
            <w:tcW w:w="9062" w:type="dxa"/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D4332" w14:textId="6E001340" w:rsidR="00AA6006" w:rsidRPr="00E45598" w:rsidRDefault="00E45598" w:rsidP="00D611C3">
            <w:pPr>
              <w:spacing w:line="276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Diagnostic criteria for personality disorders in the AMPD</w:t>
            </w:r>
          </w:p>
        </w:tc>
      </w:tr>
      <w:tr w:rsidR="00AA6006" w:rsidRPr="00136B60" w14:paraId="0EF3BBCB" w14:textId="77777777" w:rsidTr="00085432">
        <w:tc>
          <w:tcPr>
            <w:tcW w:w="9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DD9AB" w14:textId="16CDDF66" w:rsidR="00AA6006" w:rsidRDefault="00DD76BD" w:rsidP="00D611C3">
            <w:pPr>
              <w:spacing w:line="276" w:lineRule="auto"/>
              <w:rPr>
                <w:rFonts w:cs="Times New Roman"/>
                <w:lang w:val="en-GB"/>
              </w:rPr>
            </w:pPr>
            <w:r w:rsidRPr="00200A8E">
              <w:rPr>
                <w:rFonts w:cs="Times New Roman"/>
                <w:b/>
                <w:bCs/>
                <w:lang w:val="en-GB"/>
              </w:rPr>
              <w:t xml:space="preserve">Criterion </w:t>
            </w:r>
            <w:r w:rsidR="00304513" w:rsidRPr="00200A8E">
              <w:rPr>
                <w:rFonts w:cs="Times New Roman"/>
                <w:b/>
                <w:bCs/>
                <w:lang w:val="en-GB"/>
              </w:rPr>
              <w:t>A.</w:t>
            </w:r>
            <w:r w:rsidR="00304513">
              <w:rPr>
                <w:rFonts w:cs="Times New Roman"/>
                <w:lang w:val="en-GB"/>
              </w:rPr>
              <w:t xml:space="preserve"> </w:t>
            </w:r>
            <w:r w:rsidR="00D92593">
              <w:rPr>
                <w:rFonts w:cs="Times New Roman"/>
                <w:lang w:val="en-GB"/>
              </w:rPr>
              <w:t>Moderate or greater impairment</w:t>
            </w:r>
            <w:r w:rsidR="004B1396">
              <w:rPr>
                <w:rFonts w:cs="Times New Roman"/>
                <w:lang w:val="en-GB"/>
              </w:rPr>
              <w:t xml:space="preserve"> (i.e.</w:t>
            </w:r>
            <w:r w:rsidR="00C07694">
              <w:rPr>
                <w:rFonts w:cs="Times New Roman"/>
                <w:lang w:val="en-GB"/>
              </w:rPr>
              <w:t>,</w:t>
            </w:r>
            <w:r w:rsidR="004B1396">
              <w:rPr>
                <w:rFonts w:cs="Times New Roman"/>
                <w:lang w:val="en-GB"/>
              </w:rPr>
              <w:t xml:space="preserve"> a score of 2 or more)</w:t>
            </w:r>
            <w:r w:rsidR="00D92593">
              <w:rPr>
                <w:rFonts w:cs="Times New Roman"/>
                <w:lang w:val="en-GB"/>
              </w:rPr>
              <w:t xml:space="preserve"> in </w:t>
            </w:r>
            <w:r w:rsidR="00D92593" w:rsidRPr="00640346">
              <w:rPr>
                <w:rFonts w:cs="Times New Roman"/>
                <w:lang w:val="en-GB"/>
              </w:rPr>
              <w:t>personality functioning</w:t>
            </w:r>
            <w:r w:rsidR="00D92593">
              <w:rPr>
                <w:rFonts w:cs="Times New Roman"/>
                <w:lang w:val="en-GB"/>
              </w:rPr>
              <w:t xml:space="preserve">, manifesting in difficulties in two or more </w:t>
            </w:r>
            <w:r w:rsidR="00521CBD">
              <w:rPr>
                <w:rFonts w:cs="Times New Roman"/>
                <w:lang w:val="en-GB"/>
              </w:rPr>
              <w:t>of the following four areas</w:t>
            </w:r>
            <w:r w:rsidR="00B46979">
              <w:rPr>
                <w:rFonts w:cs="Times New Roman"/>
                <w:lang w:val="en-GB"/>
              </w:rPr>
              <w:t>.</w:t>
            </w:r>
          </w:p>
          <w:p w14:paraId="4351EE65" w14:textId="140F5D55" w:rsidR="00B46979" w:rsidRPr="00B46979" w:rsidRDefault="00C11712" w:rsidP="00D611C3">
            <w:pPr>
              <w:spacing w:line="276" w:lineRule="auto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“</w:t>
            </w:r>
            <w:r w:rsidR="00B46979" w:rsidRPr="00B46979">
              <w:rPr>
                <w:rFonts w:cs="Times New Roman"/>
                <w:i/>
                <w:iCs/>
                <w:lang w:val="en-GB"/>
              </w:rPr>
              <w:t>Self-functioning:</w:t>
            </w:r>
          </w:p>
          <w:p w14:paraId="21A54F96" w14:textId="0975558A" w:rsidR="00521CBD" w:rsidRPr="00B46979" w:rsidRDefault="00521CBD" w:rsidP="00C07694">
            <w:pPr>
              <w:pStyle w:val="Listenabsatz"/>
              <w:numPr>
                <w:ilvl w:val="0"/>
                <w:numId w:val="6"/>
              </w:num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15CE2">
              <w:rPr>
                <w:rFonts w:eastAsiaTheme="minorHAnsi"/>
                <w:sz w:val="22"/>
                <w:szCs w:val="22"/>
                <w:lang w:val="en-GB" w:eastAsia="en-US"/>
              </w:rPr>
              <w:t>Identity</w:t>
            </w:r>
            <w:r w:rsidR="004B1396" w:rsidRPr="00415CE2">
              <w:rPr>
                <w:rFonts w:eastAsiaTheme="minorHAnsi"/>
                <w:sz w:val="22"/>
                <w:szCs w:val="22"/>
                <w:lang w:val="en-GB" w:eastAsia="en-US"/>
              </w:rPr>
              <w:t xml:space="preserve">: </w:t>
            </w:r>
            <w:r w:rsidR="00415CE2" w:rsidRPr="00415CE2">
              <w:rPr>
                <w:rFonts w:eastAsiaTheme="minorHAnsi"/>
                <w:sz w:val="22"/>
                <w:szCs w:val="22"/>
                <w:lang w:val="en-GB" w:eastAsia="en-US"/>
              </w:rPr>
              <w:t xml:space="preserve">Experience of oneself as unique, with clear boundaries between self and others; stability of self-esteem and accuracy of self-appraisal; capacity for, and ability to regulate, a </w:t>
            </w:r>
            <w:r w:rsidR="00415CE2" w:rsidRPr="00B46979">
              <w:rPr>
                <w:rFonts w:eastAsiaTheme="minorHAnsi"/>
                <w:sz w:val="22"/>
                <w:szCs w:val="22"/>
                <w:lang w:val="en-GB" w:eastAsia="en-US"/>
              </w:rPr>
              <w:t>range of emotional experience.</w:t>
            </w:r>
          </w:p>
          <w:p w14:paraId="07BE816B" w14:textId="755F4A40" w:rsidR="00521CBD" w:rsidRDefault="00521CBD" w:rsidP="001F467E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521CBD">
              <w:rPr>
                <w:rFonts w:eastAsiaTheme="minorHAnsi"/>
                <w:sz w:val="22"/>
                <w:szCs w:val="22"/>
                <w:lang w:val="en-GB" w:eastAsia="en-US"/>
              </w:rPr>
              <w:t>Self-direction</w:t>
            </w:r>
            <w:r w:rsidR="001F467E">
              <w:rPr>
                <w:rFonts w:eastAsiaTheme="minorHAnsi"/>
                <w:sz w:val="22"/>
                <w:szCs w:val="22"/>
                <w:lang w:val="en-GB" w:eastAsia="en-US"/>
              </w:rPr>
              <w:t xml:space="preserve">: </w:t>
            </w:r>
            <w:r w:rsidR="0064355A">
              <w:rPr>
                <w:rFonts w:eastAsiaTheme="minorHAnsi"/>
                <w:sz w:val="22"/>
                <w:szCs w:val="22"/>
                <w:lang w:val="en-GB" w:eastAsia="en-US"/>
              </w:rPr>
              <w:t>“</w:t>
            </w:r>
            <w:r w:rsidR="001F467E" w:rsidRPr="001F467E">
              <w:rPr>
                <w:rFonts w:eastAsiaTheme="minorHAnsi"/>
                <w:sz w:val="22"/>
                <w:szCs w:val="22"/>
                <w:lang w:val="en-US" w:eastAsia="en-US"/>
              </w:rPr>
              <w:t>Pursuit of coherent and meaningful short-term and life goals; utilization of constructive and prosocial internal standards of behavior; ability to self-reflect productively.</w:t>
            </w:r>
            <w:r w:rsidR="001F467E" w:rsidRPr="001F467E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2C10FF96" w14:textId="4DC4B89A" w:rsidR="00B46979" w:rsidRPr="00B46979" w:rsidRDefault="00B46979" w:rsidP="00B46979">
            <w:pPr>
              <w:spacing w:line="276" w:lineRule="auto"/>
              <w:rPr>
                <w:i/>
                <w:iCs/>
                <w:lang w:val="en-US"/>
              </w:rPr>
            </w:pPr>
            <w:r w:rsidRPr="00B46979">
              <w:rPr>
                <w:i/>
                <w:iCs/>
                <w:lang w:val="en-US"/>
              </w:rPr>
              <w:t>Interpersonal functioning:</w:t>
            </w:r>
          </w:p>
          <w:p w14:paraId="7915B589" w14:textId="5C15A793" w:rsidR="00521CBD" w:rsidRPr="005637C7" w:rsidRDefault="00521CBD" w:rsidP="005637C7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5637C7">
              <w:rPr>
                <w:rFonts w:eastAsiaTheme="minorHAnsi"/>
                <w:sz w:val="22"/>
                <w:szCs w:val="22"/>
                <w:lang w:val="en-GB" w:eastAsia="en-US"/>
              </w:rPr>
              <w:t>Empathy</w:t>
            </w:r>
            <w:r w:rsidR="0064355A" w:rsidRPr="005637C7">
              <w:rPr>
                <w:rFonts w:eastAsiaTheme="minorHAnsi"/>
                <w:sz w:val="22"/>
                <w:szCs w:val="22"/>
                <w:lang w:val="en-GB" w:eastAsia="en-US"/>
              </w:rPr>
              <w:t>:</w:t>
            </w:r>
            <w:r w:rsidR="00C11712" w:rsidRPr="005637C7">
              <w:rPr>
                <w:rFonts w:eastAsiaTheme="minorHAnsi"/>
                <w:sz w:val="22"/>
                <w:szCs w:val="22"/>
                <w:lang w:val="en-GB" w:eastAsia="en-US"/>
              </w:rPr>
              <w:t xml:space="preserve"> Comprehension and appreciation of others' experiences and motivations; tolerance of differing perspectives; understanding the effects of one's own behavior on others.</w:t>
            </w:r>
          </w:p>
          <w:p w14:paraId="34227687" w14:textId="1FF876E0" w:rsidR="00521CBD" w:rsidRPr="005637C7" w:rsidRDefault="00304513" w:rsidP="00521CBD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eastAsiaTheme="minorHAnsi"/>
                <w:lang w:val="en-GB"/>
              </w:rPr>
            </w:pPr>
            <w:r w:rsidRPr="005637C7">
              <w:rPr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379CAD63" wp14:editId="0A0ABCBE">
                  <wp:simplePos x="0" y="0"/>
                  <wp:positionH relativeFrom="column">
                    <wp:posOffset>1087824</wp:posOffset>
                  </wp:positionH>
                  <wp:positionV relativeFrom="paragraph">
                    <wp:posOffset>458694</wp:posOffset>
                  </wp:positionV>
                  <wp:extent cx="3710940" cy="608965"/>
                  <wp:effectExtent l="0" t="0" r="0" b="0"/>
                  <wp:wrapTopAndBottom/>
                  <wp:docPr id="10923660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36600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4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CBD" w:rsidRPr="005637C7">
              <w:rPr>
                <w:rFonts w:eastAsiaTheme="minorHAnsi"/>
                <w:sz w:val="22"/>
                <w:szCs w:val="22"/>
                <w:lang w:val="en-GB"/>
              </w:rPr>
              <w:t>Intimacy</w:t>
            </w:r>
            <w:r w:rsidR="00C11712" w:rsidRPr="005637C7">
              <w:rPr>
                <w:rFonts w:eastAsiaTheme="minorHAnsi"/>
                <w:sz w:val="22"/>
                <w:szCs w:val="22"/>
                <w:lang w:val="en-GB"/>
              </w:rPr>
              <w:t xml:space="preserve">: Depth and duration of connection with others; desire and capacity for </w:t>
            </w:r>
            <w:r w:rsidR="00C11712" w:rsidRPr="00C4347D">
              <w:rPr>
                <w:rFonts w:eastAsiaTheme="minorHAnsi"/>
                <w:sz w:val="22"/>
                <w:szCs w:val="22"/>
                <w:lang w:val="en-GB"/>
              </w:rPr>
              <w:t>closeness</w:t>
            </w:r>
            <w:r w:rsidR="00C11712" w:rsidRPr="005637C7">
              <w:rPr>
                <w:rFonts w:eastAsiaTheme="minorHAnsi"/>
                <w:lang w:val="en-GB"/>
              </w:rPr>
              <w:t xml:space="preserve">; </w:t>
            </w:r>
            <w:r w:rsidR="00C11712" w:rsidRPr="005637C7">
              <w:rPr>
                <w:rFonts w:eastAsiaTheme="minorHAnsi"/>
                <w:sz w:val="22"/>
                <w:szCs w:val="22"/>
                <w:lang w:val="en-GB"/>
              </w:rPr>
              <w:t>mutuality of regard reflected in interpersonal behavior.”</w:t>
            </w:r>
          </w:p>
          <w:p w14:paraId="3759E6B0" w14:textId="2B4DEE21" w:rsidR="00A72ED7" w:rsidRPr="007831BA" w:rsidRDefault="00E11CBC" w:rsidP="00DD76BD">
            <w:pPr>
              <w:spacing w:line="276" w:lineRule="auto"/>
              <w:jc w:val="right"/>
              <w:rPr>
                <w:rFonts w:cs="Times New Roman"/>
                <w:lang w:val="en-AU"/>
              </w:rPr>
            </w:pPr>
            <w:r w:rsidRPr="007831BA">
              <w:rPr>
                <w:rFonts w:cs="Times New Roman"/>
                <w:lang w:val="en-AU"/>
              </w:rPr>
              <w:t xml:space="preserve">(DSM-5, Section III, </w:t>
            </w:r>
            <w:r w:rsidR="008757FC" w:rsidRPr="007831BA">
              <w:rPr>
                <w:rFonts w:cs="Times New Roman"/>
                <w:lang w:val="en-AU"/>
              </w:rPr>
              <w:t xml:space="preserve">p. 762, </w:t>
            </w:r>
            <w:r w:rsidR="005637C7" w:rsidRPr="007831BA">
              <w:rPr>
                <w:rFonts w:cs="Times New Roman"/>
                <w:lang w:val="en-AU"/>
              </w:rPr>
              <w:t>table 1</w:t>
            </w:r>
            <w:r w:rsidR="008757FC" w:rsidRPr="007831BA">
              <w:rPr>
                <w:rFonts w:cs="Times New Roman"/>
                <w:lang w:val="en-AU"/>
              </w:rPr>
              <w:t xml:space="preserve">; </w:t>
            </w:r>
            <w:r w:rsidR="00A6625C" w:rsidRPr="00A6625C">
              <w:rPr>
                <w:rFonts w:cs="Times New Roman"/>
                <w:lang w:val="en-US"/>
              </w:rPr>
              <w:t>[9]</w:t>
            </w:r>
            <w:r w:rsidRPr="007831BA">
              <w:rPr>
                <w:rFonts w:cs="Times New Roman"/>
                <w:lang w:val="en-AU"/>
              </w:rPr>
              <w:t>)</w:t>
            </w:r>
          </w:p>
        </w:tc>
      </w:tr>
      <w:tr w:rsidR="00AA6006" w:rsidRPr="00C80A4E" w14:paraId="3734C5C2" w14:textId="77777777" w:rsidTr="00085432">
        <w:tc>
          <w:tcPr>
            <w:tcW w:w="9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803A8" w14:textId="6C9914B9" w:rsidR="00AA6006" w:rsidRDefault="00DD76BD" w:rsidP="00D611C3">
            <w:pPr>
              <w:spacing w:line="276" w:lineRule="auto"/>
              <w:rPr>
                <w:rFonts w:cs="Times New Roman"/>
                <w:lang w:val="en-GB"/>
              </w:rPr>
            </w:pPr>
            <w:r w:rsidRPr="00200A8E">
              <w:rPr>
                <w:rFonts w:cs="Times New Roman"/>
                <w:b/>
                <w:bCs/>
                <w:lang w:val="en-GB"/>
              </w:rPr>
              <w:t xml:space="preserve">Criterion </w:t>
            </w:r>
            <w:r w:rsidR="00AA6006" w:rsidRPr="00200A8E">
              <w:rPr>
                <w:rFonts w:cs="Times New Roman"/>
                <w:b/>
                <w:bCs/>
                <w:lang w:val="en-GB"/>
              </w:rPr>
              <w:t>B</w:t>
            </w:r>
            <w:r w:rsidR="00200A8E" w:rsidRPr="00200A8E">
              <w:rPr>
                <w:rFonts w:cs="Times New Roman"/>
                <w:b/>
                <w:bCs/>
                <w:lang w:val="en-GB"/>
              </w:rPr>
              <w:t>.</w:t>
            </w:r>
            <w:r w:rsidR="00200A8E">
              <w:rPr>
                <w:rFonts w:cs="Times New Roman"/>
                <w:lang w:val="en-GB"/>
              </w:rPr>
              <w:t xml:space="preserve"> </w:t>
            </w:r>
            <w:r w:rsidR="00D76E4A">
              <w:rPr>
                <w:rFonts w:cs="Times New Roman"/>
                <w:lang w:val="en-GB"/>
              </w:rPr>
              <w:t>Maladaptive</w:t>
            </w:r>
            <w:r w:rsidR="00200A8E">
              <w:rPr>
                <w:rFonts w:cs="Times New Roman"/>
                <w:lang w:val="en-GB"/>
              </w:rPr>
              <w:t xml:space="preserve"> personality traits</w:t>
            </w:r>
            <w:r w:rsidR="00640346">
              <w:rPr>
                <w:rFonts w:cs="Times New Roman"/>
                <w:lang w:val="en-GB"/>
              </w:rPr>
              <w:t xml:space="preserve">, organized in five domains, </w:t>
            </w:r>
            <w:r w:rsidR="00F45884">
              <w:rPr>
                <w:rFonts w:cs="Times New Roman"/>
                <w:lang w:val="en-GB"/>
              </w:rPr>
              <w:t>assessed dimensionally and each encompassing 25 facets.</w:t>
            </w:r>
          </w:p>
          <w:p w14:paraId="1B90E661" w14:textId="77777777" w:rsidR="00BC3E07" w:rsidRPr="00AD59D5" w:rsidRDefault="002C5D1A" w:rsidP="00D611C3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  <w:lang w:val="en-GB"/>
              </w:rPr>
            </w:pPr>
            <w:r w:rsidRPr="00AD59D5">
              <w:rPr>
                <w:sz w:val="22"/>
                <w:szCs w:val="22"/>
                <w:lang w:val="en-GB"/>
              </w:rPr>
              <w:t>“Negative Affectivity</w:t>
            </w:r>
            <w:r w:rsidR="00A560C6" w:rsidRPr="00AD59D5">
              <w:rPr>
                <w:sz w:val="22"/>
                <w:szCs w:val="22"/>
                <w:lang w:val="en-GB"/>
              </w:rPr>
              <w:t xml:space="preserve"> (vs. Emotional Stability)</w:t>
            </w:r>
            <w:r w:rsidRPr="00AD59D5">
              <w:rPr>
                <w:sz w:val="22"/>
                <w:szCs w:val="22"/>
                <w:lang w:val="en-GB"/>
              </w:rPr>
              <w:t>:</w:t>
            </w:r>
            <w:r w:rsidR="00A560C6" w:rsidRPr="00AD59D5">
              <w:rPr>
                <w:sz w:val="22"/>
                <w:szCs w:val="22"/>
                <w:lang w:val="en-GB"/>
              </w:rPr>
              <w:t xml:space="preserve"> </w:t>
            </w:r>
            <w:r w:rsidR="009C77DF" w:rsidRPr="00AD59D5">
              <w:rPr>
                <w:sz w:val="22"/>
                <w:szCs w:val="22"/>
                <w:lang w:val="en-GB"/>
              </w:rPr>
              <w:t>Frequent and intense experiences of high levels of a wide range of negative emotions (e.g., anxiety, depression, guilt/ shame, worry, anger) and their behavioral (e.g., self-harm) and interpersonal (e.g., dependency) manifestations.</w:t>
            </w:r>
          </w:p>
          <w:p w14:paraId="00B9B230" w14:textId="26217364" w:rsidR="00AD59D5" w:rsidRPr="00AD59D5" w:rsidRDefault="00BC3E07" w:rsidP="00D611C3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  <w:lang w:val="en-GB"/>
              </w:rPr>
            </w:pPr>
            <w:r w:rsidRPr="00AD59D5">
              <w:rPr>
                <w:sz w:val="22"/>
                <w:szCs w:val="22"/>
                <w:lang w:val="en-GB"/>
              </w:rPr>
              <w:t>Detachment</w:t>
            </w:r>
            <w:r w:rsidR="00A560C6" w:rsidRPr="00AD59D5">
              <w:rPr>
                <w:sz w:val="22"/>
                <w:szCs w:val="22"/>
                <w:lang w:val="en-GB"/>
              </w:rPr>
              <w:t xml:space="preserve"> (vs. Extraversion)</w:t>
            </w:r>
            <w:r w:rsidRPr="00AD59D5">
              <w:rPr>
                <w:sz w:val="22"/>
                <w:szCs w:val="22"/>
                <w:lang w:val="en-GB"/>
              </w:rPr>
              <w:t>:</w:t>
            </w:r>
            <w:r w:rsidR="00A560C6" w:rsidRPr="00AD59D5">
              <w:rPr>
                <w:sz w:val="22"/>
                <w:szCs w:val="22"/>
                <w:lang w:val="en-GB"/>
              </w:rPr>
              <w:t xml:space="preserve"> Avoidance of socioemotional experience, including both withdrawal from interpersonal interactions (ranging from casual, daily interactions to friendships to intimate relationships) and restricted affective experience and expression, particularly limited hedonic capacity.</w:t>
            </w:r>
          </w:p>
          <w:p w14:paraId="0C94EDF4" w14:textId="3D3141BB" w:rsidR="00AD59D5" w:rsidRPr="00AD59D5" w:rsidRDefault="00AD59D5" w:rsidP="00705955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  <w:lang w:val="en-GB"/>
              </w:rPr>
            </w:pPr>
            <w:r w:rsidRPr="00AD59D5">
              <w:rPr>
                <w:sz w:val="22"/>
                <w:szCs w:val="22"/>
                <w:lang w:val="en-GB"/>
              </w:rPr>
              <w:t>Antagonism</w:t>
            </w:r>
            <w:r w:rsidR="00A560C6" w:rsidRPr="00AD59D5">
              <w:rPr>
                <w:sz w:val="22"/>
                <w:szCs w:val="22"/>
                <w:lang w:val="en-GB"/>
              </w:rPr>
              <w:t xml:space="preserve"> (vs. Agreeableness)</w:t>
            </w:r>
            <w:r w:rsidRPr="00AD59D5">
              <w:rPr>
                <w:sz w:val="22"/>
                <w:szCs w:val="22"/>
                <w:lang w:val="en-GB"/>
              </w:rPr>
              <w:t>:</w:t>
            </w:r>
            <w:r w:rsidR="00A560C6" w:rsidRPr="00AD59D5">
              <w:rPr>
                <w:sz w:val="22"/>
                <w:szCs w:val="22"/>
                <w:lang w:val="en-GB"/>
              </w:rPr>
              <w:t xml:space="preserve"> Behaviors that put the individual at odds with other people, including an exaggerated sense of self-importance and a concomitant expectation of special treatment, as well as a callous antipathy toward others, encompassing both an unawareness of others' needs and feelings and a readiness to use others in the service of self-enhancement.</w:t>
            </w:r>
          </w:p>
          <w:p w14:paraId="3A31DD59" w14:textId="25B36CBD" w:rsidR="00AD59D5" w:rsidRPr="00AD59D5" w:rsidRDefault="00AD59D5" w:rsidP="00D611C3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  <w:lang w:val="en-GB"/>
              </w:rPr>
            </w:pPr>
            <w:r w:rsidRPr="00AD59D5">
              <w:rPr>
                <w:sz w:val="22"/>
                <w:szCs w:val="22"/>
                <w:lang w:val="en-GB"/>
              </w:rPr>
              <w:t>Disinhibition</w:t>
            </w:r>
            <w:r w:rsidR="00705955" w:rsidRPr="00AD59D5">
              <w:rPr>
                <w:sz w:val="22"/>
                <w:szCs w:val="22"/>
                <w:lang w:val="en-GB"/>
              </w:rPr>
              <w:t xml:space="preserve"> (vs. Conscientiousness) Orientation toward immediate gratification, leading to impulsive behavior driven by current thoughts, feelings, and external stimuli, without regard for past learning or consideration of future consequences.</w:t>
            </w:r>
          </w:p>
          <w:p w14:paraId="2803CFA9" w14:textId="363C34F1" w:rsidR="009C77DF" w:rsidRDefault="00AD59D5" w:rsidP="00D611C3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  <w:lang w:val="en-GB"/>
              </w:rPr>
            </w:pPr>
            <w:r w:rsidRPr="00AD59D5">
              <w:rPr>
                <w:sz w:val="22"/>
                <w:szCs w:val="22"/>
                <w:lang w:val="en-GB"/>
              </w:rPr>
              <w:t>Psychoticism</w:t>
            </w:r>
            <w:r w:rsidR="00705955" w:rsidRPr="00AD59D5">
              <w:rPr>
                <w:sz w:val="22"/>
                <w:szCs w:val="22"/>
                <w:lang w:val="en-GB"/>
              </w:rPr>
              <w:t xml:space="preserve"> (vs. Lucidity)</w:t>
            </w:r>
            <w:r w:rsidR="00200A8E" w:rsidRPr="00AD59D5">
              <w:rPr>
                <w:sz w:val="22"/>
                <w:szCs w:val="22"/>
                <w:lang w:val="en-GB"/>
              </w:rPr>
              <w:t xml:space="preserve"> Exhibiting a wide range of culturally incongruent odd, eccentric, or unusual behaviors and cognitions, including both process (e.g., perception, dissociation) and content (e.g., beliefs).</w:t>
            </w:r>
            <w:r>
              <w:rPr>
                <w:sz w:val="22"/>
                <w:szCs w:val="22"/>
                <w:lang w:val="en-GB"/>
              </w:rPr>
              <w:t>”</w:t>
            </w:r>
          </w:p>
          <w:p w14:paraId="7EB66B06" w14:textId="3F12F24F" w:rsidR="00AA6006" w:rsidRPr="00515354" w:rsidRDefault="00253EE7" w:rsidP="00515354">
            <w:pPr>
              <w:pStyle w:val="Listenabsatz"/>
              <w:spacing w:line="276" w:lineRule="auto"/>
              <w:jc w:val="right"/>
              <w:rPr>
                <w:sz w:val="22"/>
                <w:szCs w:val="22"/>
                <w:lang w:val="en-GB"/>
              </w:rPr>
            </w:pPr>
            <w:r w:rsidRPr="007831BA">
              <w:rPr>
                <w:sz w:val="22"/>
                <w:szCs w:val="22"/>
                <w:lang w:val="en-AU"/>
              </w:rPr>
              <w:t xml:space="preserve">(DSM-5, Section III, p. 762; </w:t>
            </w:r>
            <w:r w:rsidR="00A6625C">
              <w:rPr>
                <w:sz w:val="22"/>
              </w:rPr>
              <w:t>[9]</w:t>
            </w:r>
            <w:r w:rsidRPr="007831BA">
              <w:rPr>
                <w:sz w:val="22"/>
                <w:szCs w:val="22"/>
                <w:lang w:val="en-AU"/>
              </w:rPr>
              <w:t>)</w:t>
            </w:r>
          </w:p>
        </w:tc>
      </w:tr>
      <w:tr w:rsidR="00AA6006" w:rsidRPr="00136B60" w14:paraId="69F4F959" w14:textId="77777777" w:rsidTr="00085432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8D736" w14:textId="79F9C3B2" w:rsidR="00AA6006" w:rsidRPr="00677570" w:rsidRDefault="00AA6006" w:rsidP="00D611C3">
            <w:pPr>
              <w:spacing w:line="276" w:lineRule="auto"/>
              <w:rPr>
                <w:rFonts w:cs="Times New Roman"/>
                <w:lang w:val="en-GB"/>
              </w:rPr>
            </w:pPr>
            <w:r w:rsidRPr="00571EAC">
              <w:rPr>
                <w:rFonts w:cs="Times New Roman"/>
                <w:b/>
                <w:bCs/>
                <w:lang w:val="en-GB"/>
              </w:rPr>
              <w:lastRenderedPageBreak/>
              <w:t>C</w:t>
            </w:r>
            <w:r w:rsidR="00EF47E2" w:rsidRPr="00571EAC">
              <w:rPr>
                <w:rFonts w:cs="Times New Roman"/>
                <w:b/>
                <w:bCs/>
                <w:lang w:val="en-GB"/>
              </w:rPr>
              <w:t>riteria C and D</w:t>
            </w:r>
            <w:r w:rsidRPr="00571EAC">
              <w:rPr>
                <w:rFonts w:cs="Times New Roman"/>
                <w:b/>
                <w:bCs/>
                <w:lang w:val="en-GB"/>
              </w:rPr>
              <w:t>.</w:t>
            </w:r>
            <w:r w:rsidRPr="00677570">
              <w:rPr>
                <w:rFonts w:cs="Times New Roman"/>
                <w:lang w:val="en-GB"/>
              </w:rPr>
              <w:t xml:space="preserve"> </w:t>
            </w:r>
            <w:r w:rsidR="00571EAC">
              <w:rPr>
                <w:rFonts w:cs="Times New Roman"/>
                <w:lang w:val="en-GB"/>
              </w:rPr>
              <w:t>Relative p</w:t>
            </w:r>
            <w:r w:rsidR="00EF47E2">
              <w:rPr>
                <w:rFonts w:cs="Times New Roman"/>
                <w:lang w:val="en-GB"/>
              </w:rPr>
              <w:t xml:space="preserve">ervasiveness and stability of impairments in personality functioning and pathological personality traits across personal and social contexts. </w:t>
            </w:r>
          </w:p>
        </w:tc>
      </w:tr>
      <w:tr w:rsidR="00AA6006" w:rsidRPr="00136B60" w14:paraId="0744FBD5" w14:textId="77777777" w:rsidTr="00085432">
        <w:tc>
          <w:tcPr>
            <w:tcW w:w="9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00E64" w14:textId="5B65CE72" w:rsidR="00AA6006" w:rsidRPr="004E54AC" w:rsidRDefault="00085432" w:rsidP="00D611C3">
            <w:pPr>
              <w:spacing w:line="276" w:lineRule="auto"/>
              <w:rPr>
                <w:rFonts w:cs="Times New Roman"/>
                <w:lang w:val="en-US"/>
              </w:rPr>
            </w:pPr>
            <w:r w:rsidRPr="00085432">
              <w:rPr>
                <w:rFonts w:cs="Times New Roman"/>
                <w:b/>
                <w:bCs/>
                <w:lang w:val="en-US"/>
              </w:rPr>
              <w:t>Criteria E, F, and G:</w:t>
            </w:r>
            <w:r w:rsidRPr="00085432">
              <w:rPr>
                <w:rFonts w:cs="Times New Roman"/>
                <w:lang w:val="en-US"/>
              </w:rPr>
              <w:t xml:space="preserve"> </w:t>
            </w:r>
            <w:r w:rsidR="007324A1">
              <w:rPr>
                <w:rFonts w:cs="Times New Roman"/>
                <w:lang w:val="en-US"/>
              </w:rPr>
              <w:t>Differential diagnoses, i.e., a</w:t>
            </w:r>
            <w:r w:rsidRPr="00085432">
              <w:rPr>
                <w:rFonts w:cs="Times New Roman"/>
                <w:lang w:val="en-US"/>
              </w:rPr>
              <w:t xml:space="preserve">lternative </w:t>
            </w:r>
            <w:r w:rsidR="004E4E4A">
              <w:rPr>
                <w:rFonts w:cs="Times New Roman"/>
                <w:lang w:val="en-US"/>
              </w:rPr>
              <w:t>e</w:t>
            </w:r>
            <w:r w:rsidRPr="00085432">
              <w:rPr>
                <w:rFonts w:cs="Times New Roman"/>
                <w:lang w:val="en-US"/>
              </w:rPr>
              <w:t xml:space="preserve">xplanations for </w:t>
            </w:r>
            <w:r w:rsidR="004E4E4A">
              <w:rPr>
                <w:rFonts w:cs="Times New Roman"/>
                <w:lang w:val="en-US"/>
              </w:rPr>
              <w:t>p</w:t>
            </w:r>
            <w:r w:rsidRPr="00085432">
              <w:rPr>
                <w:rFonts w:cs="Times New Roman"/>
                <w:lang w:val="en-US"/>
              </w:rPr>
              <w:t xml:space="preserve">ersonality </w:t>
            </w:r>
            <w:r w:rsidR="004E4E4A">
              <w:rPr>
                <w:rFonts w:cs="Times New Roman"/>
                <w:lang w:val="en-US"/>
              </w:rPr>
              <w:t>p</w:t>
            </w:r>
            <w:r w:rsidRPr="00085432">
              <w:rPr>
                <w:rFonts w:cs="Times New Roman"/>
                <w:lang w:val="en-US"/>
              </w:rPr>
              <w:t>athology</w:t>
            </w:r>
            <w:r w:rsidR="008343D6">
              <w:rPr>
                <w:rFonts w:cs="Times New Roman"/>
                <w:lang w:val="en-US"/>
              </w:rPr>
              <w:t xml:space="preserve">, such as </w:t>
            </w:r>
            <w:r w:rsidR="002E081F">
              <w:rPr>
                <w:rFonts w:cs="Times New Roman"/>
                <w:lang w:val="en-US"/>
              </w:rPr>
              <w:t xml:space="preserve">other mental disorders, </w:t>
            </w:r>
            <w:r w:rsidR="008343D6">
              <w:rPr>
                <w:rFonts w:cs="Times New Roman"/>
                <w:lang w:val="en-US"/>
              </w:rPr>
              <w:t xml:space="preserve">effects of a substance or medical condition, normal </w:t>
            </w:r>
            <w:r w:rsidR="004E54AC">
              <w:rPr>
                <w:rFonts w:cs="Times New Roman"/>
                <w:lang w:val="en-US"/>
              </w:rPr>
              <w:t>developmental stages, socio-cultural environment.</w:t>
            </w:r>
          </w:p>
        </w:tc>
      </w:tr>
    </w:tbl>
    <w:p w14:paraId="30A23360" w14:textId="298C2B48" w:rsidR="00901847" w:rsidRDefault="00901847">
      <w:pPr>
        <w:spacing w:before="0"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14:paraId="5D0B9D28" w14:textId="104B45F9" w:rsidR="008C5C3B" w:rsidRPr="00677570" w:rsidRDefault="0082109D" w:rsidP="00DC391C">
      <w:pPr>
        <w:pStyle w:val="berschrift2"/>
        <w:rPr>
          <w:lang w:val="en-US"/>
        </w:rPr>
      </w:pPr>
      <w:bookmarkStart w:id="6" w:name="_Toc182937926"/>
      <w:r w:rsidRPr="003454F4">
        <w:rPr>
          <w:iCs/>
          <w:lang w:val="en-US"/>
        </w:rPr>
        <w:lastRenderedPageBreak/>
        <w:t>eTable</w:t>
      </w:r>
      <w:r w:rsidR="008C5C3B" w:rsidRPr="003454F4">
        <w:rPr>
          <w:iCs/>
          <w:lang w:val="en-US"/>
        </w:rPr>
        <w:t xml:space="preserve"> 3</w:t>
      </w:r>
      <w:r w:rsidR="008C5C3B" w:rsidRPr="00677570">
        <w:rPr>
          <w:lang w:val="en-US"/>
        </w:rPr>
        <w:t>: Comparison of Poisson versus Zero-inflated Poisson (ZIP) models by AIC</w:t>
      </w:r>
      <w:bookmarkEnd w:id="6"/>
    </w:p>
    <w:tbl>
      <w:tblPr>
        <w:tblStyle w:val="EinfacheTabelle2"/>
        <w:tblpPr w:leftFromText="142" w:rightFromText="142" w:vertAnchor="page" w:horzAnchor="margin" w:tblpY="2034"/>
        <w:tblOverlap w:val="never"/>
        <w:tblW w:w="652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2552"/>
      </w:tblGrid>
      <w:tr w:rsidR="00901847" w:rsidRPr="00136B60" w14:paraId="3B0C5084" w14:textId="77777777" w:rsidTr="00681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14:paraId="012672BC" w14:textId="3E4C6751" w:rsidR="00901847" w:rsidRPr="00C52FC4" w:rsidRDefault="0082109D" w:rsidP="003B731A">
            <w:pPr>
              <w:spacing w:after="0" w:line="240" w:lineRule="auto"/>
              <w:rPr>
                <w:rFonts w:cs="Times New Roman"/>
                <w:lang w:val="fr-CH"/>
              </w:rPr>
            </w:pPr>
            <w:r w:rsidRPr="003454F4">
              <w:rPr>
                <w:rFonts w:cs="Times New Roman"/>
                <w:lang w:val="fr-CH"/>
              </w:rPr>
              <w:t>eTable</w:t>
            </w:r>
            <w:r w:rsidR="00901847" w:rsidRPr="003454F4">
              <w:rPr>
                <w:rFonts w:cs="Times New Roman"/>
                <w:lang w:val="fr-CH"/>
              </w:rPr>
              <w:t xml:space="preserve"> </w:t>
            </w:r>
            <w:r w:rsidR="00AA6006" w:rsidRPr="0089316B">
              <w:rPr>
                <w:rFonts w:cs="Times New Roman"/>
                <w:lang w:val="fr-CH"/>
              </w:rPr>
              <w:t>3</w:t>
            </w:r>
            <w:r w:rsidR="00901847" w:rsidRPr="00C52FC4">
              <w:rPr>
                <w:rFonts w:cs="Times New Roman"/>
                <w:lang w:val="fr-CH"/>
              </w:rPr>
              <w:t xml:space="preserve"> AIC values</w:t>
            </w:r>
            <w:r w:rsidR="00C52FC4" w:rsidRPr="00C52FC4">
              <w:rPr>
                <w:rFonts w:cs="Times New Roman"/>
                <w:lang w:val="fr-CH"/>
              </w:rPr>
              <w:t xml:space="preserve"> (d</w:t>
            </w:r>
            <w:r w:rsidR="00C52FC4" w:rsidRPr="003454F4">
              <w:rPr>
                <w:rFonts w:cs="Times New Roman"/>
                <w:lang w:val="fr-CH"/>
              </w:rPr>
              <w:t>f)</w:t>
            </w:r>
            <w:r w:rsidR="00901847" w:rsidRPr="00C52FC4">
              <w:rPr>
                <w:rFonts w:cs="Times New Roman"/>
                <w:lang w:val="fr-CH"/>
              </w:rPr>
              <w:t>, Poisson versus ZIP model</w:t>
            </w:r>
          </w:p>
        </w:tc>
      </w:tr>
      <w:tr w:rsidR="00901847" w:rsidRPr="00677570" w14:paraId="650FFDC8" w14:textId="77777777" w:rsidTr="00D3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6F6" w14:textId="77777777" w:rsidR="00901847" w:rsidRPr="00677570" w:rsidRDefault="00901847" w:rsidP="00901847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lang w:val="en-GB"/>
              </w:rPr>
              <w:t>Outcome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ECF5" w14:textId="00FCD9EC" w:rsidR="00901847" w:rsidRPr="00677570" w:rsidRDefault="00901847" w:rsidP="009018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lang w:val="en-GB"/>
              </w:rPr>
            </w:pPr>
            <w:r w:rsidRPr="00677570">
              <w:rPr>
                <w:rFonts w:cs="Times New Roman"/>
                <w:b/>
                <w:lang w:val="en-GB"/>
              </w:rPr>
              <w:t>Poisson model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7CB5AEE" w14:textId="77777777" w:rsidR="00901847" w:rsidRPr="00677570" w:rsidRDefault="00901847" w:rsidP="009018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lang w:val="en-GB"/>
              </w:rPr>
            </w:pPr>
            <w:r w:rsidRPr="00677570">
              <w:rPr>
                <w:rFonts w:cs="Times New Roman"/>
                <w:b/>
                <w:lang w:val="en-GB"/>
              </w:rPr>
              <w:t>ZlP model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F6C33E7" w14:textId="77777777" w:rsidR="00901847" w:rsidRPr="00677570" w:rsidRDefault="00901847" w:rsidP="009018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lang w:val="en-GB"/>
              </w:rPr>
            </w:pPr>
          </w:p>
        </w:tc>
      </w:tr>
      <w:tr w:rsidR="00901847" w:rsidRPr="00677570" w14:paraId="24F86949" w14:textId="77777777" w:rsidTr="00D345F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CBD5" w14:textId="53948984" w:rsidR="00901847" w:rsidRPr="00677570" w:rsidRDefault="003454F4" w:rsidP="00901847">
            <w:pPr>
              <w:spacing w:after="0" w:line="240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CHR-P-symptoms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36C9E" w14:textId="14246D23" w:rsidR="00901847" w:rsidRPr="00677570" w:rsidRDefault="00901847" w:rsidP="009018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677570">
              <w:rPr>
                <w:rFonts w:eastAsia="Times New Roman" w:cs="Times New Roman"/>
                <w:lang w:val="en-US" w:eastAsia="de-DE"/>
              </w:rPr>
              <w:t>1098.0</w:t>
            </w:r>
            <w:r w:rsidR="00C52FC4">
              <w:rPr>
                <w:rFonts w:eastAsia="Times New Roman" w:cs="Times New Roman"/>
                <w:lang w:val="en-US" w:eastAsia="de-DE"/>
              </w:rPr>
              <w:t>4 (8)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8AB2C1" w14:textId="547BA1F8" w:rsidR="00901847" w:rsidRPr="00677570" w:rsidRDefault="00901847" w:rsidP="00D345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 w:eastAsia="de-DE"/>
              </w:rPr>
            </w:pPr>
            <w:r w:rsidRPr="00677570">
              <w:rPr>
                <w:rFonts w:eastAsia="Times New Roman" w:cs="Times New Roman"/>
                <w:lang w:val="en-US" w:eastAsia="de-DE"/>
              </w:rPr>
              <w:t>815.06</w:t>
            </w:r>
            <w:r w:rsidR="00C52FC4">
              <w:rPr>
                <w:rFonts w:eastAsia="Times New Roman" w:cs="Times New Roman"/>
                <w:lang w:val="en-US" w:eastAsia="de-DE"/>
              </w:rPr>
              <w:t xml:space="preserve"> (16)</w:t>
            </w:r>
          </w:p>
        </w:tc>
      </w:tr>
      <w:tr w:rsidR="00901847" w:rsidRPr="00D345F2" w14:paraId="4EC8010F" w14:textId="77777777" w:rsidTr="00D345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0D2" w14:textId="4E4E644E" w:rsidR="00901847" w:rsidRPr="00677570" w:rsidRDefault="00901847" w:rsidP="00901847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b w:val="0"/>
                <w:lang w:val="en-GB"/>
              </w:rPr>
              <w:t>nonper-</w:t>
            </w:r>
            <w:r w:rsidR="003454F4">
              <w:rPr>
                <w:rFonts w:cs="Times New Roman"/>
                <w:b w:val="0"/>
                <w:lang w:val="en-GB"/>
              </w:rPr>
              <w:t>CHR-P-symptoms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CC72F" w14:textId="26018129" w:rsidR="00901847" w:rsidRPr="00677570" w:rsidRDefault="00901847" w:rsidP="009018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677570">
              <w:rPr>
                <w:rFonts w:eastAsia="Times New Roman" w:cs="Times New Roman"/>
                <w:lang w:val="en-US" w:eastAsia="de-DE"/>
              </w:rPr>
              <w:t>808.7</w:t>
            </w:r>
            <w:r w:rsidR="00C52FC4">
              <w:rPr>
                <w:rFonts w:eastAsia="Times New Roman" w:cs="Times New Roman"/>
                <w:lang w:val="en-US" w:eastAsia="de-DE"/>
              </w:rPr>
              <w:t>9 (8)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22952" w14:textId="22C4C21C" w:rsidR="00901847" w:rsidRPr="00D345F2" w:rsidRDefault="00901847" w:rsidP="00D345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US" w:eastAsia="de-DE"/>
              </w:rPr>
            </w:pPr>
            <w:r w:rsidRPr="00677570">
              <w:rPr>
                <w:rFonts w:eastAsia="Times New Roman" w:cs="Times New Roman"/>
                <w:lang w:val="en-US" w:eastAsia="de-DE"/>
              </w:rPr>
              <w:t>606.48</w:t>
            </w:r>
            <w:r w:rsidR="00C52FC4">
              <w:rPr>
                <w:rFonts w:eastAsia="Times New Roman" w:cs="Times New Roman"/>
                <w:lang w:val="en-US" w:eastAsia="de-DE"/>
              </w:rPr>
              <w:t xml:space="preserve"> (16)</w:t>
            </w:r>
          </w:p>
        </w:tc>
      </w:tr>
      <w:tr w:rsidR="00901847" w:rsidRPr="00677570" w14:paraId="4C4728F2" w14:textId="77777777" w:rsidTr="00D345F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8738" w14:textId="0F5010B8" w:rsidR="00901847" w:rsidRPr="00677570" w:rsidRDefault="00901847" w:rsidP="00901847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677570">
              <w:rPr>
                <w:rFonts w:cs="Times New Roman"/>
                <w:b w:val="0"/>
                <w:lang w:val="en-GB"/>
              </w:rPr>
              <w:t>per-</w:t>
            </w:r>
            <w:r w:rsidR="003454F4">
              <w:rPr>
                <w:rFonts w:cs="Times New Roman"/>
                <w:b w:val="0"/>
                <w:lang w:val="en-GB"/>
              </w:rPr>
              <w:t>CHR-P-symptoms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96953" w14:textId="71577932" w:rsidR="00901847" w:rsidRPr="00677570" w:rsidRDefault="00901847" w:rsidP="009018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GB"/>
              </w:rPr>
            </w:pPr>
            <w:r w:rsidRPr="00677570">
              <w:rPr>
                <w:rFonts w:eastAsia="Times New Roman" w:cs="Times New Roman"/>
                <w:lang w:val="en-US" w:eastAsia="de-DE"/>
              </w:rPr>
              <w:t>543.68</w:t>
            </w:r>
            <w:r w:rsidR="00C52FC4">
              <w:rPr>
                <w:rFonts w:eastAsia="Times New Roman" w:cs="Times New Roman"/>
                <w:lang w:val="en-US" w:eastAsia="de-DE"/>
              </w:rPr>
              <w:t xml:space="preserve"> (8)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A8A45" w14:textId="6E689750" w:rsidR="00901847" w:rsidRPr="00D345F2" w:rsidRDefault="00901847" w:rsidP="00D345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 w:eastAsia="de-DE"/>
              </w:rPr>
            </w:pPr>
            <w:r w:rsidRPr="00677570">
              <w:rPr>
                <w:rFonts w:eastAsia="Times New Roman" w:cs="Times New Roman"/>
                <w:lang w:val="en-US" w:eastAsia="de-DE"/>
              </w:rPr>
              <w:t>455.93</w:t>
            </w:r>
            <w:r w:rsidR="00C52FC4">
              <w:rPr>
                <w:rFonts w:eastAsia="Times New Roman" w:cs="Times New Roman"/>
                <w:lang w:val="en-US" w:eastAsia="de-DE"/>
              </w:rPr>
              <w:t xml:space="preserve"> (16)</w:t>
            </w:r>
          </w:p>
        </w:tc>
      </w:tr>
    </w:tbl>
    <w:p w14:paraId="0EF52E7D" w14:textId="11C718D9" w:rsidR="00645B13" w:rsidRPr="00677570" w:rsidRDefault="00645B13" w:rsidP="000A533A">
      <w:pPr>
        <w:rPr>
          <w:rFonts w:cs="Times New Roman"/>
          <w:b/>
          <w:lang w:val="en-US"/>
        </w:rPr>
      </w:pPr>
    </w:p>
    <w:p w14:paraId="09AA75BC" w14:textId="421F5040" w:rsidR="00645B13" w:rsidRPr="00677570" w:rsidRDefault="00645B13" w:rsidP="000A533A">
      <w:pPr>
        <w:rPr>
          <w:rFonts w:cs="Times New Roman"/>
          <w:b/>
          <w:lang w:val="en-US"/>
        </w:rPr>
      </w:pPr>
    </w:p>
    <w:p w14:paraId="46568822" w14:textId="00B154E0" w:rsidR="0006546E" w:rsidRPr="00677570" w:rsidRDefault="0006546E" w:rsidP="000A533A">
      <w:pPr>
        <w:rPr>
          <w:rFonts w:cs="Times New Roman"/>
          <w:b/>
          <w:lang w:val="en-US"/>
        </w:rPr>
      </w:pPr>
    </w:p>
    <w:p w14:paraId="2E11C4A8" w14:textId="7AB22C1B" w:rsidR="0006546E" w:rsidRPr="00677570" w:rsidRDefault="0006546E" w:rsidP="000A533A">
      <w:pPr>
        <w:rPr>
          <w:rFonts w:cs="Times New Roman"/>
          <w:b/>
          <w:lang w:val="en-US"/>
        </w:rPr>
      </w:pPr>
    </w:p>
    <w:p w14:paraId="27F43804" w14:textId="77777777" w:rsidR="0006546E" w:rsidRPr="00677570" w:rsidRDefault="0006546E" w:rsidP="00326CB2">
      <w:pPr>
        <w:spacing w:before="0" w:after="0" w:line="240" w:lineRule="auto"/>
        <w:rPr>
          <w:rFonts w:eastAsia="Calibri" w:cs="Times New Roman"/>
          <w:i/>
          <w:sz w:val="20"/>
          <w:szCs w:val="20"/>
          <w:lang w:val="en-GB"/>
        </w:rPr>
      </w:pPr>
    </w:p>
    <w:p w14:paraId="54401F95" w14:textId="77777777" w:rsidR="007F3BFA" w:rsidRDefault="007F3BFA" w:rsidP="0006546E">
      <w:pPr>
        <w:spacing w:before="0" w:after="0" w:line="240" w:lineRule="auto"/>
        <w:ind w:left="142" w:hanging="142"/>
        <w:rPr>
          <w:rFonts w:eastAsia="Calibri" w:cs="Times New Roman"/>
          <w:i/>
          <w:sz w:val="18"/>
          <w:szCs w:val="18"/>
          <w:lang w:val="en-GB"/>
        </w:rPr>
      </w:pPr>
    </w:p>
    <w:p w14:paraId="514C8473" w14:textId="77777777" w:rsidR="007F3BFA" w:rsidRDefault="007F3BFA" w:rsidP="0006546E">
      <w:pPr>
        <w:spacing w:before="0" w:after="0" w:line="240" w:lineRule="auto"/>
        <w:ind w:left="142" w:hanging="142"/>
        <w:rPr>
          <w:rFonts w:eastAsia="Calibri" w:cs="Times New Roman"/>
          <w:i/>
          <w:sz w:val="18"/>
          <w:szCs w:val="18"/>
          <w:lang w:val="en-GB"/>
        </w:rPr>
      </w:pPr>
    </w:p>
    <w:p w14:paraId="3CA06E16" w14:textId="77777777" w:rsidR="007F3BFA" w:rsidRDefault="007F3BFA" w:rsidP="0006546E">
      <w:pPr>
        <w:spacing w:before="0" w:after="0" w:line="240" w:lineRule="auto"/>
        <w:ind w:left="142" w:hanging="142"/>
        <w:rPr>
          <w:rFonts w:eastAsia="Calibri" w:cs="Times New Roman"/>
          <w:i/>
          <w:sz w:val="18"/>
          <w:szCs w:val="18"/>
          <w:lang w:val="en-GB"/>
        </w:rPr>
      </w:pPr>
    </w:p>
    <w:p w14:paraId="71221E27" w14:textId="77777777" w:rsidR="007F3BFA" w:rsidRDefault="007F3BFA" w:rsidP="0006546E">
      <w:pPr>
        <w:spacing w:before="0" w:after="0" w:line="240" w:lineRule="auto"/>
        <w:ind w:left="142" w:hanging="142"/>
        <w:rPr>
          <w:rFonts w:eastAsia="Calibri" w:cs="Times New Roman"/>
          <w:i/>
          <w:sz w:val="18"/>
          <w:szCs w:val="18"/>
          <w:lang w:val="en-GB"/>
        </w:rPr>
      </w:pPr>
    </w:p>
    <w:p w14:paraId="23211231" w14:textId="77777777" w:rsidR="007F3BFA" w:rsidRDefault="007F3BFA" w:rsidP="0006546E">
      <w:pPr>
        <w:spacing w:before="0" w:after="0" w:line="240" w:lineRule="auto"/>
        <w:ind w:left="142" w:hanging="142"/>
        <w:rPr>
          <w:rFonts w:eastAsia="Calibri" w:cs="Times New Roman"/>
          <w:i/>
          <w:sz w:val="18"/>
          <w:szCs w:val="18"/>
          <w:lang w:val="en-GB"/>
        </w:rPr>
      </w:pPr>
    </w:p>
    <w:p w14:paraId="01DC5856" w14:textId="22BF28C0" w:rsidR="0006546E" w:rsidRPr="003454F4" w:rsidRDefault="0006546E" w:rsidP="00C4347D">
      <w:pPr>
        <w:spacing w:before="0" w:after="0" w:line="240" w:lineRule="auto"/>
        <w:ind w:left="142" w:hanging="142"/>
        <w:rPr>
          <w:rFonts w:eastAsia="Calibri" w:cs="Times New Roman"/>
          <w:sz w:val="18"/>
          <w:szCs w:val="18"/>
          <w:lang w:val="en-US"/>
        </w:rPr>
      </w:pPr>
      <w:r w:rsidRPr="00326CB2">
        <w:rPr>
          <w:rFonts w:eastAsia="Calibri" w:cs="Times New Roman"/>
          <w:i/>
          <w:sz w:val="18"/>
          <w:szCs w:val="18"/>
          <w:lang w:val="en-GB"/>
        </w:rPr>
        <w:t>Note:</w:t>
      </w:r>
      <w:r w:rsidRPr="00326CB2">
        <w:rPr>
          <w:rFonts w:eastAsia="Calibri" w:cs="Times New Roman"/>
          <w:sz w:val="18"/>
          <w:szCs w:val="18"/>
          <w:lang w:val="en-GB"/>
        </w:rPr>
        <w:t xml:space="preserve"> </w:t>
      </w:r>
      <w:r w:rsidR="008C5C3B" w:rsidRPr="00326CB2">
        <w:rPr>
          <w:rFonts w:eastAsia="Calibri" w:cs="Times New Roman"/>
          <w:sz w:val="18"/>
          <w:szCs w:val="18"/>
          <w:lang w:val="en-GB"/>
        </w:rPr>
        <w:t>AIC: Akaike Information Criterion</w:t>
      </w:r>
      <w:r w:rsidR="00C80A4E">
        <w:rPr>
          <w:rFonts w:eastAsia="Calibri" w:cs="Times New Roman"/>
          <w:sz w:val="18"/>
          <w:szCs w:val="18"/>
          <w:lang w:val="en-GB"/>
        </w:rPr>
        <w:t xml:space="preserve"> (lower value indicates better fit)</w:t>
      </w:r>
      <w:r w:rsidR="008C5C3B" w:rsidRPr="00326CB2">
        <w:rPr>
          <w:rFonts w:eastAsia="Calibri" w:cs="Times New Roman"/>
          <w:sz w:val="18"/>
          <w:szCs w:val="18"/>
          <w:lang w:val="en-GB"/>
        </w:rPr>
        <w:t>;</w:t>
      </w:r>
      <w:r w:rsidR="003F0982">
        <w:rPr>
          <w:rFonts w:eastAsia="Calibri" w:cs="Times New Roman"/>
          <w:sz w:val="18"/>
          <w:szCs w:val="18"/>
          <w:lang w:val="en-GB"/>
        </w:rPr>
        <w:t xml:space="preserve"> </w:t>
      </w:r>
      <w:r w:rsidR="00C52FC4">
        <w:rPr>
          <w:rFonts w:eastAsia="Calibri" w:cs="Times New Roman"/>
          <w:sz w:val="18"/>
          <w:szCs w:val="18"/>
          <w:lang w:val="en-GB"/>
        </w:rPr>
        <w:t xml:space="preserve">df: degrees of freedom; </w:t>
      </w:r>
      <w:r w:rsidRPr="00326CB2">
        <w:rPr>
          <w:rFonts w:eastAsia="Calibri" w:cs="Times New Roman"/>
          <w:sz w:val="18"/>
          <w:szCs w:val="18"/>
          <w:lang w:val="en-GB"/>
        </w:rPr>
        <w:t>CHR-P: clinical high-risk of psychosis; per-CHR-P: perceptive CHR-P;</w:t>
      </w:r>
      <w:r w:rsidR="00C4347D">
        <w:rPr>
          <w:rFonts w:eastAsia="Calibri" w:cs="Times New Roman"/>
          <w:sz w:val="18"/>
          <w:szCs w:val="18"/>
          <w:lang w:val="en-GB"/>
        </w:rPr>
        <w:t xml:space="preserve"> </w:t>
      </w:r>
      <w:r w:rsidRPr="003454F4">
        <w:rPr>
          <w:rFonts w:eastAsia="Calibri" w:cs="Times New Roman"/>
          <w:sz w:val="18"/>
          <w:szCs w:val="18"/>
          <w:lang w:val="en-US"/>
        </w:rPr>
        <w:t>nonper-CHR-P: non</w:t>
      </w:r>
      <w:r w:rsidR="003F0982" w:rsidRPr="003454F4">
        <w:rPr>
          <w:rFonts w:eastAsia="Calibri" w:cs="Times New Roman"/>
          <w:sz w:val="18"/>
          <w:szCs w:val="18"/>
          <w:lang w:val="en-US"/>
        </w:rPr>
        <w:t>-</w:t>
      </w:r>
      <w:r w:rsidRPr="003454F4">
        <w:rPr>
          <w:rFonts w:eastAsia="Calibri" w:cs="Times New Roman"/>
          <w:sz w:val="18"/>
          <w:szCs w:val="18"/>
          <w:lang w:val="en-US"/>
        </w:rPr>
        <w:t>perceptive CHR-P.</w:t>
      </w:r>
    </w:p>
    <w:p w14:paraId="3F2D9178" w14:textId="77777777" w:rsidR="00C4347D" w:rsidRPr="003454F4" w:rsidRDefault="00C4347D">
      <w:pPr>
        <w:spacing w:before="0" w:after="0" w:line="240" w:lineRule="auto"/>
        <w:rPr>
          <w:rFonts w:eastAsia="Calibri" w:cs="Times New Roman"/>
          <w:sz w:val="20"/>
          <w:szCs w:val="20"/>
          <w:lang w:val="en-US"/>
        </w:rPr>
      </w:pPr>
    </w:p>
    <w:p w14:paraId="011763AE" w14:textId="082692CC" w:rsidR="00356AA9" w:rsidRPr="003454F4" w:rsidRDefault="0082109D" w:rsidP="00DC391C">
      <w:pPr>
        <w:pStyle w:val="berschrift2"/>
        <w:rPr>
          <w:rFonts w:eastAsia="Calibri"/>
          <w:lang w:val="en-US"/>
        </w:rPr>
      </w:pPr>
      <w:bookmarkStart w:id="7" w:name="_Toc182937927"/>
      <w:r w:rsidRPr="003454F4">
        <w:rPr>
          <w:rFonts w:eastAsia="Calibri"/>
          <w:lang w:val="en-US"/>
        </w:rPr>
        <w:t>eTable</w:t>
      </w:r>
      <w:r w:rsidR="00C4347D" w:rsidRPr="003454F4">
        <w:rPr>
          <w:rFonts w:eastAsia="Calibri"/>
          <w:lang w:val="en-US"/>
        </w:rPr>
        <w:t xml:space="preserve"> 4</w:t>
      </w:r>
      <w:r w:rsidR="00C4347D" w:rsidRPr="003F6C45">
        <w:rPr>
          <w:rFonts w:eastAsia="Calibri"/>
          <w:i/>
          <w:iCs/>
          <w:lang w:val="en-US"/>
        </w:rPr>
        <w:t xml:space="preserve">: </w:t>
      </w:r>
      <w:r w:rsidR="003454F4">
        <w:rPr>
          <w:rFonts w:eastAsia="Calibri"/>
          <w:lang w:val="en-US"/>
        </w:rPr>
        <w:t>CHR-P-symptoms</w:t>
      </w:r>
      <w:r w:rsidR="00A146D7">
        <w:rPr>
          <w:rFonts w:eastAsia="Calibri"/>
          <w:lang w:val="en-US"/>
        </w:rPr>
        <w:t xml:space="preserve"> ZIP model</w:t>
      </w:r>
      <w:r w:rsidR="00651541" w:rsidRPr="003F6C45">
        <w:rPr>
          <w:rFonts w:eastAsia="Calibri"/>
          <w:lang w:val="en-US"/>
        </w:rPr>
        <w:t xml:space="preserve">, </w:t>
      </w:r>
      <w:r w:rsidR="003F6C45" w:rsidRPr="003454F4">
        <w:rPr>
          <w:rFonts w:eastAsia="Calibri"/>
          <w:lang w:val="en-US"/>
        </w:rPr>
        <w:t>includi</w:t>
      </w:r>
      <w:r w:rsidR="003F6C45">
        <w:rPr>
          <w:rFonts w:eastAsia="Calibri"/>
          <w:lang w:val="en-US"/>
        </w:rPr>
        <w:t>ng non-significant predictors</w:t>
      </w:r>
      <w:bookmarkEnd w:id="7"/>
    </w:p>
    <w:tbl>
      <w:tblPr>
        <w:tblStyle w:val="Tabellenraster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139"/>
        <w:gridCol w:w="761"/>
        <w:gridCol w:w="1366"/>
        <w:gridCol w:w="850"/>
      </w:tblGrid>
      <w:tr w:rsidR="003F6C45" w:rsidRPr="003F6C45" w14:paraId="04A2FC8C" w14:textId="77777777" w:rsidTr="003454F4"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92E53" w14:textId="440BA3C5" w:rsidR="003F6C45" w:rsidRPr="003454F4" w:rsidRDefault="0082109D" w:rsidP="003454F4">
            <w:pPr>
              <w:spacing w:before="0" w:after="0" w:line="240" w:lineRule="auto"/>
              <w:rPr>
                <w:rFonts w:cs="Times New Roman"/>
                <w:b/>
                <w:bCs/>
                <w:lang w:val="fr-CH"/>
              </w:rPr>
            </w:pPr>
            <w:r w:rsidRPr="003454F4">
              <w:rPr>
                <w:rFonts w:cs="Times New Roman"/>
                <w:b/>
                <w:bCs/>
                <w:lang w:val="fr-CH"/>
              </w:rPr>
              <w:t>eTable</w:t>
            </w:r>
            <w:r w:rsidR="003F6C45" w:rsidRPr="003454F4">
              <w:rPr>
                <w:rFonts w:cs="Times New Roman"/>
                <w:b/>
                <w:bCs/>
                <w:lang w:val="fr-CH"/>
              </w:rPr>
              <w:t xml:space="preserve"> 4</w:t>
            </w:r>
            <w:r w:rsidR="003F6C45" w:rsidRPr="003454F4">
              <w:rPr>
                <w:rFonts w:cs="Times New Roman"/>
                <w:b/>
                <w:bCs/>
                <w:i/>
                <w:iCs/>
                <w:lang w:val="fr-CH"/>
              </w:rPr>
              <w:t xml:space="preserve">  </w:t>
            </w:r>
            <w:r w:rsidR="003F6C45" w:rsidRPr="003454F4">
              <w:rPr>
                <w:rFonts w:cs="Times New Roman"/>
                <w:lang w:val="fr-CH"/>
              </w:rPr>
              <w:t>Poisson regression (</w:t>
            </w:r>
            <w:r w:rsidR="003F6C45" w:rsidRPr="003F6C45">
              <w:rPr>
                <w:rFonts w:cs="Times New Roman"/>
                <w:lang w:val="en-GB"/>
              </w:rPr>
              <w:t>β</w:t>
            </w:r>
            <w:r w:rsidR="003F6C45" w:rsidRPr="003454F4">
              <w:rPr>
                <w:rFonts w:cs="Times New Roman"/>
                <w:lang w:val="fr-CH"/>
              </w:rPr>
              <w:t>) a</w:t>
            </w:r>
            <w:r w:rsidR="003F6C45">
              <w:rPr>
                <w:rFonts w:cs="Times New Roman"/>
                <w:lang w:val="fr-CH"/>
              </w:rPr>
              <w:t>nd logistic regression (</w:t>
            </w:r>
            <w:bookmarkStart w:id="8" w:name="_Hlk173230343"/>
            <w:r w:rsidR="003F6C45">
              <w:rPr>
                <w:rFonts w:cs="Times New Roman"/>
                <w:lang w:val="fr-CH"/>
              </w:rPr>
              <w:t>γ</w:t>
            </w:r>
            <w:bookmarkEnd w:id="8"/>
            <w:r w:rsidR="003F6C45">
              <w:rPr>
                <w:rFonts w:cs="Times New Roman"/>
                <w:lang w:val="fr-CH"/>
              </w:rPr>
              <w:t>) coefficients</w:t>
            </w:r>
          </w:p>
        </w:tc>
      </w:tr>
      <w:tr w:rsidR="00356AA9" w:rsidRPr="00CD55CA" w14:paraId="40F3DFAB" w14:textId="77777777" w:rsidTr="003454F4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9E42A" w14:textId="77777777" w:rsidR="00356AA9" w:rsidRPr="003454F4" w:rsidRDefault="00356AA9" w:rsidP="00CD55CA">
            <w:pPr>
              <w:spacing w:before="0" w:after="0" w:line="240" w:lineRule="auto"/>
              <w:rPr>
                <w:rFonts w:cs="Times New Roman"/>
                <w:b/>
                <w:bCs/>
                <w:lang w:val="fr-CH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6232588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rFonts w:cs="Times New Roman"/>
                <w:b/>
                <w:bCs/>
                <w:lang w:val="en-GB"/>
              </w:rPr>
            </w:pPr>
            <w:r w:rsidRPr="00CD55CA">
              <w:rPr>
                <w:rFonts w:cs="Times New Roman"/>
                <w:b/>
                <w:bCs/>
                <w:lang w:val="en-GB"/>
              </w:rPr>
              <w:t>Count model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639911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rFonts w:cs="Times New Roman"/>
                <w:b/>
                <w:bCs/>
                <w:lang w:val="en-GB"/>
              </w:rPr>
            </w:pPr>
            <w:r w:rsidRPr="00CD55CA">
              <w:rPr>
                <w:rFonts w:cs="Times New Roman"/>
                <w:b/>
                <w:bCs/>
                <w:lang w:val="en-GB"/>
              </w:rPr>
              <w:t>Zero-inflated model</w:t>
            </w:r>
          </w:p>
        </w:tc>
      </w:tr>
      <w:tr w:rsidR="00356AA9" w14:paraId="5C17D342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66D86954" w14:textId="77777777" w:rsidR="00356AA9" w:rsidRPr="00CD55CA" w:rsidRDefault="00356AA9" w:rsidP="00CD55CA">
            <w:pPr>
              <w:spacing w:before="0" w:after="0" w:line="240" w:lineRule="auto"/>
              <w:rPr>
                <w:b/>
                <w:bCs/>
                <w:lang w:val="en-US"/>
              </w:rPr>
            </w:pPr>
            <w:r w:rsidRPr="00CD55CA">
              <w:rPr>
                <w:b/>
                <w:bCs/>
                <w:lang w:val="en-US"/>
              </w:rPr>
              <w:t>Predictor/covariate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174D9CED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D55CA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β±sd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1789E8AC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D55CA">
              <w:rPr>
                <w:b/>
                <w:bCs/>
                <w:i/>
                <w:iCs/>
                <w:lang w:val="en-US"/>
              </w:rPr>
              <w:t>p</w:t>
            </w: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  <w:vAlign w:val="center"/>
          </w:tcPr>
          <w:p w14:paraId="20AFC748" w14:textId="2E74D44D" w:rsidR="00356AA9" w:rsidRPr="00CD55CA" w:rsidRDefault="00CE0E81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γ</w:t>
            </w:r>
            <w:r w:rsidR="00356AA9" w:rsidRPr="00CD55CA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±sd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7CE2DC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D55CA">
              <w:rPr>
                <w:b/>
                <w:bCs/>
                <w:i/>
                <w:iCs/>
                <w:lang w:val="en-US"/>
              </w:rPr>
              <w:t>p</w:t>
            </w:r>
          </w:p>
        </w:tc>
      </w:tr>
      <w:tr w:rsidR="00356AA9" w14:paraId="42850BC8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191073CE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Psychopathology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27375DBC" w14:textId="2A899F4A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0.07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0.04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1213BC1B" w14:textId="27B3D278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0.10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1A24243D" w14:textId="3DB62FDE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-0.70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78EF61F" w14:textId="6A381075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&lt;.001</w:t>
            </w:r>
          </w:p>
        </w:tc>
      </w:tr>
      <w:tr w:rsidR="00356AA9" w14:paraId="3B864FB7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0521CFB3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Personality functioning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7D29C9E9" w14:textId="3F2BE1DD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-0.12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0.07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4733DF36" w14:textId="389E1BFD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0.10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2C07064A" w14:textId="45C11F0A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-0.30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0.16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4891F66" w14:textId="367DF594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</w:tr>
      <w:tr w:rsidR="00356AA9" w14:paraId="4AB7DDE4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2AACFA25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Cognitive biases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49052F0A" w14:textId="753436BC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0.20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0.07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66EA650D" w14:textId="6BF91088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49339C6F" w14:textId="038BFB48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-0.41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C0519B3" w14:textId="05522B99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  <w:tr w:rsidR="00356AA9" w14:paraId="2A78E1B3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55BD37DB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Socio-occupational functioning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5714B96E" w14:textId="51CC5487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0.01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0.06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511A87E1" w14:textId="7368DEB9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0.90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01DB9131" w14:textId="54911B54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0.10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0.14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F5DBF18" w14:textId="67FBEF4F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0.49</w:t>
            </w:r>
          </w:p>
        </w:tc>
      </w:tr>
      <w:tr w:rsidR="00356AA9" w14:paraId="22CB88FE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7A7762AC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511147BC" w14:textId="66330580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-0.03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0.01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1EF9DCD4" w14:textId="1B96A50A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&lt;.001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72996936" w14:textId="37008DA1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-0.01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2661F4D" w14:textId="382AAA5E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</w:tr>
      <w:tr w:rsidR="00356AA9" w14:paraId="12877BC6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75533EB5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15998CB5" w14:textId="25AF84E4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0.32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0.16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3EB7C569" w14:textId="75DA8246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2B1D15D4" w14:textId="303AC431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-0.38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0.29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5DB20D6" w14:textId="2E5206D9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0.19</w:t>
            </w:r>
          </w:p>
        </w:tc>
      </w:tr>
      <w:tr w:rsidR="00356AA9" w14:paraId="715FF99C" w14:textId="77777777" w:rsidTr="003454F4">
        <w:trPr>
          <w:trHeight w:val="318"/>
        </w:trPr>
        <w:tc>
          <w:tcPr>
            <w:tcW w:w="2263" w:type="dxa"/>
            <w:tcBorders>
              <w:left w:val="nil"/>
            </w:tcBorders>
            <w:vAlign w:val="center"/>
          </w:tcPr>
          <w:p w14:paraId="72A42016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Education level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1D6FDEEF" w14:textId="4169C427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0.10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67C842E0" w14:textId="493F0573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0.86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08BA733B" w14:textId="6EB4541F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0.46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0.33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3E34877" w14:textId="1B913753" w:rsidR="00356AA9" w:rsidRDefault="00D075CF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</w:tr>
    </w:tbl>
    <w:p w14:paraId="464F14E7" w14:textId="77777777" w:rsidR="00687CE5" w:rsidRPr="00677570" w:rsidRDefault="00687CE5" w:rsidP="00687CE5">
      <w:pPr>
        <w:spacing w:before="0" w:after="0" w:line="240" w:lineRule="auto"/>
        <w:rPr>
          <w:rFonts w:eastAsia="Calibri" w:cs="Times New Roman"/>
          <w:i/>
          <w:sz w:val="20"/>
          <w:szCs w:val="20"/>
          <w:lang w:val="en-GB"/>
        </w:rPr>
      </w:pPr>
    </w:p>
    <w:p w14:paraId="62E1A953" w14:textId="5D577688" w:rsidR="00687CE5" w:rsidRDefault="00687CE5" w:rsidP="00687CE5">
      <w:pPr>
        <w:spacing w:before="0" w:after="0" w:line="240" w:lineRule="auto"/>
        <w:ind w:left="142" w:hanging="142"/>
        <w:rPr>
          <w:rFonts w:eastAsia="Calibri" w:cs="Times New Roman"/>
          <w:sz w:val="18"/>
          <w:szCs w:val="18"/>
          <w:lang w:val="en-US"/>
        </w:rPr>
      </w:pPr>
      <w:r w:rsidRPr="00326CB2">
        <w:rPr>
          <w:rFonts w:eastAsia="Calibri" w:cs="Times New Roman"/>
          <w:i/>
          <w:sz w:val="18"/>
          <w:szCs w:val="18"/>
          <w:lang w:val="en-GB"/>
        </w:rPr>
        <w:t>Note:</w:t>
      </w:r>
      <w:r w:rsidRPr="00326CB2">
        <w:rPr>
          <w:rFonts w:eastAsia="Calibri" w:cs="Times New Roman"/>
          <w:sz w:val="18"/>
          <w:szCs w:val="18"/>
          <w:lang w:val="en-GB"/>
        </w:rPr>
        <w:t xml:space="preserve"> CHR-P: clinical high-risk of psychosis; </w:t>
      </w:r>
      <w:r>
        <w:rPr>
          <w:rFonts w:eastAsia="Calibri" w:cs="Times New Roman"/>
          <w:sz w:val="18"/>
          <w:szCs w:val="18"/>
          <w:lang w:val="en-GB"/>
        </w:rPr>
        <w:t xml:space="preserve">sd: standard deviation. </w:t>
      </w:r>
      <w:r w:rsidR="002077ED">
        <w:rPr>
          <w:rFonts w:eastAsia="Calibri" w:cs="Times New Roman"/>
          <w:sz w:val="18"/>
          <w:szCs w:val="18"/>
          <w:lang w:val="en-GB"/>
        </w:rPr>
        <w:br/>
      </w:r>
      <w:r w:rsidR="002077ED">
        <w:rPr>
          <w:rFonts w:eastAsia="Calibri" w:cs="Times New Roman"/>
          <w:sz w:val="18"/>
          <w:szCs w:val="18"/>
          <w:lang w:val="en-US"/>
        </w:rPr>
        <w:t xml:space="preserve">The β coefficients refer to the association between the predictor/covariate value and the outcome value (i.e., severity); thus, negative coefficients indicate lower outcome values when predictor/covariate values are higher, while positive coefficients indicate higher outcome values when predictor/covariate values are higher. </w:t>
      </w:r>
      <w:r w:rsidR="002077ED">
        <w:rPr>
          <w:rFonts w:eastAsia="Calibri" w:cs="Times New Roman"/>
          <w:sz w:val="18"/>
          <w:szCs w:val="18"/>
          <w:lang w:val="en-GB"/>
        </w:rPr>
        <w:t>The</w:t>
      </w:r>
      <w:r>
        <w:rPr>
          <w:rFonts w:eastAsia="Calibri" w:cs="Times New Roman"/>
          <w:sz w:val="18"/>
          <w:szCs w:val="18"/>
          <w:lang w:val="en-GB"/>
        </w:rPr>
        <w:t xml:space="preserve"> </w:t>
      </w:r>
      <w:r w:rsidRPr="00687CE5">
        <w:rPr>
          <w:rFonts w:eastAsia="Calibri" w:cs="Times New Roman"/>
          <w:sz w:val="18"/>
          <w:szCs w:val="18"/>
          <w:lang w:val="fr-CH"/>
        </w:rPr>
        <w:t>γ</w:t>
      </w:r>
      <w:r w:rsidRPr="003454F4">
        <w:rPr>
          <w:rFonts w:eastAsia="Calibri" w:cs="Times New Roman"/>
          <w:sz w:val="18"/>
          <w:szCs w:val="18"/>
          <w:lang w:val="en-US"/>
        </w:rPr>
        <w:t xml:space="preserve"> </w:t>
      </w:r>
      <w:r>
        <w:rPr>
          <w:rFonts w:eastAsia="Calibri" w:cs="Times New Roman"/>
          <w:sz w:val="18"/>
          <w:szCs w:val="18"/>
          <w:lang w:val="en-US"/>
        </w:rPr>
        <w:t xml:space="preserve">coefficients refer to the </w:t>
      </w:r>
      <w:r w:rsidR="002077ED">
        <w:rPr>
          <w:rFonts w:eastAsia="Calibri" w:cs="Times New Roman"/>
          <w:sz w:val="18"/>
          <w:szCs w:val="18"/>
          <w:lang w:val="en-US"/>
        </w:rPr>
        <w:t xml:space="preserve">association </w:t>
      </w:r>
      <w:r>
        <w:rPr>
          <w:rFonts w:eastAsia="Calibri" w:cs="Times New Roman"/>
          <w:sz w:val="18"/>
          <w:szCs w:val="18"/>
          <w:lang w:val="en-US"/>
        </w:rPr>
        <w:t>between the predictor</w:t>
      </w:r>
      <w:r w:rsidR="002077ED">
        <w:rPr>
          <w:rFonts w:eastAsia="Calibri" w:cs="Times New Roman"/>
          <w:sz w:val="18"/>
          <w:szCs w:val="18"/>
          <w:lang w:val="en-US"/>
        </w:rPr>
        <w:t xml:space="preserve">/covariate </w:t>
      </w:r>
      <w:r>
        <w:rPr>
          <w:rFonts w:eastAsia="Calibri" w:cs="Times New Roman"/>
          <w:sz w:val="18"/>
          <w:szCs w:val="18"/>
          <w:lang w:val="en-US"/>
        </w:rPr>
        <w:t>value and the likelihood of the outcome value being zero</w:t>
      </w:r>
      <w:r w:rsidR="002077ED">
        <w:rPr>
          <w:rFonts w:eastAsia="Calibri" w:cs="Times New Roman"/>
          <w:sz w:val="18"/>
          <w:szCs w:val="18"/>
          <w:lang w:val="en-US"/>
        </w:rPr>
        <w:t>;</w:t>
      </w:r>
      <w:r>
        <w:rPr>
          <w:rFonts w:eastAsia="Calibri" w:cs="Times New Roman"/>
          <w:sz w:val="18"/>
          <w:szCs w:val="18"/>
          <w:lang w:val="en-US"/>
        </w:rPr>
        <w:t xml:space="preserve"> </w:t>
      </w:r>
      <w:r w:rsidR="002077ED">
        <w:rPr>
          <w:rFonts w:eastAsia="Calibri" w:cs="Times New Roman"/>
          <w:sz w:val="18"/>
          <w:szCs w:val="18"/>
          <w:lang w:val="en-US"/>
        </w:rPr>
        <w:t xml:space="preserve">thus, </w:t>
      </w:r>
      <w:r>
        <w:rPr>
          <w:rFonts w:eastAsia="Calibri" w:cs="Times New Roman"/>
          <w:sz w:val="18"/>
          <w:szCs w:val="18"/>
          <w:lang w:val="en-US"/>
        </w:rPr>
        <w:t>negative coefficients indicate</w:t>
      </w:r>
      <w:r w:rsidR="002077ED">
        <w:rPr>
          <w:rFonts w:eastAsia="Calibri" w:cs="Times New Roman"/>
          <w:sz w:val="18"/>
          <w:szCs w:val="18"/>
          <w:lang w:val="en-US"/>
        </w:rPr>
        <w:t xml:space="preserve"> lower likelihood of the outcome value being zero when predictor/covariate values are higher, while positive coefficients indicate higher likelihood of the outcome value being zero when predictor/covariate values are higher. </w:t>
      </w:r>
    </w:p>
    <w:p w14:paraId="7F6B1A97" w14:textId="4AE8153B" w:rsidR="00B90FEC" w:rsidRDefault="00B90FEC">
      <w:pPr>
        <w:spacing w:before="0" w:after="0" w:line="240" w:lineRule="auto"/>
        <w:rPr>
          <w:rFonts w:eastAsia="Calibri" w:cs="Times New Roman"/>
          <w:i/>
          <w:sz w:val="18"/>
          <w:szCs w:val="18"/>
          <w:lang w:val="en-GB"/>
        </w:rPr>
      </w:pPr>
      <w:r>
        <w:rPr>
          <w:rFonts w:eastAsia="Calibri" w:cs="Times New Roman"/>
          <w:i/>
          <w:sz w:val="18"/>
          <w:szCs w:val="18"/>
          <w:lang w:val="en-GB"/>
        </w:rPr>
        <w:br w:type="page"/>
      </w:r>
    </w:p>
    <w:p w14:paraId="718B5084" w14:textId="2E50AAE5" w:rsidR="00651541" w:rsidRPr="003454F4" w:rsidRDefault="0082109D" w:rsidP="00DC391C">
      <w:pPr>
        <w:pStyle w:val="berschrift2"/>
        <w:rPr>
          <w:rFonts w:eastAsia="Calibri"/>
          <w:lang w:val="en-US"/>
        </w:rPr>
      </w:pPr>
      <w:bookmarkStart w:id="9" w:name="_Toc182937928"/>
      <w:r w:rsidRPr="003454F4">
        <w:rPr>
          <w:rFonts w:eastAsia="Calibri"/>
          <w:lang w:val="en-US"/>
        </w:rPr>
        <w:lastRenderedPageBreak/>
        <w:t>eTable</w:t>
      </w:r>
      <w:r w:rsidR="00651541" w:rsidRPr="003454F4">
        <w:rPr>
          <w:rFonts w:eastAsia="Calibri"/>
          <w:lang w:val="en-US"/>
        </w:rPr>
        <w:t xml:space="preserve"> 5</w:t>
      </w:r>
      <w:r w:rsidR="00651541" w:rsidRPr="003F6C45">
        <w:rPr>
          <w:rFonts w:eastAsia="Calibri"/>
          <w:i/>
          <w:iCs/>
          <w:lang w:val="en-US"/>
        </w:rPr>
        <w:t xml:space="preserve">: </w:t>
      </w:r>
      <w:r w:rsidR="00651541" w:rsidRPr="003F6C45">
        <w:rPr>
          <w:rFonts w:eastAsia="Calibri"/>
          <w:lang w:val="en-US"/>
        </w:rPr>
        <w:t>per-CHR-P</w:t>
      </w:r>
      <w:r w:rsidR="00620259">
        <w:rPr>
          <w:rFonts w:eastAsia="Calibri"/>
          <w:lang w:val="en-US"/>
        </w:rPr>
        <w:t>-symptoms</w:t>
      </w:r>
      <w:r w:rsidR="00651541" w:rsidRPr="003F6C45">
        <w:rPr>
          <w:rFonts w:eastAsia="Calibri"/>
          <w:lang w:val="en-US"/>
        </w:rPr>
        <w:t xml:space="preserve"> ZIP model, </w:t>
      </w:r>
      <w:r w:rsidR="003F6C45" w:rsidRPr="00CD55CA">
        <w:rPr>
          <w:rFonts w:eastAsia="Calibri"/>
          <w:lang w:val="en-US"/>
        </w:rPr>
        <w:t>includi</w:t>
      </w:r>
      <w:r w:rsidR="003F6C45">
        <w:rPr>
          <w:rFonts w:eastAsia="Calibri"/>
          <w:lang w:val="en-US"/>
        </w:rPr>
        <w:t>ng non-significant predictors</w:t>
      </w:r>
      <w:bookmarkEnd w:id="9"/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139"/>
        <w:gridCol w:w="761"/>
        <w:gridCol w:w="1224"/>
        <w:gridCol w:w="992"/>
      </w:tblGrid>
      <w:tr w:rsidR="00A146D7" w:rsidRPr="00CD55CA" w14:paraId="2A66AEF1" w14:textId="77777777" w:rsidTr="003454F4"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E1EB084" w14:textId="32248FAC" w:rsidR="00A146D7" w:rsidRPr="00CD55CA" w:rsidRDefault="0082109D" w:rsidP="003454F4">
            <w:pPr>
              <w:spacing w:before="0" w:after="0" w:line="240" w:lineRule="auto"/>
              <w:rPr>
                <w:rFonts w:cs="Times New Roman"/>
                <w:b/>
                <w:bCs/>
                <w:lang w:val="en-GB"/>
              </w:rPr>
            </w:pPr>
            <w:r w:rsidRPr="003454F4">
              <w:rPr>
                <w:rFonts w:cs="Times New Roman"/>
                <w:b/>
                <w:bCs/>
                <w:lang w:val="fr-CH"/>
              </w:rPr>
              <w:t>eTable</w:t>
            </w:r>
            <w:r w:rsidR="00A146D7" w:rsidRPr="003454F4">
              <w:rPr>
                <w:rFonts w:cs="Times New Roman"/>
                <w:b/>
                <w:bCs/>
                <w:lang w:val="fr-CH"/>
              </w:rPr>
              <w:t xml:space="preserve"> 5</w:t>
            </w:r>
            <w:r w:rsidR="00A146D7" w:rsidRPr="00CD55CA">
              <w:rPr>
                <w:rFonts w:cs="Times New Roman"/>
                <w:b/>
                <w:bCs/>
                <w:i/>
                <w:iCs/>
                <w:lang w:val="fr-CH"/>
              </w:rPr>
              <w:t xml:space="preserve">  </w:t>
            </w:r>
            <w:r w:rsidR="00A146D7" w:rsidRPr="00CD55CA">
              <w:rPr>
                <w:rFonts w:cs="Times New Roman"/>
                <w:lang w:val="fr-CH"/>
              </w:rPr>
              <w:t>Poisson regression (</w:t>
            </w:r>
            <w:r w:rsidR="00A146D7" w:rsidRPr="003F6C45">
              <w:rPr>
                <w:rFonts w:cs="Times New Roman"/>
                <w:lang w:val="en-GB"/>
              </w:rPr>
              <w:t>β</w:t>
            </w:r>
            <w:r w:rsidR="00A146D7" w:rsidRPr="00CD55CA">
              <w:rPr>
                <w:rFonts w:cs="Times New Roman"/>
                <w:lang w:val="fr-CH"/>
              </w:rPr>
              <w:t>) a</w:t>
            </w:r>
            <w:r w:rsidR="00A146D7">
              <w:rPr>
                <w:rFonts w:cs="Times New Roman"/>
                <w:lang w:val="fr-CH"/>
              </w:rPr>
              <w:t>nd logistic regression (γ) coefficients</w:t>
            </w:r>
          </w:p>
        </w:tc>
      </w:tr>
      <w:tr w:rsidR="00356AA9" w:rsidRPr="00CD55CA" w14:paraId="2B15948F" w14:textId="77777777" w:rsidTr="003454F4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3E221" w14:textId="77777777" w:rsidR="00356AA9" w:rsidRPr="00CD55CA" w:rsidRDefault="00356AA9" w:rsidP="00CD55CA">
            <w:pPr>
              <w:spacing w:before="0" w:after="0" w:line="240" w:lineRule="auto"/>
              <w:rPr>
                <w:rFonts w:cs="Times New Roman"/>
                <w:b/>
                <w:bCs/>
                <w:lang w:val="en-GB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826F8DC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rFonts w:cs="Times New Roman"/>
                <w:b/>
                <w:bCs/>
                <w:lang w:val="en-GB"/>
              </w:rPr>
            </w:pPr>
            <w:r w:rsidRPr="00CD55CA">
              <w:rPr>
                <w:rFonts w:cs="Times New Roman"/>
                <w:b/>
                <w:bCs/>
                <w:lang w:val="en-GB"/>
              </w:rPr>
              <w:t>Count model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5E6D7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rFonts w:cs="Times New Roman"/>
                <w:b/>
                <w:bCs/>
                <w:lang w:val="en-GB"/>
              </w:rPr>
            </w:pPr>
            <w:r w:rsidRPr="00CD55CA">
              <w:rPr>
                <w:rFonts w:cs="Times New Roman"/>
                <w:b/>
                <w:bCs/>
                <w:lang w:val="en-GB"/>
              </w:rPr>
              <w:t>Zero-inflated model</w:t>
            </w:r>
          </w:p>
        </w:tc>
      </w:tr>
      <w:tr w:rsidR="00356AA9" w14:paraId="52987F9A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75F0EC3E" w14:textId="77777777" w:rsidR="00356AA9" w:rsidRPr="00CD55CA" w:rsidRDefault="00356AA9" w:rsidP="00CD55CA">
            <w:pPr>
              <w:spacing w:before="0" w:after="0" w:line="240" w:lineRule="auto"/>
              <w:rPr>
                <w:b/>
                <w:bCs/>
                <w:lang w:val="en-US"/>
              </w:rPr>
            </w:pPr>
            <w:r w:rsidRPr="00CD55CA">
              <w:rPr>
                <w:b/>
                <w:bCs/>
                <w:lang w:val="en-US"/>
              </w:rPr>
              <w:t>Predictor/covariate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36A3EC80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D55CA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β±sd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49B4CC95" w14:textId="3D459312" w:rsidR="00356AA9" w:rsidRPr="00CD55CA" w:rsidRDefault="00554E18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p</w:t>
            </w:r>
          </w:p>
        </w:tc>
        <w:tc>
          <w:tcPr>
            <w:tcW w:w="1224" w:type="dxa"/>
            <w:tcBorders>
              <w:bottom w:val="single" w:sz="4" w:space="0" w:color="auto"/>
              <w:right w:val="nil"/>
            </w:tcBorders>
            <w:vAlign w:val="center"/>
          </w:tcPr>
          <w:p w14:paraId="3819410D" w14:textId="7421D74D" w:rsidR="00356AA9" w:rsidRPr="00CD55CA" w:rsidRDefault="00CE0E81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γ</w:t>
            </w:r>
            <w:r w:rsidR="00356AA9" w:rsidRPr="00CD55CA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±sd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BE17028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D55CA">
              <w:rPr>
                <w:b/>
                <w:bCs/>
                <w:i/>
                <w:iCs/>
                <w:lang w:val="en-US"/>
              </w:rPr>
              <w:t>p</w:t>
            </w:r>
          </w:p>
        </w:tc>
      </w:tr>
      <w:tr w:rsidR="00356AA9" w14:paraId="66AE0136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3F642551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Psychopathology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7FF85D41" w14:textId="7DDBC703" w:rsidR="00356AA9" w:rsidRDefault="00A146D7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-0.03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0.06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761E75BB" w14:textId="5E3E59F5" w:rsidR="00356AA9" w:rsidRDefault="00A146D7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0.63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14:paraId="09976F2A" w14:textId="26E30E2C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-0.76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19044D9" w14:textId="3E7CDDD1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&lt;.001</w:t>
            </w:r>
          </w:p>
        </w:tc>
      </w:tr>
      <w:tr w:rsidR="00356AA9" w14:paraId="5F77B70D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3C71604A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Personality functioning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6487D165" w14:textId="00CD5A86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-0.03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0.10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4978F9B7" w14:textId="5FD46B5E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0.80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14:paraId="4110BC25" w14:textId="0B00A9CC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0.05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A0EA90A" w14:textId="542B3EE8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</w:tr>
      <w:tr w:rsidR="00356AA9" w14:paraId="111DA2C6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0EB6666F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Cognitive biases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06847BB5" w14:textId="4AD0C020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-0.03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0.10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238A77E4" w14:textId="7CDEEC73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0.78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14:paraId="122634F5" w14:textId="5511B1EB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-0.52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ECA4749" w14:textId="49179811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  <w:tr w:rsidR="00356AA9" w14:paraId="47A62F45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38FA44F2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Socio-occupational functioning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7433C889" w14:textId="1A6C7C9E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0.01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0.09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01A11AB2" w14:textId="29A3A82E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0.93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14:paraId="1C89D9EF" w14:textId="51C8B526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-0.06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F7A734C" w14:textId="56BC4B4D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0.73</w:t>
            </w:r>
          </w:p>
        </w:tc>
      </w:tr>
      <w:tr w:rsidR="00356AA9" w14:paraId="33D2441C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4D7047A7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6779A67C" w14:textId="32847653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-0.02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0.01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40F4D490" w14:textId="5E4675E6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14:paraId="0B8B7946" w14:textId="43A2EC20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-0.01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0.02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0B8278F" w14:textId="5EF57333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0.71</w:t>
            </w:r>
          </w:p>
        </w:tc>
      </w:tr>
      <w:tr w:rsidR="00356AA9" w14:paraId="458670F3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248BB1A1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1E2A2919" w14:textId="38442C8C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0.40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0.23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5277575F" w14:textId="792A5070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0.08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14:paraId="475FAAF2" w14:textId="5D88C69E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-0.09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0.33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C2DD663" w14:textId="5A42FC72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0.78</w:t>
            </w:r>
          </w:p>
        </w:tc>
      </w:tr>
      <w:tr w:rsidR="00356AA9" w14:paraId="149B87BA" w14:textId="77777777" w:rsidTr="003454F4">
        <w:trPr>
          <w:trHeight w:val="318"/>
        </w:trPr>
        <w:tc>
          <w:tcPr>
            <w:tcW w:w="2263" w:type="dxa"/>
            <w:tcBorders>
              <w:left w:val="nil"/>
            </w:tcBorders>
            <w:vAlign w:val="center"/>
          </w:tcPr>
          <w:p w14:paraId="51A80413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Education level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35B13906" w14:textId="0FE4C741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-0.08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0.18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6AE57923" w14:textId="4E4A32BE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0.67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14:paraId="00652B61" w14:textId="69DDE35A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0.06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0.30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43DDEDC" w14:textId="78ABE855" w:rsidR="00356AA9" w:rsidRDefault="00554E18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</w:tr>
    </w:tbl>
    <w:p w14:paraId="4B8AC0CB" w14:textId="77777777" w:rsidR="00B90FEC" w:rsidRDefault="00B90FEC" w:rsidP="00B90FEC">
      <w:pPr>
        <w:spacing w:before="0" w:after="0" w:line="240" w:lineRule="auto"/>
        <w:ind w:left="142" w:hanging="142"/>
        <w:rPr>
          <w:rFonts w:eastAsia="Calibri" w:cs="Times New Roman"/>
          <w:i/>
          <w:sz w:val="18"/>
          <w:szCs w:val="18"/>
          <w:lang w:val="en-GB"/>
        </w:rPr>
      </w:pPr>
    </w:p>
    <w:p w14:paraId="0F6E459D" w14:textId="39BABA52" w:rsidR="00B90FEC" w:rsidRPr="003454F4" w:rsidRDefault="00B90FEC">
      <w:pPr>
        <w:spacing w:before="0" w:after="0" w:line="240" w:lineRule="auto"/>
        <w:ind w:left="142" w:hanging="142"/>
        <w:rPr>
          <w:rFonts w:eastAsia="Calibri" w:cs="Times New Roman"/>
          <w:sz w:val="18"/>
          <w:szCs w:val="18"/>
          <w:lang w:val="en-US"/>
        </w:rPr>
      </w:pPr>
      <w:r w:rsidRPr="00326CB2">
        <w:rPr>
          <w:rFonts w:eastAsia="Calibri" w:cs="Times New Roman"/>
          <w:i/>
          <w:sz w:val="18"/>
          <w:szCs w:val="18"/>
          <w:lang w:val="en-GB"/>
        </w:rPr>
        <w:t>Note:</w:t>
      </w:r>
      <w:r w:rsidRPr="00326CB2">
        <w:rPr>
          <w:rFonts w:eastAsia="Calibri" w:cs="Times New Roman"/>
          <w:sz w:val="18"/>
          <w:szCs w:val="18"/>
          <w:lang w:val="en-GB"/>
        </w:rPr>
        <w:t xml:space="preserve"> per-CHR-P: perceptive CHR-P;</w:t>
      </w:r>
      <w:r>
        <w:rPr>
          <w:rFonts w:eastAsia="Calibri" w:cs="Times New Roman"/>
          <w:sz w:val="18"/>
          <w:szCs w:val="18"/>
          <w:lang w:val="en-GB"/>
        </w:rPr>
        <w:t xml:space="preserve"> sd: standard deviation. </w:t>
      </w:r>
      <w:r>
        <w:rPr>
          <w:rFonts w:eastAsia="Calibri" w:cs="Times New Roman"/>
          <w:sz w:val="18"/>
          <w:szCs w:val="18"/>
          <w:lang w:val="en-GB"/>
        </w:rPr>
        <w:br/>
      </w:r>
      <w:r>
        <w:rPr>
          <w:rFonts w:eastAsia="Calibri" w:cs="Times New Roman"/>
          <w:sz w:val="18"/>
          <w:szCs w:val="18"/>
          <w:lang w:val="en-US"/>
        </w:rPr>
        <w:t xml:space="preserve">The β coefficients refer to the association between the predictor/covariate value and the outcome value (i.e., severity); thus, negative coefficients indicate lower outcome values when predictor/covariate values are higher, while positive coefficients indicate higher outcome values when predictor/covariate values are higher. </w:t>
      </w:r>
      <w:r>
        <w:rPr>
          <w:rFonts w:eastAsia="Calibri" w:cs="Times New Roman"/>
          <w:sz w:val="18"/>
          <w:szCs w:val="18"/>
          <w:lang w:val="en-GB"/>
        </w:rPr>
        <w:t xml:space="preserve">The </w:t>
      </w:r>
      <w:r w:rsidRPr="00687CE5">
        <w:rPr>
          <w:rFonts w:eastAsia="Calibri" w:cs="Times New Roman"/>
          <w:sz w:val="18"/>
          <w:szCs w:val="18"/>
          <w:lang w:val="fr-CH"/>
        </w:rPr>
        <w:t>γ</w:t>
      </w:r>
      <w:r w:rsidRPr="00CD55CA">
        <w:rPr>
          <w:rFonts w:eastAsia="Calibri" w:cs="Times New Roman"/>
          <w:sz w:val="18"/>
          <w:szCs w:val="18"/>
          <w:lang w:val="en-US"/>
        </w:rPr>
        <w:t xml:space="preserve"> </w:t>
      </w:r>
      <w:r>
        <w:rPr>
          <w:rFonts w:eastAsia="Calibri" w:cs="Times New Roman"/>
          <w:sz w:val="18"/>
          <w:szCs w:val="18"/>
          <w:lang w:val="en-US"/>
        </w:rPr>
        <w:t>coefficients refer to the association between the predictor/covariate value and the likelihood of the outcome value being zero; thus, negative coefficients indicate lower likelihood of the outcome value being zero when predictor/covariate values are higher, while positive coefficients indicate higher likelihood of the outcome value being zero when predictor/covariate values are higher.</w:t>
      </w:r>
    </w:p>
    <w:p w14:paraId="61B5823C" w14:textId="4449F228" w:rsidR="00356AA9" w:rsidRDefault="0082109D" w:rsidP="00DC391C">
      <w:pPr>
        <w:pStyle w:val="berschrift2"/>
        <w:rPr>
          <w:rFonts w:eastAsia="Calibri"/>
          <w:lang w:val="en-US"/>
        </w:rPr>
      </w:pPr>
      <w:bookmarkStart w:id="10" w:name="_Toc182937929"/>
      <w:r w:rsidRPr="003454F4">
        <w:rPr>
          <w:rFonts w:eastAsia="Calibri"/>
          <w:lang w:val="en-US"/>
        </w:rPr>
        <w:t>eTable</w:t>
      </w:r>
      <w:r w:rsidR="00651541" w:rsidRPr="003454F4">
        <w:rPr>
          <w:rFonts w:eastAsia="Calibri"/>
          <w:lang w:val="en-US"/>
        </w:rPr>
        <w:t xml:space="preserve"> 6</w:t>
      </w:r>
      <w:r w:rsidR="00651541" w:rsidRPr="003454F4">
        <w:rPr>
          <w:rFonts w:eastAsia="Calibri"/>
          <w:i/>
          <w:iCs/>
          <w:lang w:val="en-US"/>
        </w:rPr>
        <w:t xml:space="preserve">: </w:t>
      </w:r>
      <w:r w:rsidR="00651541" w:rsidRPr="003454F4">
        <w:rPr>
          <w:rFonts w:eastAsia="Calibri"/>
          <w:lang w:val="en-US"/>
        </w:rPr>
        <w:t>nonper-CHR-P</w:t>
      </w:r>
      <w:r w:rsidR="00620259">
        <w:rPr>
          <w:rFonts w:eastAsia="Calibri"/>
          <w:lang w:val="en-US"/>
        </w:rPr>
        <w:t>-symptoms</w:t>
      </w:r>
      <w:r w:rsidR="00651541" w:rsidRPr="003454F4">
        <w:rPr>
          <w:rFonts w:eastAsia="Calibri"/>
          <w:lang w:val="en-US"/>
        </w:rPr>
        <w:t xml:space="preserve"> ZIP model, </w:t>
      </w:r>
      <w:r w:rsidR="003F6C45" w:rsidRPr="00CD55CA">
        <w:rPr>
          <w:rFonts w:eastAsia="Calibri"/>
          <w:lang w:val="en-US"/>
        </w:rPr>
        <w:t>includi</w:t>
      </w:r>
      <w:r w:rsidR="003F6C45">
        <w:rPr>
          <w:rFonts w:eastAsia="Calibri"/>
          <w:lang w:val="en-US"/>
        </w:rPr>
        <w:t>ng non-significant predictors</w:t>
      </w:r>
      <w:bookmarkEnd w:id="10"/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139"/>
        <w:gridCol w:w="761"/>
        <w:gridCol w:w="1366"/>
        <w:gridCol w:w="850"/>
      </w:tblGrid>
      <w:tr w:rsidR="00496A20" w:rsidRPr="00CD55CA" w14:paraId="732FDD64" w14:textId="77777777" w:rsidTr="003454F4"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7CEA8" w14:textId="10C4F6FB" w:rsidR="00496A20" w:rsidRPr="00CD55CA" w:rsidRDefault="0082109D" w:rsidP="003454F4">
            <w:pPr>
              <w:spacing w:before="0" w:after="0" w:line="240" w:lineRule="auto"/>
              <w:rPr>
                <w:rFonts w:cs="Times New Roman"/>
                <w:b/>
                <w:bCs/>
                <w:lang w:val="en-GB"/>
              </w:rPr>
            </w:pPr>
            <w:r w:rsidRPr="003454F4">
              <w:rPr>
                <w:rFonts w:cs="Times New Roman"/>
                <w:b/>
                <w:bCs/>
                <w:lang w:val="en-GB"/>
              </w:rPr>
              <w:t>eTable</w:t>
            </w:r>
            <w:r w:rsidR="00496A20" w:rsidRPr="0089316B">
              <w:rPr>
                <w:rFonts w:cs="Times New Roman"/>
                <w:b/>
                <w:bCs/>
                <w:lang w:val="en-GB"/>
              </w:rPr>
              <w:t xml:space="preserve"> 6</w:t>
            </w:r>
            <w:r w:rsidR="00496A20" w:rsidRPr="00496A20">
              <w:rPr>
                <w:rFonts w:cs="Times New Roman"/>
                <w:b/>
                <w:bCs/>
                <w:lang w:val="en-GB"/>
              </w:rPr>
              <w:t xml:space="preserve">  </w:t>
            </w:r>
            <w:r w:rsidR="00496A20" w:rsidRPr="003454F4">
              <w:rPr>
                <w:rFonts w:cs="Times New Roman"/>
                <w:lang w:val="en-GB"/>
              </w:rPr>
              <w:t>Poisson regression (β) and logistic regression (γ) coefficients</w:t>
            </w:r>
          </w:p>
        </w:tc>
      </w:tr>
      <w:tr w:rsidR="00356AA9" w:rsidRPr="00CD55CA" w14:paraId="5B7AF148" w14:textId="77777777" w:rsidTr="003454F4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D154A" w14:textId="77777777" w:rsidR="00356AA9" w:rsidRPr="00CD55CA" w:rsidRDefault="00356AA9" w:rsidP="00CD55CA">
            <w:pPr>
              <w:spacing w:before="0" w:after="0" w:line="240" w:lineRule="auto"/>
              <w:rPr>
                <w:rFonts w:cs="Times New Roman"/>
                <w:b/>
                <w:bCs/>
                <w:lang w:val="en-GB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CB6AAF9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rFonts w:cs="Times New Roman"/>
                <w:b/>
                <w:bCs/>
                <w:lang w:val="en-GB"/>
              </w:rPr>
            </w:pPr>
            <w:r w:rsidRPr="00CD55CA">
              <w:rPr>
                <w:rFonts w:cs="Times New Roman"/>
                <w:b/>
                <w:bCs/>
                <w:lang w:val="en-GB"/>
              </w:rPr>
              <w:t>Count model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C9EC4D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rFonts w:cs="Times New Roman"/>
                <w:b/>
                <w:bCs/>
                <w:lang w:val="en-GB"/>
              </w:rPr>
            </w:pPr>
            <w:r w:rsidRPr="00CD55CA">
              <w:rPr>
                <w:rFonts w:cs="Times New Roman"/>
                <w:b/>
                <w:bCs/>
                <w:lang w:val="en-GB"/>
              </w:rPr>
              <w:t>Zero-inflated model</w:t>
            </w:r>
          </w:p>
        </w:tc>
      </w:tr>
      <w:tr w:rsidR="00356AA9" w14:paraId="5A6C03A4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1687308C" w14:textId="77777777" w:rsidR="00356AA9" w:rsidRPr="00CD55CA" w:rsidRDefault="00356AA9" w:rsidP="00CD55CA">
            <w:pPr>
              <w:spacing w:before="0" w:after="0" w:line="240" w:lineRule="auto"/>
              <w:rPr>
                <w:b/>
                <w:bCs/>
                <w:lang w:val="en-US"/>
              </w:rPr>
            </w:pPr>
            <w:r w:rsidRPr="00CD55CA">
              <w:rPr>
                <w:b/>
                <w:bCs/>
                <w:lang w:val="en-US"/>
              </w:rPr>
              <w:t>Predictor/covariate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5B5E3915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D55CA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β±sd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48C0CCBF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D55CA">
              <w:rPr>
                <w:b/>
                <w:bCs/>
                <w:i/>
                <w:iCs/>
                <w:lang w:val="en-US"/>
              </w:rPr>
              <w:t>p</w:t>
            </w: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  <w:vAlign w:val="center"/>
          </w:tcPr>
          <w:p w14:paraId="277B875E" w14:textId="65FDE730" w:rsidR="00356AA9" w:rsidRPr="00CD55CA" w:rsidRDefault="00CE0E81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E0E81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γ</w:t>
            </w:r>
            <w:r w:rsidR="00356AA9" w:rsidRPr="00CD55CA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±sd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904DBAB" w14:textId="77777777" w:rsidR="00356AA9" w:rsidRPr="00CD55CA" w:rsidRDefault="00356AA9" w:rsidP="00CD55CA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D55CA">
              <w:rPr>
                <w:b/>
                <w:bCs/>
                <w:i/>
                <w:iCs/>
                <w:lang w:val="en-US"/>
              </w:rPr>
              <w:t>p</w:t>
            </w:r>
          </w:p>
        </w:tc>
      </w:tr>
      <w:tr w:rsidR="00356AA9" w14:paraId="49939E9A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7CD48038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Psychopathology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7F47D5C8" w14:textId="2FD92127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0.06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0.07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01E15A2A" w14:textId="75C0FA84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0.36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3D4C9E27" w14:textId="474A16F9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-0.76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0.28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F5C0E0B" w14:textId="1DEBC832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  <w:tr w:rsidR="00356AA9" w14:paraId="53EAC61B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3F385549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Personality functioning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6F2C951A" w14:textId="758E0929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-0.14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0.12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1C610082" w14:textId="68699565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0.26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505D2AA8" w14:textId="1FA4B38F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-0.64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0.26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13A480C" w14:textId="26A46C34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  <w:tr w:rsidR="00356AA9" w14:paraId="0054DAD4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70BEDA2A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Cognitive biases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64C46DB9" w14:textId="0F328616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0.43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0.11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5EB244C5" w14:textId="01E50E46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&lt;.001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78052F5A" w14:textId="07F68E39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-0.19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0.22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9F67E36" w14:textId="43272653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0.39</w:t>
            </w:r>
          </w:p>
        </w:tc>
      </w:tr>
      <w:tr w:rsidR="00356AA9" w14:paraId="44D5B56A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525B9835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Socio-occupational functioning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1EEB1501" w14:textId="5151246A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0.10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0.09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3B9190DE" w14:textId="54159E42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0.24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5A6F75C1" w14:textId="58E07CC8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0.61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0.31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105568B" w14:textId="73517A19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  <w:tr w:rsidR="00356AA9" w14:paraId="112182E3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559D6FB6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13D37402" w14:textId="35FDB51A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-0.02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0.01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321630DE" w14:textId="2B8C0738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185D7AB6" w14:textId="0C33A33D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5394539" w14:textId="71357C6E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</w:tr>
      <w:tr w:rsidR="00356AA9" w14:paraId="3DC2DE69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4DA6F683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194BD456" w14:textId="1107715B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0.31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0.30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0D1DAB6E" w14:textId="21571C27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0.30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464659AD" w14:textId="4B215157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-0.81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0.48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3EB1CF7" w14:textId="50B0E6BB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0.09</w:t>
            </w:r>
          </w:p>
        </w:tc>
      </w:tr>
      <w:tr w:rsidR="00356AA9" w14:paraId="111B8EBE" w14:textId="77777777" w:rsidTr="003454F4">
        <w:trPr>
          <w:trHeight w:val="318"/>
        </w:trPr>
        <w:tc>
          <w:tcPr>
            <w:tcW w:w="2263" w:type="dxa"/>
            <w:tcBorders>
              <w:left w:val="nil"/>
            </w:tcBorders>
            <w:vAlign w:val="center"/>
          </w:tcPr>
          <w:p w14:paraId="77DB4233" w14:textId="77777777" w:rsidR="00356AA9" w:rsidRDefault="00356AA9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Education level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3187997C" w14:textId="34898B19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-0.05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0.14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3A1806BC" w14:textId="4094A2F1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0.72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46C72839" w14:textId="1B1F3BEE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0.85</w:t>
            </w:r>
            <w:r w:rsidR="00356AA9" w:rsidRPr="002130FE">
              <w:rPr>
                <w:lang w:val="en-US"/>
              </w:rPr>
              <w:t>±</w:t>
            </w:r>
            <w:r>
              <w:rPr>
                <w:lang w:val="en-US"/>
              </w:rPr>
              <w:t>0.40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15EE8F3" w14:textId="20FFD7D4" w:rsidR="00356AA9" w:rsidRDefault="005B46C6" w:rsidP="00CD55CA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</w:tbl>
    <w:p w14:paraId="58E63DF5" w14:textId="426A6AC9" w:rsidR="00B90FEC" w:rsidRPr="00CD55CA" w:rsidRDefault="00B90FEC" w:rsidP="00B90FEC">
      <w:pPr>
        <w:spacing w:before="0" w:after="0" w:line="240" w:lineRule="auto"/>
        <w:ind w:left="142" w:hanging="142"/>
        <w:rPr>
          <w:rFonts w:eastAsia="Calibri" w:cs="Times New Roman"/>
          <w:sz w:val="18"/>
          <w:szCs w:val="18"/>
          <w:lang w:val="en-US"/>
        </w:rPr>
      </w:pPr>
      <w:r w:rsidRPr="003454F4">
        <w:rPr>
          <w:rFonts w:eastAsia="Calibri" w:cs="Times New Roman"/>
          <w:i/>
          <w:sz w:val="18"/>
          <w:szCs w:val="18"/>
          <w:lang w:val="fr-CH"/>
        </w:rPr>
        <w:t>Note:</w:t>
      </w:r>
      <w:r w:rsidRPr="003454F4">
        <w:rPr>
          <w:rFonts w:eastAsia="Calibri" w:cs="Times New Roman"/>
          <w:sz w:val="18"/>
          <w:szCs w:val="18"/>
          <w:lang w:val="fr-CH"/>
        </w:rPr>
        <w:t xml:space="preserve"> nonper-CHR-P: non-perceptive CHR-P; sd: standard deviation. </w:t>
      </w:r>
      <w:r w:rsidRPr="003454F4">
        <w:rPr>
          <w:rFonts w:eastAsia="Calibri" w:cs="Times New Roman"/>
          <w:sz w:val="18"/>
          <w:szCs w:val="18"/>
          <w:lang w:val="fr-CH"/>
        </w:rPr>
        <w:br/>
      </w:r>
      <w:r>
        <w:rPr>
          <w:rFonts w:eastAsia="Calibri" w:cs="Times New Roman"/>
          <w:sz w:val="18"/>
          <w:szCs w:val="18"/>
          <w:lang w:val="en-US"/>
        </w:rPr>
        <w:t xml:space="preserve">The β coefficients refer to the association between the predictor/covariate value and the outcome value (i.e., severity); thus, negative coefficients indicate lower outcome values when predictor/covariate values are higher, while positive coefficients indicate higher outcome values when predictor/covariate values are higher. </w:t>
      </w:r>
      <w:r>
        <w:rPr>
          <w:rFonts w:eastAsia="Calibri" w:cs="Times New Roman"/>
          <w:sz w:val="18"/>
          <w:szCs w:val="18"/>
          <w:lang w:val="en-GB"/>
        </w:rPr>
        <w:t xml:space="preserve">The </w:t>
      </w:r>
      <w:r w:rsidRPr="00687CE5">
        <w:rPr>
          <w:rFonts w:eastAsia="Calibri" w:cs="Times New Roman"/>
          <w:sz w:val="18"/>
          <w:szCs w:val="18"/>
          <w:lang w:val="fr-CH"/>
        </w:rPr>
        <w:t>γ</w:t>
      </w:r>
      <w:r w:rsidRPr="00CD55CA">
        <w:rPr>
          <w:rFonts w:eastAsia="Calibri" w:cs="Times New Roman"/>
          <w:sz w:val="18"/>
          <w:szCs w:val="18"/>
          <w:lang w:val="en-US"/>
        </w:rPr>
        <w:t xml:space="preserve"> </w:t>
      </w:r>
      <w:r>
        <w:rPr>
          <w:rFonts w:eastAsia="Calibri" w:cs="Times New Roman"/>
          <w:sz w:val="18"/>
          <w:szCs w:val="18"/>
          <w:lang w:val="en-US"/>
        </w:rPr>
        <w:t xml:space="preserve">coefficients refer to the association between the predictor/covariate value and the likelihood of the outcome value being zero; thus, negative coefficients </w:t>
      </w:r>
      <w:r>
        <w:rPr>
          <w:rFonts w:eastAsia="Calibri" w:cs="Times New Roman"/>
          <w:sz w:val="18"/>
          <w:szCs w:val="18"/>
          <w:lang w:val="en-US"/>
        </w:rPr>
        <w:lastRenderedPageBreak/>
        <w:t>indicate lower likelihood of the outcome value being zero when predictor/covariate values are higher, while positive coefficients indicate higher likelihood of the outcome value being zero when predictor/covariate values are higher.</w:t>
      </w:r>
    </w:p>
    <w:p w14:paraId="666FEC67" w14:textId="77777777" w:rsidR="00356AA9" w:rsidRPr="003454F4" w:rsidRDefault="00356AA9" w:rsidP="003454F4">
      <w:pPr>
        <w:rPr>
          <w:lang w:val="en-US"/>
        </w:rPr>
      </w:pPr>
    </w:p>
    <w:p w14:paraId="7BD05D27" w14:textId="5DF4A136" w:rsidR="00651541" w:rsidRPr="003454F4" w:rsidRDefault="0082109D" w:rsidP="00DC391C">
      <w:pPr>
        <w:pStyle w:val="berschrift2"/>
        <w:rPr>
          <w:rFonts w:eastAsia="Calibri"/>
          <w:lang w:val="en-US"/>
        </w:rPr>
      </w:pPr>
      <w:bookmarkStart w:id="11" w:name="_Toc182937930"/>
      <w:r w:rsidRPr="003454F4">
        <w:rPr>
          <w:rFonts w:eastAsia="Calibri"/>
          <w:lang w:val="en-US"/>
        </w:rPr>
        <w:t>eTable</w:t>
      </w:r>
      <w:r w:rsidR="00651541" w:rsidRPr="003454F4">
        <w:rPr>
          <w:rFonts w:eastAsia="Calibri"/>
          <w:lang w:val="en-US"/>
        </w:rPr>
        <w:t xml:space="preserve"> 7</w:t>
      </w:r>
      <w:r w:rsidR="00651541" w:rsidRPr="003454F4">
        <w:rPr>
          <w:rFonts w:eastAsia="Calibri"/>
          <w:i/>
          <w:iCs/>
          <w:lang w:val="en-US"/>
        </w:rPr>
        <w:t xml:space="preserve">: </w:t>
      </w:r>
      <w:r w:rsidR="00651541" w:rsidRPr="003454F4">
        <w:rPr>
          <w:rFonts w:eastAsia="Calibri"/>
          <w:lang w:val="en-US"/>
        </w:rPr>
        <w:t>nonper-CHR-P</w:t>
      </w:r>
      <w:r w:rsidR="00620259">
        <w:rPr>
          <w:rFonts w:eastAsia="Calibri"/>
          <w:lang w:val="en-US"/>
        </w:rPr>
        <w:t>-symptoms</w:t>
      </w:r>
      <w:r w:rsidR="00651541" w:rsidRPr="003454F4">
        <w:rPr>
          <w:rFonts w:eastAsia="Calibri"/>
          <w:lang w:val="en-US"/>
        </w:rPr>
        <w:t xml:space="preserve"> ZIP model</w:t>
      </w:r>
      <w:r w:rsidR="00A146D7">
        <w:rPr>
          <w:rFonts w:eastAsia="Calibri"/>
          <w:lang w:val="en-US"/>
        </w:rPr>
        <w:t>,</w:t>
      </w:r>
      <w:r w:rsidR="00651541" w:rsidRPr="003454F4">
        <w:rPr>
          <w:rFonts w:eastAsia="Calibri"/>
          <w:lang w:val="en-US"/>
        </w:rPr>
        <w:t xml:space="preserve"> including </w:t>
      </w:r>
      <w:r w:rsidR="00DC391C">
        <w:rPr>
          <w:rFonts w:eastAsia="Calibri"/>
          <w:lang w:val="en-US"/>
        </w:rPr>
        <w:t>maladaptive personality traits (</w:t>
      </w:r>
      <w:r w:rsidR="00651541">
        <w:rPr>
          <w:rFonts w:eastAsia="Calibri"/>
          <w:lang w:val="en-US"/>
        </w:rPr>
        <w:t>PID-5-sumscore</w:t>
      </w:r>
      <w:bookmarkEnd w:id="11"/>
      <w:r w:rsidR="00DC391C">
        <w:rPr>
          <w:rFonts w:eastAsia="Calibri"/>
          <w:lang w:val="en-US"/>
        </w:rPr>
        <w:t>)</w:t>
      </w: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139"/>
        <w:gridCol w:w="761"/>
        <w:gridCol w:w="1366"/>
        <w:gridCol w:w="850"/>
      </w:tblGrid>
      <w:tr w:rsidR="005B46C6" w:rsidRPr="00025F71" w14:paraId="107C56EC" w14:textId="77777777" w:rsidTr="003454F4"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51325" w14:textId="27DF0E6F" w:rsidR="005B46C6" w:rsidRPr="00025F71" w:rsidRDefault="0082109D" w:rsidP="003454F4">
            <w:pPr>
              <w:spacing w:before="0" w:after="0" w:line="240" w:lineRule="auto"/>
              <w:rPr>
                <w:rFonts w:cs="Times New Roman"/>
                <w:b/>
                <w:bCs/>
                <w:lang w:val="en-GB"/>
              </w:rPr>
            </w:pPr>
            <w:r w:rsidRPr="003454F4">
              <w:rPr>
                <w:rFonts w:cs="Times New Roman"/>
                <w:b/>
                <w:bCs/>
                <w:lang w:val="en-GB"/>
              </w:rPr>
              <w:t>eTable</w:t>
            </w:r>
            <w:r w:rsidR="005B46C6" w:rsidRPr="0089316B">
              <w:rPr>
                <w:rFonts w:cs="Times New Roman"/>
                <w:b/>
                <w:bCs/>
                <w:lang w:val="en-GB"/>
              </w:rPr>
              <w:t xml:space="preserve"> 7</w:t>
            </w:r>
            <w:r w:rsidR="005B46C6" w:rsidRPr="00496A20">
              <w:rPr>
                <w:rFonts w:cs="Times New Roman"/>
                <w:b/>
                <w:bCs/>
                <w:lang w:val="en-GB"/>
              </w:rPr>
              <w:t xml:space="preserve">  </w:t>
            </w:r>
            <w:r w:rsidR="005B46C6" w:rsidRPr="00CD55CA">
              <w:rPr>
                <w:rFonts w:cs="Times New Roman"/>
                <w:lang w:val="en-GB"/>
              </w:rPr>
              <w:t>Poisson regression (β) and logistic regression (γ) coefficients</w:t>
            </w:r>
          </w:p>
        </w:tc>
      </w:tr>
      <w:tr w:rsidR="00025F71" w:rsidRPr="00025F71" w14:paraId="3948A523" w14:textId="77777777" w:rsidTr="003454F4"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ADF4D" w14:textId="05F02AE8" w:rsidR="00025F71" w:rsidRPr="003454F4" w:rsidRDefault="00025F71" w:rsidP="003454F4">
            <w:pPr>
              <w:spacing w:before="0" w:after="0" w:line="240" w:lineRule="auto"/>
              <w:rPr>
                <w:rFonts w:cs="Times New Roman"/>
                <w:b/>
                <w:bCs/>
                <w:lang w:val="en-GB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F678B" w14:textId="74D3BF4A" w:rsidR="00025F71" w:rsidRPr="003454F4" w:rsidRDefault="00025F71" w:rsidP="003454F4">
            <w:pPr>
              <w:spacing w:before="0" w:after="0" w:line="240" w:lineRule="auto"/>
              <w:jc w:val="center"/>
              <w:rPr>
                <w:rFonts w:cs="Times New Roman"/>
                <w:b/>
                <w:bCs/>
                <w:lang w:val="en-GB"/>
              </w:rPr>
            </w:pPr>
            <w:r w:rsidRPr="003454F4">
              <w:rPr>
                <w:rFonts w:cs="Times New Roman"/>
                <w:b/>
                <w:bCs/>
                <w:lang w:val="en-GB"/>
              </w:rPr>
              <w:t>Count model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83205B" w14:textId="223E1FBC" w:rsidR="00025F71" w:rsidRPr="003454F4" w:rsidRDefault="00025F71" w:rsidP="003454F4">
            <w:pPr>
              <w:spacing w:before="0" w:after="0" w:line="240" w:lineRule="auto"/>
              <w:jc w:val="center"/>
              <w:rPr>
                <w:rFonts w:cs="Times New Roman"/>
                <w:b/>
                <w:bCs/>
                <w:lang w:val="en-GB"/>
              </w:rPr>
            </w:pPr>
            <w:r w:rsidRPr="003454F4">
              <w:rPr>
                <w:rFonts w:cs="Times New Roman"/>
                <w:b/>
                <w:bCs/>
                <w:lang w:val="en-GB"/>
              </w:rPr>
              <w:t>Zero-inflated model</w:t>
            </w:r>
          </w:p>
        </w:tc>
      </w:tr>
      <w:tr w:rsidR="00025F71" w14:paraId="2DDFE4D9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32F3FDA4" w14:textId="08B26DC5" w:rsidR="00025F71" w:rsidRPr="003454F4" w:rsidRDefault="00025F71" w:rsidP="003454F4">
            <w:pPr>
              <w:spacing w:before="0" w:after="0" w:line="240" w:lineRule="auto"/>
              <w:rPr>
                <w:b/>
                <w:bCs/>
                <w:lang w:val="en-US"/>
              </w:rPr>
            </w:pPr>
            <w:r w:rsidRPr="003454F4">
              <w:rPr>
                <w:b/>
                <w:bCs/>
                <w:lang w:val="en-US"/>
              </w:rPr>
              <w:t>Predictor/covariate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55565E49" w14:textId="15BF1758" w:rsidR="00025F71" w:rsidRPr="003454F4" w:rsidRDefault="00025F71" w:rsidP="003454F4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3454F4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β±sd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6D6BEAF6" w14:textId="5F55EB76" w:rsidR="00025F71" w:rsidRPr="003454F4" w:rsidRDefault="00025F71" w:rsidP="003454F4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3454F4">
              <w:rPr>
                <w:b/>
                <w:bCs/>
                <w:i/>
                <w:iCs/>
                <w:lang w:val="en-US"/>
              </w:rPr>
              <w:t>p</w:t>
            </w: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  <w:vAlign w:val="center"/>
          </w:tcPr>
          <w:p w14:paraId="0CDE6922" w14:textId="45A93573" w:rsidR="00025F71" w:rsidRPr="003454F4" w:rsidRDefault="00CE0E81" w:rsidP="003454F4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CE0E81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γ</w:t>
            </w:r>
            <w:r w:rsidR="00025F71" w:rsidRPr="003454F4">
              <w:rPr>
                <w:rFonts w:eastAsia="Times New Roman" w:cs="Times New Roman"/>
                <w:b/>
                <w:bCs/>
                <w:i/>
                <w:iCs/>
                <w:lang w:val="en-US" w:eastAsia="de-DE"/>
              </w:rPr>
              <w:t>±sd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B73FE8A" w14:textId="179324CD" w:rsidR="00025F71" w:rsidRPr="003454F4" w:rsidRDefault="00025F71" w:rsidP="003454F4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3454F4">
              <w:rPr>
                <w:b/>
                <w:bCs/>
                <w:i/>
                <w:iCs/>
                <w:lang w:val="en-US"/>
              </w:rPr>
              <w:t>p</w:t>
            </w:r>
          </w:p>
        </w:tc>
      </w:tr>
      <w:tr w:rsidR="00025F71" w14:paraId="02BBFF9C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015B2C4E" w14:textId="24D9B68E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Psychopathology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21BF6D27" w14:textId="64E188D0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 w:rsidRPr="00FB652C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FB652C">
              <w:rPr>
                <w:lang w:val="en-US"/>
              </w:rPr>
              <w:t>0</w:t>
            </w:r>
            <w:r>
              <w:rPr>
                <w:lang w:val="en-US"/>
              </w:rPr>
              <w:t>6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0.07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47CB2937" w14:textId="3176588A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06FD9AF2" w14:textId="4B06B353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-0.71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0.27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A2DE558" w14:textId="086A2B84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  <w:tr w:rsidR="00025F71" w14:paraId="5F97C17A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0149A76B" w14:textId="19E61768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Personality functioning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01A859A4" w14:textId="660A0AEE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 w:rsidRPr="00FB652C">
              <w:rPr>
                <w:lang w:val="en-US"/>
              </w:rPr>
              <w:t>-0</w:t>
            </w:r>
            <w:r>
              <w:rPr>
                <w:lang w:val="en-US"/>
              </w:rPr>
              <w:t>.</w:t>
            </w:r>
            <w:r w:rsidRPr="00FB652C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0.18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3283A1AB" w14:textId="4B92990B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0.23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23D5FAE9" w14:textId="3D2CCD46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-0.28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0.37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3079296" w14:textId="7F8FA801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0.46</w:t>
            </w:r>
          </w:p>
        </w:tc>
      </w:tr>
      <w:tr w:rsidR="00025F71" w14:paraId="0F1FD011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5BE64EBE" w14:textId="59513713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Cognitive biases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2D67BEAB" w14:textId="6685A80B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0.42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0.11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000A7254" w14:textId="444655E5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&lt;.001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7F065AEB" w14:textId="61012342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-0.17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0.23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1DAF424" w14:textId="4849E0E2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0.45</w:t>
            </w:r>
          </w:p>
        </w:tc>
      </w:tr>
      <w:tr w:rsidR="00025F71" w14:paraId="571B5057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527DC3D0" w14:textId="50481689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Maladaptive personality traits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3DCDDFC6" w14:textId="399C435A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0.12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0.17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1E0E8746" w14:textId="3B2093E3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0.46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70B21ABC" w14:textId="4D7197E6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-0.48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0.33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BB88B64" w14:textId="32AB4CF3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</w:tr>
      <w:tr w:rsidR="00025F71" w14:paraId="7F1C0530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4DE5F7DD" w14:textId="110A4A6E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Socio-occupational functioning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0A62C676" w14:textId="3E9B2D79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0.12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0.08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0A6442EF" w14:textId="3DABF9DF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0.17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1C548F8B" w14:textId="316F51B0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0.64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0.29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3137905" w14:textId="25D5DFCE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  <w:tr w:rsidR="00025F71" w14:paraId="67996B39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71000389" w14:textId="1F0097AA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28949DC6" w14:textId="252DE4B8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-0.02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0.01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68758A45" w14:textId="6EC8203B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2A03451D" w14:textId="1EE93E7D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0.02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A7F2148" w14:textId="3F5D3385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</w:tr>
      <w:tr w:rsidR="00025F71" w14:paraId="3D11CCF8" w14:textId="77777777" w:rsidTr="003454F4">
        <w:tc>
          <w:tcPr>
            <w:tcW w:w="2263" w:type="dxa"/>
            <w:tcBorders>
              <w:left w:val="nil"/>
            </w:tcBorders>
            <w:vAlign w:val="center"/>
          </w:tcPr>
          <w:p w14:paraId="0BE1A80F" w14:textId="04BEF7B4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6AF8FDEB" w14:textId="16BBB93D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0.30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0.30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6D322298" w14:textId="2EFBE56C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0.32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625C9227" w14:textId="258F6075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-0.94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0.48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45FDF9A" w14:textId="26E7082B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</w:tr>
      <w:tr w:rsidR="00025F71" w14:paraId="6D6BBEE2" w14:textId="77777777" w:rsidTr="003454F4">
        <w:trPr>
          <w:trHeight w:val="318"/>
        </w:trPr>
        <w:tc>
          <w:tcPr>
            <w:tcW w:w="2263" w:type="dxa"/>
            <w:tcBorders>
              <w:left w:val="nil"/>
            </w:tcBorders>
            <w:vAlign w:val="center"/>
          </w:tcPr>
          <w:p w14:paraId="094C4158" w14:textId="7CC82676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Education level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4D738B62" w14:textId="1EC5B279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-0.03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0.14</w:t>
            </w:r>
          </w:p>
        </w:tc>
        <w:tc>
          <w:tcPr>
            <w:tcW w:w="761" w:type="dxa"/>
            <w:tcBorders>
              <w:left w:val="nil"/>
            </w:tcBorders>
            <w:vAlign w:val="center"/>
          </w:tcPr>
          <w:p w14:paraId="64B71434" w14:textId="7F885079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0.83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2D438B6F" w14:textId="0152ED03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0.89</w:t>
            </w:r>
            <w:r w:rsidRPr="002130FE">
              <w:rPr>
                <w:lang w:val="en-US"/>
              </w:rPr>
              <w:t>±</w:t>
            </w:r>
            <w:r>
              <w:rPr>
                <w:lang w:val="en-US"/>
              </w:rPr>
              <w:t>0.41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348DDA5" w14:textId="7E5240C2" w:rsidR="00025F71" w:rsidRDefault="00025F71" w:rsidP="003454F4">
            <w:pPr>
              <w:spacing w:before="0" w:after="0" w:line="240" w:lineRule="auto"/>
              <w:rPr>
                <w:lang w:val="en-US"/>
              </w:rPr>
            </w:pPr>
            <w:r>
              <w:rPr>
                <w:lang w:val="en-US"/>
              </w:rPr>
              <w:t>&lt;.05</w:t>
            </w:r>
          </w:p>
        </w:tc>
      </w:tr>
    </w:tbl>
    <w:p w14:paraId="097F43C1" w14:textId="16BA6C9F" w:rsidR="00D76E4A" w:rsidRPr="003454F4" w:rsidRDefault="00B90FEC" w:rsidP="003454F4">
      <w:pPr>
        <w:spacing w:before="0" w:after="0" w:line="240" w:lineRule="auto"/>
        <w:ind w:left="142" w:hanging="142"/>
        <w:rPr>
          <w:rFonts w:eastAsia="Calibri" w:cs="Times New Roman"/>
          <w:sz w:val="18"/>
          <w:szCs w:val="18"/>
          <w:lang w:val="en-US"/>
        </w:rPr>
      </w:pPr>
      <w:r w:rsidRPr="003454F4">
        <w:rPr>
          <w:rFonts w:eastAsia="Calibri" w:cs="Times New Roman"/>
          <w:i/>
          <w:sz w:val="18"/>
          <w:szCs w:val="18"/>
          <w:lang w:val="fr-CH"/>
        </w:rPr>
        <w:t>Note:</w:t>
      </w:r>
      <w:r w:rsidRPr="003454F4">
        <w:rPr>
          <w:rFonts w:eastAsia="Calibri" w:cs="Times New Roman"/>
          <w:sz w:val="18"/>
          <w:szCs w:val="18"/>
          <w:lang w:val="fr-CH"/>
        </w:rPr>
        <w:t xml:space="preserve"> nonper-CHR-P: non-perceptive CHR-P; sd: standard deviation. </w:t>
      </w:r>
      <w:r w:rsidRPr="003454F4">
        <w:rPr>
          <w:rFonts w:eastAsia="Calibri" w:cs="Times New Roman"/>
          <w:sz w:val="18"/>
          <w:szCs w:val="18"/>
          <w:lang w:val="fr-CH"/>
        </w:rPr>
        <w:br/>
      </w:r>
      <w:r>
        <w:rPr>
          <w:rFonts w:eastAsia="Calibri" w:cs="Times New Roman"/>
          <w:sz w:val="18"/>
          <w:szCs w:val="18"/>
          <w:lang w:val="en-US"/>
        </w:rPr>
        <w:t xml:space="preserve">The β coefficients refer to the association between the predictor/covariate value and the outcome value (i.e., severity); thus, negative coefficients indicate lower outcome values when predictor/covariate values are higher, while positive coefficients indicate higher outcome values when predictor/covariate values are higher. </w:t>
      </w:r>
      <w:r>
        <w:rPr>
          <w:rFonts w:eastAsia="Calibri" w:cs="Times New Roman"/>
          <w:sz w:val="18"/>
          <w:szCs w:val="18"/>
          <w:lang w:val="en-GB"/>
        </w:rPr>
        <w:t xml:space="preserve">The </w:t>
      </w:r>
      <w:r w:rsidRPr="00687CE5">
        <w:rPr>
          <w:rFonts w:eastAsia="Calibri" w:cs="Times New Roman"/>
          <w:sz w:val="18"/>
          <w:szCs w:val="18"/>
          <w:lang w:val="fr-CH"/>
        </w:rPr>
        <w:t>γ</w:t>
      </w:r>
      <w:r w:rsidRPr="00CD55CA">
        <w:rPr>
          <w:rFonts w:eastAsia="Calibri" w:cs="Times New Roman"/>
          <w:sz w:val="18"/>
          <w:szCs w:val="18"/>
          <w:lang w:val="en-US"/>
        </w:rPr>
        <w:t xml:space="preserve"> </w:t>
      </w:r>
      <w:r>
        <w:rPr>
          <w:rFonts w:eastAsia="Calibri" w:cs="Times New Roman"/>
          <w:sz w:val="18"/>
          <w:szCs w:val="18"/>
          <w:lang w:val="en-US"/>
        </w:rPr>
        <w:t>coefficients refer to the association between the predictor/covariate value and the likelihood of the outcome value being zero; thus, negative coefficients indicate lower likelihood of the outcome value being zero when predictor/covariate values are higher, while positive coefficients indicate higher likelihood of the outcome value being zero when predictor/covariate values are higher.</w:t>
      </w:r>
    </w:p>
    <w:p w14:paraId="20D0FB1A" w14:textId="5134CC38" w:rsidR="00901847" w:rsidRPr="003454F4" w:rsidRDefault="00901847" w:rsidP="00DC391C">
      <w:pPr>
        <w:pStyle w:val="berschrift2"/>
        <w:rPr>
          <w:rFonts w:eastAsia="Calibri"/>
          <w:lang w:val="en-US"/>
        </w:rPr>
      </w:pPr>
      <w:r w:rsidRPr="003454F4">
        <w:rPr>
          <w:rFonts w:eastAsia="Calibri"/>
          <w:lang w:val="en-US"/>
        </w:rPr>
        <w:br w:type="page"/>
      </w:r>
    </w:p>
    <w:p w14:paraId="736949C6" w14:textId="77777777" w:rsidR="007A5897" w:rsidRPr="00651541" w:rsidRDefault="007A5897" w:rsidP="0006546E">
      <w:pPr>
        <w:spacing w:before="0" w:after="0" w:line="240" w:lineRule="auto"/>
        <w:ind w:left="142" w:hanging="142"/>
        <w:rPr>
          <w:rFonts w:eastAsia="Calibri" w:cs="Times New Roman"/>
          <w:sz w:val="20"/>
          <w:szCs w:val="20"/>
          <w:lang w:val="en-US"/>
        </w:rPr>
      </w:pPr>
    </w:p>
    <w:p w14:paraId="55CB8820" w14:textId="298A085E" w:rsidR="007A5897" w:rsidRPr="000765BC" w:rsidRDefault="007A5897" w:rsidP="00DC391C">
      <w:pPr>
        <w:pStyle w:val="berschrift2"/>
      </w:pPr>
      <w:bookmarkStart w:id="12" w:name="_Toc182937931"/>
      <w:r w:rsidRPr="000765BC">
        <w:t>References</w:t>
      </w:r>
      <w:bookmarkEnd w:id="12"/>
    </w:p>
    <w:p w14:paraId="72184B04" w14:textId="0200431E" w:rsidR="00A6625C" w:rsidRPr="00A6625C" w:rsidRDefault="00A6625C" w:rsidP="00A6625C">
      <w:pPr>
        <w:pStyle w:val="Bibliography1"/>
        <w:rPr>
          <w:rFonts w:cs="Times New Roman"/>
          <w:lang w:val="de-CH"/>
        </w:rPr>
      </w:pPr>
      <w:r w:rsidRPr="00A6625C">
        <w:rPr>
          <w:rFonts w:cs="Times New Roman"/>
          <w:lang w:val="de-CH"/>
        </w:rPr>
        <w:t>[1]</w:t>
      </w:r>
      <w:r w:rsidRPr="00A6625C">
        <w:rPr>
          <w:rFonts w:cs="Times New Roman"/>
          <w:lang w:val="de-CH"/>
        </w:rPr>
        <w:tab/>
        <w:t xml:space="preserve">Schultze-Lutter F, Michel C, Ruhrmann S, Schimmelmann BG. </w:t>
      </w:r>
      <w:r w:rsidRPr="00A6625C">
        <w:rPr>
          <w:rFonts w:cs="Times New Roman"/>
        </w:rPr>
        <w:t xml:space="preserve">Prevalence and clinical relevance of interview-assessed psychosis-risk symptoms in the young adult community. </w:t>
      </w:r>
      <w:r w:rsidRPr="00A6625C">
        <w:rPr>
          <w:rFonts w:cs="Times New Roman"/>
          <w:lang w:val="de-CH"/>
        </w:rPr>
        <w:t>Psychol Med. 2017/09/11 ed. 2018;48(7):1167–78.</w:t>
      </w:r>
      <w:r w:rsidR="000765BC">
        <w:rPr>
          <w:rFonts w:cs="Times New Roman"/>
          <w:lang w:val="de-CH"/>
        </w:rPr>
        <w:t xml:space="preserve"> </w:t>
      </w:r>
      <w:r w:rsidR="000765BC" w:rsidRPr="00074442">
        <w:rPr>
          <w:rFonts w:cs="Times New Roman"/>
          <w:lang w:val="de-CH"/>
        </w:rPr>
        <w:t>https://doi.org/</w:t>
      </w:r>
      <w:r w:rsidR="000765BC" w:rsidRPr="000765BC">
        <w:rPr>
          <w:rFonts w:cs="Times New Roman"/>
          <w:lang w:val="de-CH"/>
        </w:rPr>
        <w:t>10.1017/S0033291717002586</w:t>
      </w:r>
      <w:r w:rsidR="000765BC">
        <w:rPr>
          <w:rFonts w:cs="Times New Roman"/>
          <w:lang w:val="de-CH"/>
        </w:rPr>
        <w:t>.</w:t>
      </w:r>
    </w:p>
    <w:p w14:paraId="2902D223" w14:textId="7AB84A25" w:rsidR="00A6625C" w:rsidRPr="00074442" w:rsidRDefault="00A6625C" w:rsidP="00A6625C">
      <w:pPr>
        <w:pStyle w:val="Bibliography1"/>
        <w:rPr>
          <w:rFonts w:cs="Times New Roman"/>
          <w:lang w:val="fr-CH"/>
        </w:rPr>
      </w:pPr>
      <w:r w:rsidRPr="00A6625C">
        <w:rPr>
          <w:rFonts w:cs="Times New Roman"/>
          <w:lang w:val="de-CH"/>
        </w:rPr>
        <w:t>[2]</w:t>
      </w:r>
      <w:r w:rsidRPr="00A6625C">
        <w:rPr>
          <w:rFonts w:cs="Times New Roman"/>
          <w:lang w:val="de-CH"/>
        </w:rPr>
        <w:tab/>
        <w:t xml:space="preserve">Schultze-Lutter F, Ruhrmann S, Michel C, Kindler J, Schimmelmann BG, Schmidt SJ. </w:t>
      </w:r>
      <w:r w:rsidRPr="00A6625C">
        <w:rPr>
          <w:rFonts w:cs="Times New Roman"/>
        </w:rPr>
        <w:t xml:space="preserve">Age effects on basic symptoms in the community: A route to gain new insight into the neurodevelopment of psychosis? </w:t>
      </w:r>
      <w:r w:rsidRPr="00074442">
        <w:rPr>
          <w:rFonts w:cs="Times New Roman"/>
          <w:lang w:val="fr-CH"/>
        </w:rPr>
        <w:t>Eur Arch Psychiatry Clin Neurosci. 2020 Apr 1;270(3):311–24.</w:t>
      </w:r>
      <w:r w:rsidR="000765BC" w:rsidRPr="00074442">
        <w:rPr>
          <w:rFonts w:cs="Times New Roman"/>
          <w:lang w:val="fr-CH"/>
        </w:rPr>
        <w:t xml:space="preserve"> https://doi.org/10.1007/s00406-018-0949-4.</w:t>
      </w:r>
      <w:r w:rsidRPr="00074442">
        <w:rPr>
          <w:rFonts w:cs="Times New Roman"/>
          <w:lang w:val="fr-CH"/>
        </w:rPr>
        <w:t xml:space="preserve"> </w:t>
      </w:r>
    </w:p>
    <w:p w14:paraId="6C4461F4" w14:textId="685D296C" w:rsidR="00A6625C" w:rsidRPr="00A6625C" w:rsidRDefault="00A6625C" w:rsidP="00A6625C">
      <w:pPr>
        <w:pStyle w:val="Bibliography1"/>
        <w:rPr>
          <w:rFonts w:cs="Times New Roman"/>
        </w:rPr>
      </w:pPr>
      <w:r w:rsidRPr="00A6625C">
        <w:rPr>
          <w:rFonts w:cs="Times New Roman"/>
        </w:rPr>
        <w:t>[3]</w:t>
      </w:r>
      <w:r w:rsidRPr="00A6625C">
        <w:rPr>
          <w:rFonts w:cs="Times New Roman"/>
        </w:rPr>
        <w:tab/>
        <w:t xml:space="preserve">Schultze-Lutter F, Schimmelmann BG, Michel C. Clinical high-risk of and conversion to psychosis in the community: A 3-year follow-up of a cohort study. Schizophr Res. 2021 Feb;228:616–8. </w:t>
      </w:r>
      <w:r w:rsidR="000765BC" w:rsidRPr="00A6625C">
        <w:rPr>
          <w:rFonts w:cs="Times New Roman"/>
        </w:rPr>
        <w:t>https://doi.org/</w:t>
      </w:r>
      <w:r w:rsidR="000765BC" w:rsidRPr="000765BC">
        <w:rPr>
          <w:rFonts w:cs="Times New Roman"/>
        </w:rPr>
        <w:t>10.1016/j.schres.2020.11.032</w:t>
      </w:r>
    </w:p>
    <w:p w14:paraId="166EB44C" w14:textId="2575D719" w:rsidR="00A6625C" w:rsidRPr="00A6625C" w:rsidRDefault="00A6625C" w:rsidP="00A6625C">
      <w:pPr>
        <w:pStyle w:val="Bibliography1"/>
        <w:rPr>
          <w:rFonts w:cs="Times New Roman"/>
        </w:rPr>
      </w:pPr>
      <w:r w:rsidRPr="00A6625C">
        <w:rPr>
          <w:rFonts w:cs="Times New Roman"/>
        </w:rPr>
        <w:t>[4]</w:t>
      </w:r>
      <w:r w:rsidRPr="00A6625C">
        <w:rPr>
          <w:rFonts w:cs="Times New Roman"/>
        </w:rPr>
        <w:tab/>
        <w:t>Kirkbride JB, Fearon P, Morgan C, Dazzan P, Morgan K, Tarrant J, et al. Heterogeneity in Incidence Rates of Schizophrenia and Other Psychotic Syndromes: Findings From the 3-Center ÆSOP Study. Arch Gen Psychiatry. 2006 Mar 1;63(3):250–8.</w:t>
      </w:r>
      <w:r w:rsidR="000765BC">
        <w:rPr>
          <w:rFonts w:cs="Times New Roman"/>
        </w:rPr>
        <w:t xml:space="preserve"> h</w:t>
      </w:r>
      <w:r w:rsidR="000765BC" w:rsidRPr="000765BC">
        <w:rPr>
          <w:rFonts w:cs="Times New Roman"/>
        </w:rPr>
        <w:t>ttps://doi.org/10.1001/archpsyc.63.3.250</w:t>
      </w:r>
      <w:r w:rsidR="000765BC">
        <w:rPr>
          <w:rFonts w:cs="Times New Roman"/>
        </w:rPr>
        <w:t>.</w:t>
      </w:r>
    </w:p>
    <w:p w14:paraId="3007753E" w14:textId="0E438ED4" w:rsidR="00A6625C" w:rsidRPr="00A6625C" w:rsidRDefault="00A6625C" w:rsidP="00A6625C">
      <w:pPr>
        <w:pStyle w:val="Bibliography1"/>
        <w:rPr>
          <w:rFonts w:cs="Times New Roman"/>
        </w:rPr>
      </w:pPr>
      <w:r w:rsidRPr="00A6625C">
        <w:rPr>
          <w:rFonts w:cs="Times New Roman"/>
        </w:rPr>
        <w:t>[5]</w:t>
      </w:r>
      <w:r w:rsidRPr="00A6625C">
        <w:rPr>
          <w:rFonts w:cs="Times New Roman"/>
        </w:rPr>
        <w:tab/>
        <w:t xml:space="preserve">McGrath JJ, Saha S, Al-Hamzawi AO, Alonso J, Andrade L, Borges G, et al. Age of Onset and Lifetime Projected Risk of Psychotic Experiences: Cross-National Data From the World Mental Health Survey. Schizophr Bull. 2016 Jul 1;42(4):933–41. </w:t>
      </w:r>
      <w:r w:rsidR="000765BC" w:rsidRPr="000765BC">
        <w:rPr>
          <w:rFonts w:cs="Times New Roman"/>
        </w:rPr>
        <w:t>https://doi.org/10.1093/schbul/sbw011</w:t>
      </w:r>
      <w:r w:rsidR="000765BC">
        <w:rPr>
          <w:rFonts w:cs="Times New Roman"/>
        </w:rPr>
        <w:t>.</w:t>
      </w:r>
    </w:p>
    <w:p w14:paraId="292996C1" w14:textId="4D1A0FD6" w:rsidR="00A6625C" w:rsidRPr="00A6625C" w:rsidRDefault="00A6625C" w:rsidP="00A6625C">
      <w:pPr>
        <w:pStyle w:val="Bibliography1"/>
        <w:rPr>
          <w:rFonts w:cs="Times New Roman"/>
        </w:rPr>
      </w:pPr>
      <w:r w:rsidRPr="00A6625C">
        <w:rPr>
          <w:rFonts w:cs="Times New Roman"/>
        </w:rPr>
        <w:t>[6]</w:t>
      </w:r>
      <w:r w:rsidRPr="00A6625C">
        <w:rPr>
          <w:rFonts w:cs="Times New Roman"/>
        </w:rPr>
        <w:tab/>
        <w:t xml:space="preserve">Schultze-Lutter F, Schimmelmann BG, Flückiger R, Michel C. Effects of age and sex on clinical high-risk for psychosis in the community. World J Psychiatry. 2020 May 19;10(5):101–24. </w:t>
      </w:r>
      <w:r w:rsidR="000765BC" w:rsidRPr="00A6625C">
        <w:rPr>
          <w:rFonts w:cs="Times New Roman"/>
        </w:rPr>
        <w:t>https://doi.org/</w:t>
      </w:r>
      <w:r w:rsidR="000765BC" w:rsidRPr="000765BC">
        <w:rPr>
          <w:rFonts w:cs="Times New Roman"/>
        </w:rPr>
        <w:t>10.5498/wjp.v10.i5.101</w:t>
      </w:r>
      <w:r w:rsidR="000765BC">
        <w:rPr>
          <w:rFonts w:cs="Times New Roman"/>
        </w:rPr>
        <w:t>.</w:t>
      </w:r>
    </w:p>
    <w:p w14:paraId="3B892BAD" w14:textId="4A0C602B" w:rsidR="00A6625C" w:rsidRPr="00A6625C" w:rsidRDefault="00A6625C" w:rsidP="00A6625C">
      <w:pPr>
        <w:pStyle w:val="Bibliography1"/>
        <w:rPr>
          <w:rFonts w:cs="Times New Roman"/>
        </w:rPr>
      </w:pPr>
      <w:r w:rsidRPr="00A6625C">
        <w:rPr>
          <w:rFonts w:cs="Times New Roman"/>
        </w:rPr>
        <w:t>[7]</w:t>
      </w:r>
      <w:r w:rsidRPr="00A6625C">
        <w:rPr>
          <w:rFonts w:cs="Times New Roman"/>
        </w:rPr>
        <w:tab/>
        <w:t xml:space="preserve">Michel C, Schimmelmann BKE, Kupferschmid S, Siegwart M, Schultze-Lutter F. Reliability of telephone assessments of at-risk criteria of psychosis: a comparison to face-to-face interviews. Schizophr Res. 2014;153(1–3):251–3. </w:t>
      </w:r>
      <w:r w:rsidR="000765BC" w:rsidRPr="00A6625C">
        <w:rPr>
          <w:rFonts w:cs="Times New Roman"/>
        </w:rPr>
        <w:t>https://doi.org/</w:t>
      </w:r>
      <w:r w:rsidR="000765BC" w:rsidRPr="000765BC">
        <w:rPr>
          <w:rFonts w:cs="Times New Roman"/>
        </w:rPr>
        <w:t>10.1016/j.schres.2014.01.025</w:t>
      </w:r>
      <w:r w:rsidR="000765BC">
        <w:rPr>
          <w:rFonts w:cs="Times New Roman"/>
        </w:rPr>
        <w:t>.</w:t>
      </w:r>
    </w:p>
    <w:p w14:paraId="185D6337" w14:textId="04E04F26" w:rsidR="00A6625C" w:rsidRPr="00A6625C" w:rsidRDefault="00A6625C" w:rsidP="00A6625C">
      <w:pPr>
        <w:pStyle w:val="Bibliography1"/>
        <w:rPr>
          <w:rFonts w:cs="Times New Roman"/>
        </w:rPr>
      </w:pPr>
      <w:r w:rsidRPr="00A6625C">
        <w:rPr>
          <w:rFonts w:cs="Times New Roman"/>
        </w:rPr>
        <w:t>[8]</w:t>
      </w:r>
      <w:r w:rsidRPr="00A6625C">
        <w:rPr>
          <w:rFonts w:cs="Times New Roman"/>
        </w:rPr>
        <w:tab/>
        <w:t xml:space="preserve">Michel C, Schimmelmann BG, Schultze‐Lutter F. Demographic and clinical characteristics of diagnosed and non‐diagnosed psychotic disorders in the community. Early Interv Psychiatry. 2018;12(1):87–90. </w:t>
      </w:r>
      <w:r w:rsidR="000765BC" w:rsidRPr="00A6625C">
        <w:rPr>
          <w:rFonts w:cs="Times New Roman"/>
        </w:rPr>
        <w:t>https://doi.org/</w:t>
      </w:r>
      <w:r w:rsidR="000765BC">
        <w:rPr>
          <w:rStyle w:val="citation-doi"/>
        </w:rPr>
        <w:t>10.1111/eip.12360.</w:t>
      </w:r>
    </w:p>
    <w:p w14:paraId="51B406E0" w14:textId="1E5AA4CB" w:rsidR="00A6625C" w:rsidRPr="00A6625C" w:rsidRDefault="00A6625C" w:rsidP="00A6625C">
      <w:pPr>
        <w:pStyle w:val="Bibliography1"/>
        <w:rPr>
          <w:rFonts w:cs="Times New Roman"/>
        </w:rPr>
      </w:pPr>
      <w:r w:rsidRPr="00A6625C">
        <w:rPr>
          <w:rFonts w:cs="Times New Roman"/>
        </w:rPr>
        <w:t>[9]</w:t>
      </w:r>
      <w:r w:rsidRPr="00A6625C">
        <w:rPr>
          <w:rFonts w:cs="Times New Roman"/>
        </w:rPr>
        <w:tab/>
        <w:t>American Psychiatric Association. Diagnostic and Statistical Manual of Mental Disorders [Internet]. Fifth Edition. American Psychiatric Association; 2013 [accessed 2024 Feb 9]. https://doi.org/10.1176/appi.books.9780890425596</w:t>
      </w:r>
      <w:r w:rsidR="00A15DA7">
        <w:rPr>
          <w:rFonts w:cs="Times New Roman"/>
        </w:rPr>
        <w:t>.</w:t>
      </w:r>
    </w:p>
    <w:p w14:paraId="2F6FCA34" w14:textId="0B637806" w:rsidR="00D345F2" w:rsidRPr="00D345F2" w:rsidRDefault="00D345F2" w:rsidP="00D345F2">
      <w:pPr>
        <w:rPr>
          <w:lang w:val="en-US"/>
        </w:rPr>
      </w:pPr>
    </w:p>
    <w:sectPr w:rsidR="00D345F2" w:rsidRPr="00D345F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F03B" w14:textId="77777777" w:rsidR="00843A45" w:rsidRDefault="00843A45" w:rsidP="00F911FB">
      <w:pPr>
        <w:spacing w:before="0" w:after="0" w:line="240" w:lineRule="auto"/>
      </w:pPr>
      <w:r>
        <w:separator/>
      </w:r>
    </w:p>
  </w:endnote>
  <w:endnote w:type="continuationSeparator" w:id="0">
    <w:p w14:paraId="1FADA7B5" w14:textId="77777777" w:rsidR="00843A45" w:rsidRDefault="00843A45" w:rsidP="00F911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092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A2A5E" w14:textId="488932CA" w:rsidR="00F911FB" w:rsidRDefault="00F911FB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FC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2A4E8B0" w14:textId="77777777" w:rsidR="00F911FB" w:rsidRDefault="00F911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7996" w14:textId="77777777" w:rsidR="00843A45" w:rsidRDefault="00843A45" w:rsidP="00F911FB">
      <w:pPr>
        <w:spacing w:before="0" w:after="0" w:line="240" w:lineRule="auto"/>
      </w:pPr>
      <w:r>
        <w:separator/>
      </w:r>
    </w:p>
  </w:footnote>
  <w:footnote w:type="continuationSeparator" w:id="0">
    <w:p w14:paraId="699954D7" w14:textId="77777777" w:rsidR="00843A45" w:rsidRDefault="00843A45" w:rsidP="00F911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51A"/>
    <w:multiLevelType w:val="hybridMultilevel"/>
    <w:tmpl w:val="E8220966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C84F30"/>
    <w:multiLevelType w:val="hybridMultilevel"/>
    <w:tmpl w:val="A69C5C3A"/>
    <w:lvl w:ilvl="0" w:tplc="71B842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356"/>
    <w:multiLevelType w:val="hybridMultilevel"/>
    <w:tmpl w:val="34E6E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302EB"/>
    <w:multiLevelType w:val="hybridMultilevel"/>
    <w:tmpl w:val="CCA2F0E8"/>
    <w:lvl w:ilvl="0" w:tplc="7E7A8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3531"/>
    <w:multiLevelType w:val="hybridMultilevel"/>
    <w:tmpl w:val="9D5A0DDC"/>
    <w:lvl w:ilvl="0" w:tplc="34308310">
      <w:start w:val="3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01B44"/>
    <w:multiLevelType w:val="hybridMultilevel"/>
    <w:tmpl w:val="5CEEA9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547A"/>
    <w:multiLevelType w:val="multilevel"/>
    <w:tmpl w:val="280E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861A9"/>
    <w:multiLevelType w:val="hybridMultilevel"/>
    <w:tmpl w:val="CEC01E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0303E"/>
    <w:multiLevelType w:val="hybridMultilevel"/>
    <w:tmpl w:val="4B14B9C6"/>
    <w:lvl w:ilvl="0" w:tplc="7E7A8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E606E"/>
    <w:multiLevelType w:val="hybridMultilevel"/>
    <w:tmpl w:val="343A0B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854920">
    <w:abstractNumId w:val="1"/>
  </w:num>
  <w:num w:numId="2" w16cid:durableId="2112122782">
    <w:abstractNumId w:val="7"/>
  </w:num>
  <w:num w:numId="3" w16cid:durableId="205265046">
    <w:abstractNumId w:val="9"/>
  </w:num>
  <w:num w:numId="4" w16cid:durableId="855507621">
    <w:abstractNumId w:val="5"/>
  </w:num>
  <w:num w:numId="5" w16cid:durableId="642928393">
    <w:abstractNumId w:val="4"/>
  </w:num>
  <w:num w:numId="6" w16cid:durableId="991641244">
    <w:abstractNumId w:val="3"/>
  </w:num>
  <w:num w:numId="7" w16cid:durableId="1923760404">
    <w:abstractNumId w:val="6"/>
  </w:num>
  <w:num w:numId="8" w16cid:durableId="1942060147">
    <w:abstractNumId w:val="8"/>
  </w:num>
  <w:num w:numId="9" w16cid:durableId="1307858270">
    <w:abstractNumId w:val="2"/>
  </w:num>
  <w:num w:numId="10" w16cid:durableId="63360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AU" w:vendorID="64" w:dllVersion="6" w:nlCheck="1" w:checkStyle="1"/>
  <w:activeWritingStyle w:appName="MSWord" w:lang="de-CH" w:vendorID="64" w:dllVersion="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AU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3A"/>
    <w:rsid w:val="00025F71"/>
    <w:rsid w:val="00051923"/>
    <w:rsid w:val="0006546E"/>
    <w:rsid w:val="000727AE"/>
    <w:rsid w:val="00074442"/>
    <w:rsid w:val="000765BC"/>
    <w:rsid w:val="00085432"/>
    <w:rsid w:val="000A533A"/>
    <w:rsid w:val="000E7742"/>
    <w:rsid w:val="001064BF"/>
    <w:rsid w:val="00121568"/>
    <w:rsid w:val="00136237"/>
    <w:rsid w:val="00136B60"/>
    <w:rsid w:val="001479CF"/>
    <w:rsid w:val="00147B7B"/>
    <w:rsid w:val="0016091A"/>
    <w:rsid w:val="00172A86"/>
    <w:rsid w:val="00173A7B"/>
    <w:rsid w:val="00177D85"/>
    <w:rsid w:val="00194B45"/>
    <w:rsid w:val="00195FCD"/>
    <w:rsid w:val="001A7184"/>
    <w:rsid w:val="001D019C"/>
    <w:rsid w:val="001D183B"/>
    <w:rsid w:val="001E22EF"/>
    <w:rsid w:val="001F11E7"/>
    <w:rsid w:val="001F467E"/>
    <w:rsid w:val="00200A8E"/>
    <w:rsid w:val="0020117A"/>
    <w:rsid w:val="0020608E"/>
    <w:rsid w:val="002077ED"/>
    <w:rsid w:val="002130FE"/>
    <w:rsid w:val="00213F7D"/>
    <w:rsid w:val="00214A78"/>
    <w:rsid w:val="00221F75"/>
    <w:rsid w:val="0023663B"/>
    <w:rsid w:val="00253EE7"/>
    <w:rsid w:val="002555AD"/>
    <w:rsid w:val="0027175D"/>
    <w:rsid w:val="002751BC"/>
    <w:rsid w:val="002854A5"/>
    <w:rsid w:val="00285AF2"/>
    <w:rsid w:val="002943E9"/>
    <w:rsid w:val="002B2248"/>
    <w:rsid w:val="002B5293"/>
    <w:rsid w:val="002C1EF5"/>
    <w:rsid w:val="002C5067"/>
    <w:rsid w:val="002C5D1A"/>
    <w:rsid w:val="002E081F"/>
    <w:rsid w:val="002E5964"/>
    <w:rsid w:val="0030006E"/>
    <w:rsid w:val="00304513"/>
    <w:rsid w:val="00326CB2"/>
    <w:rsid w:val="00340AE7"/>
    <w:rsid w:val="003454F4"/>
    <w:rsid w:val="00351ED6"/>
    <w:rsid w:val="00356AA9"/>
    <w:rsid w:val="0036204D"/>
    <w:rsid w:val="00362BD5"/>
    <w:rsid w:val="003664E3"/>
    <w:rsid w:val="00376FC1"/>
    <w:rsid w:val="00386EFA"/>
    <w:rsid w:val="003870E7"/>
    <w:rsid w:val="003B731A"/>
    <w:rsid w:val="003D1DA5"/>
    <w:rsid w:val="003F0982"/>
    <w:rsid w:val="003F6C45"/>
    <w:rsid w:val="004044E1"/>
    <w:rsid w:val="0040640C"/>
    <w:rsid w:val="00415CE2"/>
    <w:rsid w:val="0042693C"/>
    <w:rsid w:val="00427A46"/>
    <w:rsid w:val="00437A55"/>
    <w:rsid w:val="00464164"/>
    <w:rsid w:val="00475B69"/>
    <w:rsid w:val="00481BFC"/>
    <w:rsid w:val="00486DBB"/>
    <w:rsid w:val="00495EC4"/>
    <w:rsid w:val="00496A20"/>
    <w:rsid w:val="004A3355"/>
    <w:rsid w:val="004B1396"/>
    <w:rsid w:val="004B60CD"/>
    <w:rsid w:val="004D7A84"/>
    <w:rsid w:val="004E4E4A"/>
    <w:rsid w:val="004E54AC"/>
    <w:rsid w:val="00502085"/>
    <w:rsid w:val="0051418B"/>
    <w:rsid w:val="00515354"/>
    <w:rsid w:val="00521CBD"/>
    <w:rsid w:val="0052246B"/>
    <w:rsid w:val="005224A6"/>
    <w:rsid w:val="00533E9A"/>
    <w:rsid w:val="005478EB"/>
    <w:rsid w:val="00554E18"/>
    <w:rsid w:val="0056179D"/>
    <w:rsid w:val="005637C7"/>
    <w:rsid w:val="00571C7E"/>
    <w:rsid w:val="00571EAC"/>
    <w:rsid w:val="00593816"/>
    <w:rsid w:val="005B1E22"/>
    <w:rsid w:val="005B3391"/>
    <w:rsid w:val="005B3A40"/>
    <w:rsid w:val="005B46C6"/>
    <w:rsid w:val="005B51A3"/>
    <w:rsid w:val="005C2D38"/>
    <w:rsid w:val="005C32F0"/>
    <w:rsid w:val="005D28C0"/>
    <w:rsid w:val="005D3FF6"/>
    <w:rsid w:val="005D60D7"/>
    <w:rsid w:val="005E71AB"/>
    <w:rsid w:val="005F338F"/>
    <w:rsid w:val="005F5B2C"/>
    <w:rsid w:val="00620259"/>
    <w:rsid w:val="00623A76"/>
    <w:rsid w:val="00640346"/>
    <w:rsid w:val="0064355A"/>
    <w:rsid w:val="00645B13"/>
    <w:rsid w:val="00647DB1"/>
    <w:rsid w:val="00651541"/>
    <w:rsid w:val="00656CCB"/>
    <w:rsid w:val="00677570"/>
    <w:rsid w:val="00681025"/>
    <w:rsid w:val="00687CE5"/>
    <w:rsid w:val="006A65DC"/>
    <w:rsid w:val="006B5D81"/>
    <w:rsid w:val="006C520C"/>
    <w:rsid w:val="006E48FD"/>
    <w:rsid w:val="00701677"/>
    <w:rsid w:val="00705955"/>
    <w:rsid w:val="00727F7B"/>
    <w:rsid w:val="007324A1"/>
    <w:rsid w:val="00741795"/>
    <w:rsid w:val="007831BA"/>
    <w:rsid w:val="00785F3F"/>
    <w:rsid w:val="007A5897"/>
    <w:rsid w:val="007B5F95"/>
    <w:rsid w:val="007C2953"/>
    <w:rsid w:val="007E44CE"/>
    <w:rsid w:val="007F3BFA"/>
    <w:rsid w:val="007F6940"/>
    <w:rsid w:val="00803DB3"/>
    <w:rsid w:val="008064D2"/>
    <w:rsid w:val="0081156B"/>
    <w:rsid w:val="0082109D"/>
    <w:rsid w:val="00823D60"/>
    <w:rsid w:val="008343D6"/>
    <w:rsid w:val="00843A45"/>
    <w:rsid w:val="0085417D"/>
    <w:rsid w:val="00861F3E"/>
    <w:rsid w:val="008757FC"/>
    <w:rsid w:val="0088155A"/>
    <w:rsid w:val="0089316B"/>
    <w:rsid w:val="008A66D0"/>
    <w:rsid w:val="008B0201"/>
    <w:rsid w:val="008C5C3B"/>
    <w:rsid w:val="008C6E2A"/>
    <w:rsid w:val="008D059C"/>
    <w:rsid w:val="00901847"/>
    <w:rsid w:val="009114FC"/>
    <w:rsid w:val="00922BC0"/>
    <w:rsid w:val="00932460"/>
    <w:rsid w:val="009B26C9"/>
    <w:rsid w:val="009C77DF"/>
    <w:rsid w:val="009D1F75"/>
    <w:rsid w:val="009E5715"/>
    <w:rsid w:val="009F32E5"/>
    <w:rsid w:val="009F333C"/>
    <w:rsid w:val="009F35FC"/>
    <w:rsid w:val="00A146D7"/>
    <w:rsid w:val="00A15DA7"/>
    <w:rsid w:val="00A1641A"/>
    <w:rsid w:val="00A23E1B"/>
    <w:rsid w:val="00A4785C"/>
    <w:rsid w:val="00A50481"/>
    <w:rsid w:val="00A55B51"/>
    <w:rsid w:val="00A560C6"/>
    <w:rsid w:val="00A6625C"/>
    <w:rsid w:val="00A72ED7"/>
    <w:rsid w:val="00A87052"/>
    <w:rsid w:val="00A92233"/>
    <w:rsid w:val="00AA6006"/>
    <w:rsid w:val="00AC37EE"/>
    <w:rsid w:val="00AD59D5"/>
    <w:rsid w:val="00AE3A37"/>
    <w:rsid w:val="00AF3259"/>
    <w:rsid w:val="00AF3DFE"/>
    <w:rsid w:val="00B1440A"/>
    <w:rsid w:val="00B21BF9"/>
    <w:rsid w:val="00B36D23"/>
    <w:rsid w:val="00B44CAF"/>
    <w:rsid w:val="00B46979"/>
    <w:rsid w:val="00B60032"/>
    <w:rsid w:val="00B638EE"/>
    <w:rsid w:val="00B76F60"/>
    <w:rsid w:val="00B8747C"/>
    <w:rsid w:val="00B90FEC"/>
    <w:rsid w:val="00B951DD"/>
    <w:rsid w:val="00BA27B5"/>
    <w:rsid w:val="00BB2CFE"/>
    <w:rsid w:val="00BC3E07"/>
    <w:rsid w:val="00BC7977"/>
    <w:rsid w:val="00BD6DE1"/>
    <w:rsid w:val="00BE569E"/>
    <w:rsid w:val="00C07694"/>
    <w:rsid w:val="00C11712"/>
    <w:rsid w:val="00C1537E"/>
    <w:rsid w:val="00C4347D"/>
    <w:rsid w:val="00C52FC4"/>
    <w:rsid w:val="00C60072"/>
    <w:rsid w:val="00C71052"/>
    <w:rsid w:val="00C80A4E"/>
    <w:rsid w:val="00C90F1F"/>
    <w:rsid w:val="00C9598D"/>
    <w:rsid w:val="00C97FB6"/>
    <w:rsid w:val="00CB2952"/>
    <w:rsid w:val="00CC168C"/>
    <w:rsid w:val="00CE0E81"/>
    <w:rsid w:val="00CE60A3"/>
    <w:rsid w:val="00D075CF"/>
    <w:rsid w:val="00D12A4E"/>
    <w:rsid w:val="00D22B08"/>
    <w:rsid w:val="00D27A0A"/>
    <w:rsid w:val="00D3017E"/>
    <w:rsid w:val="00D306EE"/>
    <w:rsid w:val="00D345F2"/>
    <w:rsid w:val="00D47A33"/>
    <w:rsid w:val="00D64B7A"/>
    <w:rsid w:val="00D64F64"/>
    <w:rsid w:val="00D76E4A"/>
    <w:rsid w:val="00D85CE1"/>
    <w:rsid w:val="00D92593"/>
    <w:rsid w:val="00D957CB"/>
    <w:rsid w:val="00D97A33"/>
    <w:rsid w:val="00DA3974"/>
    <w:rsid w:val="00DC264D"/>
    <w:rsid w:val="00DC391C"/>
    <w:rsid w:val="00DC7D5E"/>
    <w:rsid w:val="00DD76BD"/>
    <w:rsid w:val="00DD7F21"/>
    <w:rsid w:val="00DF4DC7"/>
    <w:rsid w:val="00E11CBC"/>
    <w:rsid w:val="00E45598"/>
    <w:rsid w:val="00E53BFC"/>
    <w:rsid w:val="00E55CE5"/>
    <w:rsid w:val="00E674D7"/>
    <w:rsid w:val="00E71240"/>
    <w:rsid w:val="00E71D2E"/>
    <w:rsid w:val="00E7492F"/>
    <w:rsid w:val="00E92B20"/>
    <w:rsid w:val="00E932F0"/>
    <w:rsid w:val="00EC41CA"/>
    <w:rsid w:val="00EC5549"/>
    <w:rsid w:val="00ED17AB"/>
    <w:rsid w:val="00EF47E2"/>
    <w:rsid w:val="00F347C7"/>
    <w:rsid w:val="00F454D0"/>
    <w:rsid w:val="00F45884"/>
    <w:rsid w:val="00F46C76"/>
    <w:rsid w:val="00F52D9B"/>
    <w:rsid w:val="00F736A0"/>
    <w:rsid w:val="00F81911"/>
    <w:rsid w:val="00F85EF1"/>
    <w:rsid w:val="00F911FB"/>
    <w:rsid w:val="00F9194C"/>
    <w:rsid w:val="00F921E1"/>
    <w:rsid w:val="00FA53EA"/>
    <w:rsid w:val="00FC4954"/>
    <w:rsid w:val="00FC7FAB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E21C66D"/>
  <w15:chartTrackingRefBased/>
  <w15:docId w15:val="{550361A8-A8F9-4CAD-BC0B-AA16884D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33A"/>
    <w:pPr>
      <w:spacing w:before="120" w:after="120" w:line="360" w:lineRule="auto"/>
    </w:pPr>
    <w:rPr>
      <w:rFonts w:ascii="Times New Roman" w:hAnsi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5293"/>
    <w:pPr>
      <w:keepNext/>
      <w:keepLines/>
      <w:spacing w:before="0" w:after="0"/>
      <w:ind w:right="141"/>
      <w:jc w:val="center"/>
      <w:outlineLvl w:val="0"/>
    </w:pPr>
    <w:rPr>
      <w:rFonts w:eastAsiaTheme="majorEastAsia" w:cs="Times New Roman"/>
      <w:b/>
      <w:spacing w:val="-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C391C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E5715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5293"/>
    <w:rPr>
      <w:rFonts w:ascii="Times New Roman" w:eastAsiaTheme="majorEastAsia" w:hAnsi="Times New Roman" w:cs="Times New Roman"/>
      <w:b/>
      <w:spacing w:val="-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91C"/>
    <w:rPr>
      <w:rFonts w:ascii="Times New Roman" w:eastAsiaTheme="majorEastAsia" w:hAnsi="Times New Roman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5715"/>
    <w:rPr>
      <w:rFonts w:ascii="Times New Roman" w:eastAsiaTheme="majorEastAsia" w:hAnsi="Times New Roman" w:cstheme="majorBidi"/>
      <w:b/>
      <w:szCs w:val="24"/>
    </w:rPr>
  </w:style>
  <w:style w:type="character" w:customStyle="1" w:styleId="apple-converted-space">
    <w:name w:val="apple-converted-space"/>
    <w:basedOn w:val="Absatz-Standardschriftart"/>
    <w:rsid w:val="009E5715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5715"/>
    <w:pPr>
      <w:spacing w:before="0"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571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5715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E571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9E5715"/>
    <w:rPr>
      <w:b/>
      <w:bCs/>
    </w:rPr>
  </w:style>
  <w:style w:type="character" w:styleId="Hervorhebung">
    <w:name w:val="Emphasis"/>
    <w:basedOn w:val="Absatz-Standardschriftart"/>
    <w:uiPriority w:val="20"/>
    <w:qFormat/>
    <w:rsid w:val="009E5715"/>
    <w:rPr>
      <w:i/>
      <w:iCs/>
    </w:rPr>
  </w:style>
  <w:style w:type="paragraph" w:styleId="StandardWeb">
    <w:name w:val="Normal (Web)"/>
    <w:basedOn w:val="Standard"/>
    <w:uiPriority w:val="99"/>
    <w:unhideWhenUsed/>
    <w:rsid w:val="009E57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5715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571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7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71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5715"/>
    <w:pPr>
      <w:spacing w:before="0" w:after="0" w:line="240" w:lineRule="auto"/>
      <w:ind w:left="720"/>
      <w:contextualSpacing/>
    </w:pPr>
    <w:rPr>
      <w:rFonts w:eastAsia="Times New Roman" w:cs="Times New Roman"/>
      <w:sz w:val="24"/>
      <w:szCs w:val="24"/>
      <w:lang w:eastAsia="de-DE"/>
    </w:rPr>
  </w:style>
  <w:style w:type="table" w:styleId="EinfacheTabelle2">
    <w:name w:val="Plain Table 2"/>
    <w:basedOn w:val="NormaleTabelle"/>
    <w:uiPriority w:val="42"/>
    <w:rsid w:val="00645B13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5293"/>
    <w:pPr>
      <w:spacing w:before="240" w:line="259" w:lineRule="auto"/>
      <w:ind w:right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pacing w:val="0"/>
      <w:sz w:val="32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2B5293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2B5293"/>
    <w:pPr>
      <w:tabs>
        <w:tab w:val="right" w:leader="dot" w:pos="9062"/>
      </w:tabs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AC37EE"/>
    <w:pPr>
      <w:tabs>
        <w:tab w:val="right" w:leader="dot" w:pos="9062"/>
      </w:tabs>
      <w:spacing w:after="100"/>
      <w:ind w:left="220"/>
    </w:pPr>
  </w:style>
  <w:style w:type="paragraph" w:customStyle="1" w:styleId="ProtocolBody">
    <w:name w:val="Protocol Body"/>
    <w:link w:val="ProtocolBodyChar"/>
    <w:rsid w:val="00194B45"/>
    <w:pPr>
      <w:spacing w:after="60"/>
      <w:jc w:val="both"/>
    </w:pPr>
    <w:rPr>
      <w:rFonts w:ascii="Arial" w:eastAsia="Times New Roman" w:hAnsi="Arial" w:cs="Times New Roman"/>
      <w:bCs/>
      <w:sz w:val="22"/>
      <w:szCs w:val="20"/>
      <w:lang w:val="en-US" w:eastAsia="de-CH"/>
    </w:rPr>
  </w:style>
  <w:style w:type="character" w:customStyle="1" w:styleId="ProtocolBodyChar">
    <w:name w:val="Protocol Body Char"/>
    <w:link w:val="ProtocolBody"/>
    <w:rsid w:val="00194B45"/>
    <w:rPr>
      <w:rFonts w:ascii="Arial" w:eastAsia="Times New Roman" w:hAnsi="Arial" w:cs="Times New Roman"/>
      <w:bCs/>
      <w:sz w:val="22"/>
      <w:szCs w:val="20"/>
      <w:lang w:val="en-US" w:eastAsia="de-CH"/>
    </w:rPr>
  </w:style>
  <w:style w:type="character" w:customStyle="1" w:styleId="show-for-sr">
    <w:name w:val="show-for-sr"/>
    <w:basedOn w:val="Absatz-Standardschriftart"/>
    <w:rsid w:val="00194B45"/>
  </w:style>
  <w:style w:type="paragraph" w:customStyle="1" w:styleId="Literaturverzeichnis1">
    <w:name w:val="Literaturverzeichnis1"/>
    <w:basedOn w:val="Standard"/>
    <w:link w:val="BibliographyZchn"/>
    <w:rsid w:val="00D957CB"/>
    <w:pPr>
      <w:spacing w:before="0" w:after="0" w:line="240" w:lineRule="auto"/>
      <w:ind w:left="720" w:hanging="720"/>
    </w:pPr>
    <w:rPr>
      <w:rFonts w:eastAsia="Calibri" w:cs="Times New Roman"/>
      <w:sz w:val="20"/>
      <w:szCs w:val="20"/>
      <w:lang w:val="en-US"/>
    </w:rPr>
  </w:style>
  <w:style w:type="character" w:customStyle="1" w:styleId="BibliographyZchn">
    <w:name w:val="Bibliography Zchn"/>
    <w:basedOn w:val="Absatz-Standardschriftart"/>
    <w:link w:val="Literaturverzeichnis1"/>
    <w:rsid w:val="00D957CB"/>
    <w:rPr>
      <w:rFonts w:ascii="Times New Roman" w:eastAsia="Calibri" w:hAnsi="Times New Roman" w:cs="Times New Roman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F911F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11FB"/>
    <w:rPr>
      <w:rFonts w:ascii="Times New Roman" w:hAnsi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911F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11FB"/>
    <w:rPr>
      <w:rFonts w:ascii="Times New Roman" w:hAnsi="Times New Roman"/>
      <w:sz w:val="22"/>
      <w:szCs w:val="22"/>
    </w:rPr>
  </w:style>
  <w:style w:type="paragraph" w:styleId="berarbeitung">
    <w:name w:val="Revision"/>
    <w:hidden/>
    <w:uiPriority w:val="99"/>
    <w:semiHidden/>
    <w:rsid w:val="00C9598D"/>
    <w:rPr>
      <w:rFonts w:ascii="Times New Roman" w:hAnsi="Times New Roman"/>
      <w:sz w:val="22"/>
      <w:szCs w:val="22"/>
    </w:rPr>
  </w:style>
  <w:style w:type="table" w:styleId="Tabellenraster">
    <w:name w:val="Table Grid"/>
    <w:basedOn w:val="NormaleTabelle"/>
    <w:uiPriority w:val="39"/>
    <w:rsid w:val="0065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verzeichnis2">
    <w:name w:val="Literaturverzeichnis2"/>
    <w:basedOn w:val="Standard"/>
    <w:link w:val="BibliographyZchn1"/>
    <w:rsid w:val="00DA3974"/>
    <w:pPr>
      <w:spacing w:after="0" w:line="240" w:lineRule="auto"/>
      <w:ind w:left="720" w:hanging="720"/>
    </w:pPr>
    <w:rPr>
      <w:rFonts w:eastAsia="Calibri" w:cs="Times New Roman"/>
      <w:lang w:val="en-US"/>
    </w:rPr>
  </w:style>
  <w:style w:type="character" w:customStyle="1" w:styleId="BibliographyZchn1">
    <w:name w:val="Bibliography Zchn1"/>
    <w:basedOn w:val="BibliographyZchn"/>
    <w:link w:val="Literaturverzeichnis2"/>
    <w:rsid w:val="00DA3974"/>
    <w:rPr>
      <w:rFonts w:ascii="Times New Roman" w:eastAsia="Calibri" w:hAnsi="Times New Roman" w:cs="Times New Roman"/>
      <w:sz w:val="22"/>
      <w:szCs w:val="22"/>
      <w:lang w:val="en-US"/>
    </w:rPr>
  </w:style>
  <w:style w:type="paragraph" w:customStyle="1" w:styleId="Bibliography1">
    <w:name w:val="Bibliography1"/>
    <w:basedOn w:val="Standard"/>
    <w:link w:val="BibliographyZchn2"/>
    <w:rsid w:val="00A6625C"/>
    <w:pPr>
      <w:tabs>
        <w:tab w:val="left" w:pos="380"/>
      </w:tabs>
      <w:spacing w:after="240" w:line="240" w:lineRule="auto"/>
      <w:ind w:left="384" w:hanging="384"/>
    </w:pPr>
    <w:rPr>
      <w:lang w:val="en-US"/>
    </w:rPr>
  </w:style>
  <w:style w:type="character" w:customStyle="1" w:styleId="BibliographyZchn2">
    <w:name w:val="Bibliography Zchn2"/>
    <w:basedOn w:val="Absatz-Standardschriftart"/>
    <w:link w:val="Bibliography1"/>
    <w:rsid w:val="00A6625C"/>
    <w:rPr>
      <w:rFonts w:ascii="Times New Roman" w:hAnsi="Times New Roman"/>
      <w:sz w:val="22"/>
      <w:szCs w:val="22"/>
      <w:lang w:val="en-US"/>
    </w:rPr>
  </w:style>
  <w:style w:type="character" w:customStyle="1" w:styleId="citation-doi">
    <w:name w:val="citation-doi"/>
    <w:basedOn w:val="Absatz-Standardschriftart"/>
    <w:rsid w:val="0007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DB77-1013-4F29-B28F-69E0C640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2929</Words>
  <Characters>18453</Characters>
  <Application>Microsoft Office Word</Application>
  <DocSecurity>0</DocSecurity>
  <Lines>153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Rinaldi, Giulia (UPD)</dc:creator>
  <cp:keywords/>
  <dc:description/>
  <cp:lastModifiedBy>Microsoft Office User</cp:lastModifiedBy>
  <cp:revision>12</cp:revision>
  <dcterms:created xsi:type="dcterms:W3CDTF">2024-11-04T08:17:00Z</dcterms:created>
  <dcterms:modified xsi:type="dcterms:W3CDTF">2024-12-03T19:03:00Z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id="zTCCAhIs"/&gt;&lt;style id="http://www.zotero.org/styles/giulias-vancouver" locale="en-US" hasBibliography="1" bibliographyStyleHasBeenSet="1"/&gt;&lt;prefs&gt;&lt;pref name="fieldType" value="Field"/&gt;&lt;pref name="</vt:lpwstr>
  </property>
  <property fmtid="{D5CDD505-2E9C-101B-9397-08002B2CF9AE}" pid="3" name="ZOTERO_PREF_2">
    <vt:lpwstr>automaticJournalAbbreviations" value="true"/&gt;&lt;/prefs&gt;&lt;/data&gt;</vt:lpwstr>
  </property>
</Properties>
</file>