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00" w:rsidRPr="00091F63" w:rsidRDefault="00053700" w:rsidP="00053700">
      <w:pPr>
        <w:pStyle w:val="EndNoteBibliography"/>
        <w:spacing w:after="0" w:line="480" w:lineRule="auto"/>
        <w:rPr>
          <w:rFonts w:ascii="Times New Roman" w:hAnsi="Times New Roman" w:cs="Times New Roman"/>
          <w:b/>
          <w:bCs/>
          <w:sz w:val="24"/>
          <w:szCs w:val="24"/>
        </w:rPr>
      </w:pPr>
      <w:r w:rsidRPr="00091F63">
        <w:rPr>
          <w:rFonts w:ascii="Times New Roman" w:hAnsi="Times New Roman" w:cs="Times New Roman"/>
          <w:b/>
          <w:bCs/>
          <w:sz w:val="24"/>
          <w:szCs w:val="24"/>
        </w:rPr>
        <w:t>SUPPLEMENT</w:t>
      </w:r>
    </w:p>
    <w:p w:rsidR="00053700" w:rsidRPr="00091F63" w:rsidRDefault="00053700" w:rsidP="00053700">
      <w:pPr>
        <w:spacing w:after="0" w:line="480" w:lineRule="auto"/>
        <w:jc w:val="both"/>
        <w:rPr>
          <w:rFonts w:ascii="Times New Roman" w:hAnsi="Times New Roman" w:cs="Times New Roman"/>
          <w:i/>
          <w:sz w:val="24"/>
          <w:szCs w:val="24"/>
        </w:rPr>
      </w:pPr>
      <w:r w:rsidRPr="00091F63">
        <w:rPr>
          <w:rFonts w:ascii="Times New Roman" w:hAnsi="Times New Roman" w:cs="Times New Roman"/>
          <w:i/>
          <w:sz w:val="24"/>
          <w:szCs w:val="24"/>
        </w:rPr>
        <w:t>Growth Mixture Modelling</w:t>
      </w:r>
    </w:p>
    <w:p w:rsidR="00053700" w:rsidRDefault="00053700" w:rsidP="00053700">
      <w:pPr>
        <w:spacing w:after="0" w:line="480" w:lineRule="auto"/>
        <w:ind w:firstLine="708"/>
        <w:jc w:val="both"/>
        <w:rPr>
          <w:rFonts w:ascii="Times New Roman" w:hAnsi="Times New Roman" w:cs="Times New Roman"/>
          <w:sz w:val="24"/>
          <w:szCs w:val="24"/>
        </w:rPr>
      </w:pPr>
      <w:r w:rsidRPr="00091F63">
        <w:rPr>
          <w:rFonts w:ascii="Times New Roman" w:hAnsi="Times New Roman" w:cs="Times New Roman"/>
          <w:sz w:val="24"/>
          <w:szCs w:val="24"/>
        </w:rPr>
        <w:t xml:space="preserve">First, we fitted latent growth models on the depressive symptoms, distress, and resilience variables across the three waves of measurement. We estimated missing values with the full information maximum likelihood method (FIML). </w:t>
      </w:r>
      <w:r>
        <w:rPr>
          <w:rFonts w:ascii="Times New Roman" w:hAnsi="Times New Roman" w:cs="Times New Roman"/>
          <w:color w:val="222222"/>
          <w:sz w:val="24"/>
          <w:szCs w:val="24"/>
          <w:shd w:val="clear" w:color="auto" w:fill="FFFFFF"/>
        </w:rPr>
        <w:t>W</w:t>
      </w:r>
      <w:r w:rsidRPr="004A5935">
        <w:rPr>
          <w:rFonts w:ascii="Times New Roman" w:hAnsi="Times New Roman" w:cs="Times New Roman"/>
          <w:color w:val="222222"/>
          <w:sz w:val="24"/>
          <w:szCs w:val="24"/>
          <w:shd w:val="clear" w:color="auto" w:fill="FFFFFF"/>
        </w:rPr>
        <w:t>e included participants who took part in all three waves, but we did not restrict the sample to participants who had complete responses</w:t>
      </w:r>
      <w:r>
        <w:rPr>
          <w:rFonts w:ascii="Times New Roman" w:hAnsi="Times New Roman" w:cs="Times New Roman"/>
          <w:color w:val="222222"/>
          <w:sz w:val="24"/>
          <w:szCs w:val="24"/>
          <w:shd w:val="clear" w:color="auto" w:fill="FFFFFF"/>
        </w:rPr>
        <w:t xml:space="preserve"> in all three waves</w:t>
      </w:r>
      <w:r w:rsidRPr="004A5935">
        <w:rPr>
          <w:rFonts w:ascii="Times New Roman" w:hAnsi="Times New Roman" w:cs="Times New Roman"/>
          <w:color w:val="222222"/>
          <w:sz w:val="24"/>
          <w:szCs w:val="24"/>
          <w:shd w:val="clear" w:color="auto" w:fill="FFFFFF"/>
        </w:rPr>
        <w:t>. We did so</w:t>
      </w:r>
      <w:r>
        <w:rPr>
          <w:rFonts w:ascii="Times New Roman" w:hAnsi="Times New Roman" w:cs="Times New Roman"/>
          <w:color w:val="222222"/>
          <w:sz w:val="24"/>
          <w:szCs w:val="24"/>
          <w:shd w:val="clear" w:color="auto" w:fill="FFFFFF"/>
        </w:rPr>
        <w:t xml:space="preserve"> because the FIML method used for missing data handling has very good performance in Structural Equation Modeling methods, even in small sample sizes </w:t>
      </w:r>
      <w:r>
        <w:rPr>
          <w:rFonts w:ascii="Times New Roman" w:hAnsi="Times New Roman" w:cs="Times New Roman"/>
          <w:color w:val="222222"/>
          <w:sz w:val="24"/>
          <w:szCs w:val="24"/>
          <w:shd w:val="clear" w:color="auto" w:fill="FFFFFF"/>
        </w:rPr>
        <w:fldChar w:fldCharType="begin"/>
      </w:r>
      <w:r w:rsidR="009C5116">
        <w:rPr>
          <w:rFonts w:ascii="Times New Roman" w:hAnsi="Times New Roman" w:cs="Times New Roman"/>
          <w:color w:val="222222"/>
          <w:sz w:val="24"/>
          <w:szCs w:val="24"/>
          <w:shd w:val="clear" w:color="auto" w:fill="FFFFFF"/>
        </w:rPr>
        <w:instrText xml:space="preserve"> ADDIN EN.CITE &lt;EndNote&gt;&lt;Cite&gt;&lt;Author&gt;Von Hippel&lt;/Author&gt;&lt;Year&gt;2016&lt;/Year&gt;&lt;RecNum&gt;271&lt;/RecNum&gt;&lt;DisplayText&gt;[1]&lt;/DisplayText&gt;&lt;record&gt;&lt;rec-number&gt;271&lt;/rec-number&gt;&lt;foreign-keys&gt;&lt;key app="EN" db-id="r9fsvvza0902r5efwpvvvxzbeetdp5tapwt9" timestamp="1712219609"&gt;271&lt;/key&gt;&lt;/foreign-keys&gt;&lt;ref-type name="Journal Article"&gt;17&lt;/ref-type&gt;&lt;contributors&gt;&lt;authors&gt;&lt;author&gt;Von Hippel, Paul T&lt;/author&gt;&lt;/authors&gt;&lt;/contributors&gt;&lt;titles&gt;&lt;title&gt;New confidence intervals and bias comparisons show that maximum likelihood can beat multiple imputation in small samples&lt;/title&gt;&lt;secondary-title&gt;Structural Equation Modeling: A Multidisciplinary Journal&lt;/secondary-title&gt;&lt;/titles&gt;&lt;periodical&gt;&lt;full-title&gt;Structural Equation Modeling: A Multidisciplinary Journal&lt;/full-title&gt;&lt;/periodical&gt;&lt;pages&gt;422-437&lt;/pages&gt;&lt;volume&gt;23&lt;/volume&gt;&lt;number&gt;3&lt;/number&gt;&lt;dates&gt;&lt;year&gt;2016&lt;/year&gt;&lt;/dates&gt;&lt;isbn&gt;1070-5511&lt;/isbn&gt;&lt;urls&gt;&lt;/urls&gt;&lt;/record&gt;&lt;/Cite&gt;&lt;/EndNote&gt;</w:instrText>
      </w:r>
      <w:r>
        <w:rPr>
          <w:rFonts w:ascii="Times New Roman" w:hAnsi="Times New Roman" w:cs="Times New Roman"/>
          <w:color w:val="222222"/>
          <w:sz w:val="24"/>
          <w:szCs w:val="24"/>
          <w:shd w:val="clear" w:color="auto" w:fill="FFFFFF"/>
        </w:rPr>
        <w:fldChar w:fldCharType="separate"/>
      </w:r>
      <w:r w:rsidR="009C5116">
        <w:rPr>
          <w:rFonts w:ascii="Times New Roman" w:hAnsi="Times New Roman" w:cs="Times New Roman"/>
          <w:noProof/>
          <w:color w:val="222222"/>
          <w:sz w:val="24"/>
          <w:szCs w:val="24"/>
          <w:shd w:val="clear" w:color="auto" w:fill="FFFFFF"/>
        </w:rPr>
        <w:t>[1]</w:t>
      </w:r>
      <w:r>
        <w:rPr>
          <w:rFonts w:ascii="Times New Roman" w:hAnsi="Times New Roman" w:cs="Times New Roman"/>
          <w:color w:val="222222"/>
          <w:sz w:val="24"/>
          <w:szCs w:val="24"/>
          <w:shd w:val="clear" w:color="auto" w:fill="FFFFFF"/>
        </w:rPr>
        <w:fldChar w:fldCharType="end"/>
      </w:r>
      <w:r>
        <w:rPr>
          <w:rFonts w:ascii="Times New Roman" w:hAnsi="Times New Roman" w:cs="Times New Roman"/>
          <w:color w:val="222222"/>
          <w:sz w:val="24"/>
          <w:szCs w:val="24"/>
          <w:shd w:val="clear" w:color="auto" w:fill="FFFFFF"/>
        </w:rPr>
        <w:t xml:space="preserve">. FIML is also the most widely applied method in Growth Mixture Modeling studies </w:t>
      </w:r>
      <w:r>
        <w:rPr>
          <w:rFonts w:ascii="Times New Roman" w:hAnsi="Times New Roman" w:cs="Times New Roman"/>
          <w:color w:val="222222"/>
          <w:sz w:val="24"/>
          <w:szCs w:val="24"/>
          <w:shd w:val="clear" w:color="auto" w:fill="FFFFFF"/>
        </w:rPr>
        <w:fldChar w:fldCharType="begin"/>
      </w:r>
      <w:r w:rsidR="009C5116">
        <w:rPr>
          <w:rFonts w:ascii="Times New Roman" w:hAnsi="Times New Roman" w:cs="Times New Roman"/>
          <w:color w:val="222222"/>
          <w:sz w:val="24"/>
          <w:szCs w:val="24"/>
          <w:shd w:val="clear" w:color="auto" w:fill="FFFFFF"/>
        </w:rPr>
        <w:instrText xml:space="preserve"> ADDIN EN.CITE &lt;EndNote&gt;&lt;Cite&gt;&lt;Author&gt;Van De Schoot&lt;/Author&gt;&lt;Year&gt;2017&lt;/Year&gt;&lt;RecNum&gt;272&lt;/RecNum&gt;&lt;DisplayText&gt;[2]&lt;/DisplayText&gt;&lt;record&gt;&lt;rec-number&gt;272&lt;/rec-number&gt;&lt;foreign-keys&gt;&lt;key app="EN" db-id="r9fsvvza0902r5efwpvvvxzbeetdp5tapwt9" timestamp="1712219697"&gt;272&lt;/key&gt;&lt;/foreign-keys&gt;&lt;ref-type name="Journal Article"&gt;17&lt;/ref-type&gt;&lt;contributors&gt;&lt;authors&gt;&lt;author&gt;Van De Schoot, Rens&lt;/author&gt;&lt;author&gt;Sijbrandij, Marit&lt;/author&gt;&lt;author&gt;Winter, Sonja D&lt;/author&gt;&lt;author&gt;Depaoli, Sarah&lt;/author&gt;&lt;author&gt;Vermunt, Jeroen K&lt;/author&gt;&lt;/authors&gt;&lt;/contributors&gt;&lt;titles&gt;&lt;title&gt;The GRoLTS-checklist: guidelines for reporting on latent trajectory studies&lt;/title&gt;&lt;secondary-title&gt;Structural Equation Modeling: A Multidisciplinary Journal&lt;/secondary-title&gt;&lt;/titles&gt;&lt;periodical&gt;&lt;full-title&gt;Structural Equation Modeling: A Multidisciplinary Journal&lt;/full-title&gt;&lt;/periodical&gt;&lt;pages&gt;451-467&lt;/pages&gt;&lt;volume&gt;24&lt;/volume&gt;&lt;number&gt;3&lt;/number&gt;&lt;dates&gt;&lt;year&gt;2017&lt;/year&gt;&lt;/dates&gt;&lt;isbn&gt;1070-5511&lt;/isbn&gt;&lt;urls&gt;&lt;/urls&gt;&lt;/record&gt;&lt;/Cite&gt;&lt;/EndNote&gt;</w:instrText>
      </w:r>
      <w:r>
        <w:rPr>
          <w:rFonts w:ascii="Times New Roman" w:hAnsi="Times New Roman" w:cs="Times New Roman"/>
          <w:color w:val="222222"/>
          <w:sz w:val="24"/>
          <w:szCs w:val="24"/>
          <w:shd w:val="clear" w:color="auto" w:fill="FFFFFF"/>
        </w:rPr>
        <w:fldChar w:fldCharType="separate"/>
      </w:r>
      <w:r w:rsidR="009C5116">
        <w:rPr>
          <w:rFonts w:ascii="Times New Roman" w:hAnsi="Times New Roman" w:cs="Times New Roman"/>
          <w:noProof/>
          <w:color w:val="222222"/>
          <w:sz w:val="24"/>
          <w:szCs w:val="24"/>
          <w:shd w:val="clear" w:color="auto" w:fill="FFFFFF"/>
        </w:rPr>
        <w:t>[2]</w:t>
      </w:r>
      <w:r>
        <w:rPr>
          <w:rFonts w:ascii="Times New Roman" w:hAnsi="Times New Roman" w:cs="Times New Roman"/>
          <w:color w:val="222222"/>
          <w:sz w:val="24"/>
          <w:szCs w:val="24"/>
          <w:shd w:val="clear" w:color="auto" w:fill="FFFFFF"/>
        </w:rPr>
        <w:fldChar w:fldCharType="end"/>
      </w:r>
      <w:r>
        <w:rPr>
          <w:rFonts w:ascii="Times New Roman" w:hAnsi="Times New Roman" w:cs="Times New Roman"/>
          <w:color w:val="222222"/>
          <w:sz w:val="24"/>
          <w:szCs w:val="24"/>
          <w:shd w:val="clear" w:color="auto" w:fill="FFFFFF"/>
        </w:rPr>
        <w:t xml:space="preserve">. Re-running the model with full data coverage yields essentially the same results as patterns obtained with the FIML method </w:t>
      </w:r>
      <w:r>
        <w:rPr>
          <w:rFonts w:ascii="Times New Roman" w:hAnsi="Times New Roman" w:cs="Times New Roman"/>
          <w:color w:val="222222"/>
          <w:sz w:val="24"/>
          <w:szCs w:val="24"/>
          <w:shd w:val="clear" w:color="auto" w:fill="FFFFFF"/>
        </w:rPr>
        <w:fldChar w:fldCharType="begin"/>
      </w:r>
      <w:r w:rsidR="009C5116">
        <w:rPr>
          <w:rFonts w:ascii="Times New Roman" w:hAnsi="Times New Roman" w:cs="Times New Roman"/>
          <w:color w:val="222222"/>
          <w:sz w:val="24"/>
          <w:szCs w:val="24"/>
          <w:shd w:val="clear" w:color="auto" w:fill="FFFFFF"/>
        </w:rPr>
        <w:instrText xml:space="preserve"> ADDIN EN.CITE &lt;EndNote&gt;&lt;Cite&gt;&lt;Author&gt;Formánek&lt;/Author&gt;&lt;Year&gt;2020&lt;/Year&gt;&lt;RecNum&gt;273&lt;/RecNum&gt;&lt;DisplayText&gt;[3, 4]&lt;/DisplayText&gt;&lt;record&gt;&lt;rec-number&gt;273&lt;/rec-number&gt;&lt;foreign-keys&gt;&lt;key app="EN" db-id="r9fsvvza0902r5efwpvvvxzbeetdp5tapwt9" timestamp="1712219753"&gt;273&lt;/key&gt;&lt;/foreign-keys&gt;&lt;ref-type name="Journal Article"&gt;17&lt;/ref-type&gt;&lt;contributors&gt;&lt;authors&gt;&lt;author&gt;Formánek, Tomáš&lt;/author&gt;&lt;author&gt;Csajbók, Zsófia&lt;/author&gt;&lt;author&gt;Wolfová, Katrin&lt;/author&gt;&lt;author&gt;Kučera, Matěj&lt;/author&gt;&lt;author&gt;Tom, Sarah&lt;/author&gt;&lt;author&gt;Aarsland, Dag&lt;/author&gt;&lt;author&gt;Cermakova, Pavla&lt;/author&gt;&lt;/authors&gt;&lt;/contributors&gt;&lt;titles&gt;&lt;title&gt;Trajectories of depressive symptoms and associated patterns of cognitive decline&lt;/title&gt;&lt;secondary-title&gt;Scientific Reports&lt;/secondary-title&gt;&lt;/titles&gt;&lt;periodical&gt;&lt;full-title&gt;Sci Rep&lt;/full-title&gt;&lt;abbr-1&gt;Scientific reports&lt;/abbr-1&gt;&lt;/periodical&gt;&lt;pages&gt;20888&lt;/pages&gt;&lt;volume&gt;10&lt;/volume&gt;&lt;number&gt;1&lt;/number&gt;&lt;dates&gt;&lt;year&gt;2020&lt;/year&gt;&lt;/dates&gt;&lt;isbn&gt;2045-2322&lt;/isbn&gt;&lt;urls&gt;&lt;/urls&gt;&lt;/record&gt;&lt;/Cite&gt;&lt;Cite&gt;&lt;Author&gt;Cermakova&lt;/Author&gt;&lt;Year&gt;2023&lt;/Year&gt;&lt;RecNum&gt;274&lt;/RecNum&gt;&lt;record&gt;&lt;rec-number&gt;274&lt;/rec-number&gt;&lt;foreign-keys&gt;&lt;key app="EN" db-id="r9fsvvza0902r5efwpvvvxzbeetdp5tapwt9" timestamp="1712219794"&gt;274&lt;/key&gt;&lt;/foreign-keys&gt;&lt;ref-type name="Journal Article"&gt;17&lt;/ref-type&gt;&lt;contributors&gt;&lt;authors&gt;&lt;author&gt;Cermakova, Pavla&lt;/author&gt;&lt;author&gt;Csajbók, Zsófia&lt;/author&gt;&lt;/authors&gt;&lt;/contributors&gt;&lt;titles&gt;&lt;title&gt;Household crowding in childhood and trajectories of depressive symptoms in mid-life and older age&lt;/title&gt;&lt;secondary-title&gt;Journal of Affective Disorders&lt;/secondary-title&gt;&lt;/titles&gt;&lt;periodical&gt;&lt;full-title&gt;Journal of Affective Disorders&lt;/full-title&gt;&lt;/periodical&gt;&lt;pages&gt;456-461&lt;/pages&gt;&lt;volume&gt;340&lt;/volume&gt;&lt;dates&gt;&lt;year&gt;2023&lt;/year&gt;&lt;/dates&gt;&lt;isbn&gt;0165-0327&lt;/isbn&gt;&lt;urls&gt;&lt;/urls&gt;&lt;/record&gt;&lt;/Cite&gt;&lt;/EndNote&gt;</w:instrText>
      </w:r>
      <w:r>
        <w:rPr>
          <w:rFonts w:ascii="Times New Roman" w:hAnsi="Times New Roman" w:cs="Times New Roman"/>
          <w:color w:val="222222"/>
          <w:sz w:val="24"/>
          <w:szCs w:val="24"/>
          <w:shd w:val="clear" w:color="auto" w:fill="FFFFFF"/>
        </w:rPr>
        <w:fldChar w:fldCharType="separate"/>
      </w:r>
      <w:r w:rsidR="009C5116">
        <w:rPr>
          <w:rFonts w:ascii="Times New Roman" w:hAnsi="Times New Roman" w:cs="Times New Roman"/>
          <w:noProof/>
          <w:color w:val="222222"/>
          <w:sz w:val="24"/>
          <w:szCs w:val="24"/>
          <w:shd w:val="clear" w:color="auto" w:fill="FFFFFF"/>
        </w:rPr>
        <w:t>[3, 4]</w:t>
      </w:r>
      <w:r>
        <w:rPr>
          <w:rFonts w:ascii="Times New Roman" w:hAnsi="Times New Roman" w:cs="Times New Roman"/>
          <w:color w:val="222222"/>
          <w:sz w:val="24"/>
          <w:szCs w:val="24"/>
          <w:shd w:val="clear" w:color="auto" w:fill="FFFFFF"/>
        </w:rPr>
        <w:fldChar w:fldCharType="end"/>
      </w:r>
      <w:r>
        <w:rPr>
          <w:rFonts w:ascii="Times New Roman" w:hAnsi="Times New Roman" w:cs="Times New Roman"/>
          <w:color w:val="222222"/>
          <w:sz w:val="24"/>
          <w:szCs w:val="24"/>
          <w:shd w:val="clear" w:color="auto" w:fill="FFFFFF"/>
        </w:rPr>
        <w:t>, therefore we argue that the trade-off between restricting the sample to full data coverage versus using all available information is best dealt with if we do not further decrease the sample size unnecessarily.</w:t>
      </w:r>
    </w:p>
    <w:p w:rsidR="00053700" w:rsidRPr="00091F63" w:rsidRDefault="00053700" w:rsidP="00053700">
      <w:pPr>
        <w:spacing w:after="0" w:line="480" w:lineRule="auto"/>
        <w:ind w:firstLine="708"/>
        <w:jc w:val="both"/>
        <w:rPr>
          <w:rFonts w:ascii="Times New Roman" w:hAnsi="Times New Roman" w:cs="Times New Roman"/>
          <w:sz w:val="24"/>
          <w:szCs w:val="24"/>
        </w:rPr>
      </w:pPr>
      <w:r w:rsidRPr="00091F63">
        <w:rPr>
          <w:rFonts w:ascii="Times New Roman" w:hAnsi="Times New Roman" w:cs="Times New Roman"/>
          <w:sz w:val="24"/>
          <w:szCs w:val="24"/>
        </w:rPr>
        <w:t xml:space="preserve">To help the models converge, we divided the depressive symptoms and distress scores by 10 thereby keeping the </w:t>
      </w:r>
      <w:r>
        <w:rPr>
          <w:rFonts w:ascii="Times New Roman" w:hAnsi="Times New Roman" w:cs="Times New Roman"/>
          <w:sz w:val="24"/>
          <w:szCs w:val="24"/>
        </w:rPr>
        <w:t>variances</w:t>
      </w:r>
      <w:r w:rsidRPr="00091F63">
        <w:rPr>
          <w:rFonts w:ascii="Times New Roman" w:hAnsi="Times New Roman" w:cs="Times New Roman"/>
          <w:sz w:val="24"/>
          <w:szCs w:val="24"/>
        </w:rPr>
        <w:t xml:space="preserve"> between </w:t>
      </w:r>
      <w:r>
        <w:rPr>
          <w:rFonts w:ascii="Times New Roman" w:hAnsi="Times New Roman" w:cs="Times New Roman"/>
          <w:sz w:val="24"/>
          <w:szCs w:val="24"/>
        </w:rPr>
        <w:t>1</w:t>
      </w:r>
      <w:r w:rsidRPr="00091F63">
        <w:rPr>
          <w:rFonts w:ascii="Times New Roman" w:hAnsi="Times New Roman" w:cs="Times New Roman"/>
          <w:sz w:val="24"/>
          <w:szCs w:val="24"/>
        </w:rPr>
        <w:t xml:space="preserve"> to 10 (Table S1)</w:t>
      </w:r>
      <w:r>
        <w:rPr>
          <w:rFonts w:ascii="Times New Roman" w:hAnsi="Times New Roman" w:cs="Times New Roman"/>
          <w:sz w:val="24"/>
          <w:szCs w:val="24"/>
        </w:rPr>
        <w:t xml:space="preserve">, following the common practice when using the </w:t>
      </w:r>
      <w:proofErr w:type="spellStart"/>
      <w:r>
        <w:rPr>
          <w:rFonts w:ascii="Times New Roman" w:hAnsi="Times New Roman" w:cs="Times New Roman"/>
          <w:sz w:val="24"/>
          <w:szCs w:val="24"/>
        </w:rPr>
        <w:t>Mplus</w:t>
      </w:r>
      <w:proofErr w:type="spellEnd"/>
      <w:r>
        <w:rPr>
          <w:rFonts w:ascii="Times New Roman" w:hAnsi="Times New Roman" w:cs="Times New Roman"/>
          <w:sz w:val="24"/>
          <w:szCs w:val="24"/>
        </w:rPr>
        <w:t xml:space="preserve"> software </w:t>
      </w:r>
      <w:r>
        <w:rPr>
          <w:rFonts w:ascii="Times New Roman" w:hAnsi="Times New Roman" w:cs="Times New Roman"/>
          <w:sz w:val="24"/>
          <w:szCs w:val="24"/>
        </w:rPr>
        <w:fldChar w:fldCharType="begin"/>
      </w:r>
      <w:r w:rsidR="009C5116">
        <w:rPr>
          <w:rFonts w:ascii="Times New Roman" w:hAnsi="Times New Roman" w:cs="Times New Roman"/>
          <w:sz w:val="24"/>
          <w:szCs w:val="24"/>
        </w:rPr>
        <w:instrText xml:space="preserve"> ADDIN EN.CITE &lt;EndNote&gt;&lt;Cite&gt;&lt;Author&gt;Muthén&lt;/Author&gt;&lt;Year&gt;2017&lt;/Year&gt;&lt;RecNum&gt;275&lt;/RecNum&gt;&lt;DisplayText&gt;[5]&lt;/DisplayText&gt;&lt;record&gt;&lt;rec-number&gt;275&lt;/rec-number&gt;&lt;foreign-keys&gt;&lt;key app="EN" db-id="r9fsvvza0902r5efwpvvvxzbeetdp5tapwt9" timestamp="1712220072"&gt;275&lt;/key&gt;&lt;/foreign-keys&gt;&lt;ref-type name="Book Section"&gt;5&lt;/ref-type&gt;&lt;contributors&gt;&lt;authors&gt;&lt;author&gt;Muthén, Bengt&lt;/author&gt;&lt;author&gt;Muthén, Linda&lt;/author&gt;&lt;/authors&gt;&lt;/contributors&gt;&lt;titles&gt;&lt;title&gt;Mplus&lt;/title&gt;&lt;secondary-title&gt;Handbook of item response theory&lt;/secondary-title&gt;&lt;/titles&gt;&lt;pages&gt;507-518&lt;/pages&gt;&lt;dates&gt;&lt;year&gt;2017&lt;/year&gt;&lt;/dates&gt;&lt;publisher&gt;Chapman and Hall/CRC&lt;/publisher&gt;&lt;urls&gt;&lt;/urls&gt;&lt;/record&gt;&lt;/Cite&gt;&lt;/EndNote&gt;</w:instrText>
      </w:r>
      <w:r>
        <w:rPr>
          <w:rFonts w:ascii="Times New Roman" w:hAnsi="Times New Roman" w:cs="Times New Roman"/>
          <w:sz w:val="24"/>
          <w:szCs w:val="24"/>
        </w:rPr>
        <w:fldChar w:fldCharType="separate"/>
      </w:r>
      <w:r w:rsidR="009C5116">
        <w:rPr>
          <w:rFonts w:ascii="Times New Roman" w:hAnsi="Times New Roman" w:cs="Times New Roman"/>
          <w:noProof/>
          <w:sz w:val="24"/>
          <w:szCs w:val="24"/>
        </w:rPr>
        <w:t>[5]</w:t>
      </w:r>
      <w:r>
        <w:rPr>
          <w:rFonts w:ascii="Times New Roman" w:hAnsi="Times New Roman" w:cs="Times New Roman"/>
          <w:sz w:val="24"/>
          <w:szCs w:val="24"/>
        </w:rPr>
        <w:fldChar w:fldCharType="end"/>
      </w:r>
      <w:r w:rsidRPr="00091F63">
        <w:rPr>
          <w:rFonts w:ascii="Times New Roman" w:hAnsi="Times New Roman" w:cs="Times New Roman"/>
          <w:sz w:val="24"/>
          <w:szCs w:val="24"/>
        </w:rPr>
        <w:t>. The latent growth model did not yield acceptable model fit on the depressive symptoms and distress variables, but yielded excellent model fit on resilience (X</w:t>
      </w:r>
      <w:r w:rsidRPr="00091F63">
        <w:rPr>
          <w:rFonts w:ascii="Times New Roman" w:hAnsi="Times New Roman" w:cs="Times New Roman"/>
          <w:sz w:val="24"/>
          <w:szCs w:val="24"/>
          <w:vertAlign w:val="superscript"/>
        </w:rPr>
        <w:t>2</w:t>
      </w:r>
      <w:r w:rsidRPr="00091F63">
        <w:rPr>
          <w:rFonts w:ascii="Times New Roman" w:hAnsi="Times New Roman" w:cs="Times New Roman"/>
          <w:sz w:val="24"/>
          <w:szCs w:val="24"/>
        </w:rPr>
        <w:t xml:space="preserve">(1) = 1.401, RMSEA = 0.035 (90% CI 0.000, 0.158), CFI = 0.999, TLI = 0.997, SRMR = 0.012). An alternative model, the latent base growth model was fitted on the depressive symptoms and distress variables. This method allowed for freely estimated trajectory patterns by fixing the two ends of the trajectory slopes at zero and one, and freely estimating the slope in the middle instead of fixing them at zero, one, and two as in a linear growth model. Here, the loading on the latent slope factor of wave 0 was fixed at 0, while the loading of wave 2 was fixed at 1, and the loading of wave 1 was estimated freely. Being a just identified model, the model yielded excellent model fit on depressive symptoms, but the model did not converge on </w:t>
      </w:r>
      <w:r w:rsidRPr="00091F63">
        <w:rPr>
          <w:rFonts w:ascii="Times New Roman" w:hAnsi="Times New Roman" w:cs="Times New Roman"/>
          <w:sz w:val="24"/>
          <w:szCs w:val="24"/>
        </w:rPr>
        <w:lastRenderedPageBreak/>
        <w:t>distress. To inspect if this affects the mixture modelling results, we submitted the latent base growth model into the mixture modelling for both depressive symptoms and distress.</w:t>
      </w:r>
    </w:p>
    <w:p w:rsidR="00053700" w:rsidRPr="00091F63" w:rsidRDefault="00053700" w:rsidP="00053700">
      <w:pPr>
        <w:spacing w:after="0" w:line="480" w:lineRule="auto"/>
        <w:ind w:firstLine="708"/>
        <w:jc w:val="both"/>
        <w:rPr>
          <w:rFonts w:ascii="Times New Roman" w:hAnsi="Times New Roman" w:cs="Times New Roman"/>
          <w:sz w:val="24"/>
          <w:szCs w:val="24"/>
        </w:rPr>
      </w:pPr>
      <w:r w:rsidRPr="00D241DD">
        <w:rPr>
          <w:rFonts w:ascii="Times New Roman" w:hAnsi="Times New Roman" w:cs="Times New Roman"/>
          <w:sz w:val="24"/>
          <w:szCs w:val="24"/>
        </w:rPr>
        <w:t xml:space="preserve">The most widely used </w:t>
      </w:r>
      <w:r>
        <w:rPr>
          <w:rFonts w:ascii="Times New Roman" w:hAnsi="Times New Roman" w:cs="Times New Roman"/>
          <w:sz w:val="24"/>
          <w:szCs w:val="24"/>
        </w:rPr>
        <w:t>Growth Mixture Model (</w:t>
      </w:r>
      <w:r w:rsidRPr="00D241DD">
        <w:rPr>
          <w:rFonts w:ascii="Times New Roman" w:hAnsi="Times New Roman" w:cs="Times New Roman"/>
          <w:sz w:val="24"/>
          <w:szCs w:val="24"/>
        </w:rPr>
        <w:t>GMM</w:t>
      </w:r>
      <w:r>
        <w:rPr>
          <w:rFonts w:ascii="Times New Roman" w:hAnsi="Times New Roman" w:cs="Times New Roman"/>
          <w:sz w:val="24"/>
          <w:szCs w:val="24"/>
        </w:rPr>
        <w:t xml:space="preserve">, </w:t>
      </w:r>
      <w:r w:rsidRPr="00D241DD">
        <w:rPr>
          <w:rFonts w:ascii="Times New Roman" w:hAnsi="Times New Roman" w:cs="Times New Roman"/>
          <w:sz w:val="24"/>
          <w:szCs w:val="24"/>
        </w:rPr>
        <w:t xml:space="preserve">where the variances of the latent growth factors were held equal across classes) did not yield interpretable class sizes (e.g., subgroup of n = 28), did not converge, or obtained negative residual variance for the latent slope factor. </w:t>
      </w:r>
      <w:r>
        <w:rPr>
          <w:rFonts w:ascii="Times New Roman" w:hAnsi="Times New Roman" w:cs="Times New Roman"/>
          <w:sz w:val="24"/>
          <w:szCs w:val="24"/>
        </w:rPr>
        <w:t>Therefore, s</w:t>
      </w:r>
      <w:r w:rsidRPr="00091F63">
        <w:rPr>
          <w:rFonts w:ascii="Times New Roman" w:hAnsi="Times New Roman" w:cs="Times New Roman"/>
          <w:sz w:val="24"/>
          <w:szCs w:val="24"/>
        </w:rPr>
        <w:t>ubsequently, we extracted latent classes with the covariance pattern growth mixture modelling method (CPGMM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9C5116">
        <w:rPr>
          <w:rFonts w:ascii="Times New Roman" w:hAnsi="Times New Roman" w:cs="Times New Roman"/>
          <w:sz w:val="24"/>
          <w:szCs w:val="24"/>
        </w:rPr>
        <w:instrText xml:space="preserve"> ADDIN EN.CITE &lt;EndNote&gt;&lt;Cite&gt;&lt;Author&gt;McNeish&lt;/Author&gt;&lt;Year&gt;2020&lt;/Year&gt;&lt;RecNum&gt;276&lt;/RecNum&gt;&lt;DisplayText&gt;[6]&lt;/DisplayText&gt;&lt;record&gt;&lt;rec-number&gt;276&lt;/rec-number&gt;&lt;foreign-keys&gt;&lt;key app="EN" db-id="r9fsvvza0902r5efwpvvvxzbeetdp5tapwt9" timestamp="1712220396"&gt;276&lt;/key&gt;&lt;/foreign-keys&gt;&lt;ref-type name="Journal Article"&gt;17&lt;/ref-type&gt;&lt;contributors&gt;&lt;authors&gt;&lt;author&gt;McNeish, Daniel&lt;/author&gt;&lt;author&gt;Harring, Jeffrey&lt;/author&gt;&lt;/authors&gt;&lt;/contributors&gt;&lt;titles&gt;&lt;title&gt;Covariance pattern mixture models: Eliminating random effects to improve convergence and performance&lt;/title&gt;&lt;secondary-title&gt;Behavior Research Methods&lt;/secondary-title&gt;&lt;/titles&gt;&lt;periodical&gt;&lt;full-title&gt;Behavior Research Methods&lt;/full-title&gt;&lt;/periodical&gt;&lt;pages&gt;947-979&lt;/pages&gt;&lt;volume&gt;52&lt;/volume&gt;&lt;dates&gt;&lt;year&gt;2020&lt;/year&gt;&lt;/dates&gt;&lt;urls&gt;&lt;/urls&gt;&lt;/record&gt;&lt;/Cite&gt;&lt;/EndNote&gt;</w:instrText>
      </w:r>
      <w:r>
        <w:rPr>
          <w:rFonts w:ascii="Times New Roman" w:hAnsi="Times New Roman" w:cs="Times New Roman"/>
          <w:sz w:val="24"/>
          <w:szCs w:val="24"/>
        </w:rPr>
        <w:fldChar w:fldCharType="separate"/>
      </w:r>
      <w:r w:rsidR="009C5116">
        <w:rPr>
          <w:rFonts w:ascii="Times New Roman" w:hAnsi="Times New Roman" w:cs="Times New Roman"/>
          <w:noProof/>
          <w:sz w:val="24"/>
          <w:szCs w:val="24"/>
        </w:rPr>
        <w:t>[6]</w:t>
      </w:r>
      <w:r>
        <w:rPr>
          <w:rFonts w:ascii="Times New Roman" w:hAnsi="Times New Roman" w:cs="Times New Roman"/>
          <w:sz w:val="24"/>
          <w:szCs w:val="24"/>
        </w:rPr>
        <w:fldChar w:fldCharType="end"/>
      </w:r>
      <w:r w:rsidRPr="00091F63">
        <w:rPr>
          <w:rFonts w:ascii="Times New Roman" w:hAnsi="Times New Roman" w:cs="Times New Roman"/>
          <w:sz w:val="24"/>
          <w:szCs w:val="24"/>
        </w:rPr>
        <w:t xml:space="preserve">) that freely estimates unique variances of the latent growth factors in each class. </w:t>
      </w:r>
      <w:r w:rsidRPr="000D46B5">
        <w:rPr>
          <w:rFonts w:ascii="Times New Roman" w:hAnsi="Times New Roman" w:cs="Times New Roman"/>
          <w:sz w:val="24"/>
          <w:szCs w:val="24"/>
        </w:rPr>
        <w:t>This method has the advantage of allowing the classes to be unique and it was developed to avoid methodological artefacts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9C5116">
        <w:rPr>
          <w:rFonts w:ascii="Times New Roman" w:hAnsi="Times New Roman" w:cs="Times New Roman"/>
          <w:sz w:val="24"/>
          <w:szCs w:val="24"/>
        </w:rPr>
        <w:instrText xml:space="preserve"> ADDIN EN.CITE &lt;EndNote&gt;&lt;Cite&gt;&lt;Author&gt;McNeish&lt;/Author&gt;&lt;Year&gt;2020&lt;/Year&gt;&lt;RecNum&gt;276&lt;/RecNum&gt;&lt;DisplayText&gt;[6]&lt;/DisplayText&gt;&lt;record&gt;&lt;rec-number&gt;276&lt;/rec-number&gt;&lt;foreign-keys&gt;&lt;key app="EN" db-id="r9fsvvza0902r5efwpvvvxzbeetdp5tapwt9" timestamp="1712220396"&gt;276&lt;/key&gt;&lt;/foreign-keys&gt;&lt;ref-type name="Journal Article"&gt;17&lt;/ref-type&gt;&lt;contributors&gt;&lt;authors&gt;&lt;author&gt;McNeish, Daniel&lt;/author&gt;&lt;author&gt;Harring, Jeffrey&lt;/author&gt;&lt;/authors&gt;&lt;/contributors&gt;&lt;titles&gt;&lt;title&gt;Covariance pattern mixture models: Eliminating random effects to improve convergence and performance&lt;/title&gt;&lt;secondary-title&gt;Behavior Research Methods&lt;/secondary-title&gt;&lt;/titles&gt;&lt;periodical&gt;&lt;full-title&gt;Behavior Research Methods&lt;/full-title&gt;&lt;/periodical&gt;&lt;pages&gt;947-979&lt;/pages&gt;&lt;volume&gt;52&lt;/volume&gt;&lt;dates&gt;&lt;year&gt;2020&lt;/year&gt;&lt;/dates&gt;&lt;urls&gt;&lt;/urls&gt;&lt;/record&gt;&lt;/Cite&gt;&lt;/EndNote&gt;</w:instrText>
      </w:r>
      <w:r>
        <w:rPr>
          <w:rFonts w:ascii="Times New Roman" w:hAnsi="Times New Roman" w:cs="Times New Roman"/>
          <w:sz w:val="24"/>
          <w:szCs w:val="24"/>
        </w:rPr>
        <w:fldChar w:fldCharType="separate"/>
      </w:r>
      <w:r w:rsidR="009C5116">
        <w:rPr>
          <w:rFonts w:ascii="Times New Roman" w:hAnsi="Times New Roman" w:cs="Times New Roman"/>
          <w:noProof/>
          <w:sz w:val="24"/>
          <w:szCs w:val="24"/>
        </w:rPr>
        <w:t>[6]</w:t>
      </w:r>
      <w:r>
        <w:rPr>
          <w:rFonts w:ascii="Times New Roman" w:hAnsi="Times New Roman" w:cs="Times New Roman"/>
          <w:sz w:val="24"/>
          <w:szCs w:val="24"/>
        </w:rPr>
        <w:fldChar w:fldCharType="end"/>
      </w:r>
      <w:r w:rsidRPr="000D46B5">
        <w:rPr>
          <w:rFonts w:ascii="Times New Roman" w:hAnsi="Times New Roman" w:cs="Times New Roman"/>
          <w:sz w:val="24"/>
          <w:szCs w:val="24"/>
        </w:rPr>
        <w:t xml:space="preserve">. </w:t>
      </w:r>
      <w:r w:rsidRPr="00091F63">
        <w:rPr>
          <w:rFonts w:ascii="Times New Roman" w:hAnsi="Times New Roman" w:cs="Times New Roman"/>
          <w:sz w:val="24"/>
          <w:szCs w:val="24"/>
        </w:rPr>
        <w:t xml:space="preserve">The CPGMM model suggested two distinct classes for depressive symptoms, distress, and resilience. However, the model yielded relatively low distinctiveness in distress (mean difference between the intercepts of the two classes was only 0.500) and in resilience (mean difference between the intercepts of the two classes was only 0.516). For this reason, latent class growth models were estimated for both distress and resilience (with variances fixed at zero in each class). </w:t>
      </w:r>
    </w:p>
    <w:p w:rsidR="00053700" w:rsidRPr="00091F63" w:rsidRDefault="00053700" w:rsidP="00053700">
      <w:pPr>
        <w:spacing w:after="0" w:line="480" w:lineRule="auto"/>
        <w:ind w:firstLine="708"/>
        <w:jc w:val="both"/>
        <w:rPr>
          <w:rFonts w:ascii="Times New Roman" w:hAnsi="Times New Roman" w:cs="Times New Roman"/>
          <w:sz w:val="24"/>
          <w:szCs w:val="24"/>
        </w:rPr>
      </w:pPr>
      <w:r w:rsidRPr="00091F63">
        <w:rPr>
          <w:rFonts w:ascii="Times New Roman" w:hAnsi="Times New Roman" w:cs="Times New Roman"/>
          <w:sz w:val="24"/>
          <w:szCs w:val="24"/>
        </w:rPr>
        <w:t>To test if extracting k classes was more parsimonious than extracting k-1 classes, we</w:t>
      </w:r>
      <w:r w:rsidRPr="00091F63">
        <w:rPr>
          <w:rFonts w:ascii="Times New Roman" w:hAnsi="Times New Roman" w:cs="Times New Roman"/>
          <w:color w:val="000000"/>
          <w:sz w:val="24"/>
          <w:szCs w:val="24"/>
        </w:rPr>
        <w:t xml:space="preserve"> obtained the </w:t>
      </w:r>
      <w:proofErr w:type="spellStart"/>
      <w:r w:rsidRPr="00091F63">
        <w:rPr>
          <w:rFonts w:ascii="Times New Roman" w:hAnsi="Times New Roman" w:cs="Times New Roman"/>
          <w:color w:val="000000"/>
          <w:sz w:val="24"/>
          <w:szCs w:val="24"/>
        </w:rPr>
        <w:t>Akaike</w:t>
      </w:r>
      <w:proofErr w:type="spellEnd"/>
      <w:r w:rsidRPr="00091F63">
        <w:rPr>
          <w:rFonts w:ascii="Times New Roman" w:hAnsi="Times New Roman" w:cs="Times New Roman"/>
          <w:color w:val="000000"/>
          <w:sz w:val="24"/>
          <w:szCs w:val="24"/>
        </w:rPr>
        <w:t xml:space="preserve"> Information Criterion (AIC</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sidR="009C5116">
        <w:rPr>
          <w:rFonts w:ascii="Times New Roman" w:hAnsi="Times New Roman" w:cs="Times New Roman"/>
          <w:color w:val="000000"/>
          <w:sz w:val="24"/>
          <w:szCs w:val="24"/>
        </w:rPr>
        <w:instrText xml:space="preserve"> ADDIN EN.CITE &lt;EndNote&gt;&lt;Cite&gt;&lt;Author&gt;Akaike&lt;/Author&gt;&lt;Year&gt;1998&lt;/Year&gt;&lt;RecNum&gt;277&lt;/RecNum&gt;&lt;DisplayText&gt;[7]&lt;/DisplayText&gt;&lt;record&gt;&lt;rec-number&gt;277&lt;/rec-number&gt;&lt;foreign-keys&gt;&lt;key app="EN" db-id="r9fsvvza0902r5efwpvvvxzbeetdp5tapwt9" timestamp="1712220449"&gt;277&lt;/key&gt;&lt;/foreign-keys&gt;&lt;ref-type name="Book Section"&gt;5&lt;/ref-type&gt;&lt;contributors&gt;&lt;authors&gt;&lt;author&gt;Akaike, Hirotogu&lt;/author&gt;&lt;/authors&gt;&lt;/contributors&gt;&lt;titles&gt;&lt;title&gt;Information theory and an extension of the maximum likelihood principle&lt;/title&gt;&lt;secondary-title&gt;Selected papers of hirotugu akaike&lt;/secondary-title&gt;&lt;/titles&gt;&lt;pages&gt;199-213&lt;/pages&gt;&lt;dates&gt;&lt;year&gt;1998&lt;/year&gt;&lt;/dates&gt;&lt;publisher&gt;Springer&lt;/publisher&gt;&lt;urls&gt;&lt;/urls&gt;&lt;/record&gt;&lt;/Cite&gt;&lt;/EndNote&gt;</w:instrText>
      </w:r>
      <w:r>
        <w:rPr>
          <w:rFonts w:ascii="Times New Roman" w:hAnsi="Times New Roman" w:cs="Times New Roman"/>
          <w:color w:val="000000"/>
          <w:sz w:val="24"/>
          <w:szCs w:val="24"/>
        </w:rPr>
        <w:fldChar w:fldCharType="separate"/>
      </w:r>
      <w:r w:rsidR="009C5116">
        <w:rPr>
          <w:rFonts w:ascii="Times New Roman" w:hAnsi="Times New Roman" w:cs="Times New Roman"/>
          <w:noProof/>
          <w:color w:val="000000"/>
          <w:sz w:val="24"/>
          <w:szCs w:val="24"/>
        </w:rPr>
        <w:t>[7]</w:t>
      </w:r>
      <w:r>
        <w:rPr>
          <w:rFonts w:ascii="Times New Roman" w:hAnsi="Times New Roman" w:cs="Times New Roman"/>
          <w:color w:val="000000"/>
          <w:sz w:val="24"/>
          <w:szCs w:val="24"/>
        </w:rPr>
        <w:fldChar w:fldCharType="end"/>
      </w:r>
      <w:r w:rsidRPr="00091F63">
        <w:rPr>
          <w:rFonts w:ascii="Times New Roman" w:hAnsi="Times New Roman" w:cs="Times New Roman"/>
          <w:color w:val="000000"/>
          <w:sz w:val="24"/>
          <w:szCs w:val="24"/>
        </w:rPr>
        <w:t xml:space="preserve">), </w:t>
      </w:r>
      <w:r w:rsidRPr="00091F63">
        <w:rPr>
          <w:rFonts w:ascii="Times New Roman" w:hAnsi="Times New Roman" w:cs="Times New Roman"/>
          <w:iCs/>
          <w:sz w:val="24"/>
          <w:szCs w:val="24"/>
        </w:rPr>
        <w:t>Bayesian Information Criterion (BIC</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sidR="009C5116">
        <w:rPr>
          <w:rFonts w:ascii="Times New Roman" w:hAnsi="Times New Roman" w:cs="Times New Roman"/>
          <w:iCs/>
          <w:sz w:val="24"/>
          <w:szCs w:val="24"/>
        </w:rPr>
        <w:instrText xml:space="preserve"> ADDIN EN.CITE &lt;EndNote&gt;&lt;Cite&gt;&lt;Author&gt;Schwarz&lt;/Author&gt;&lt;Year&gt;1978&lt;/Year&gt;&lt;RecNum&gt;278&lt;/RecNum&gt;&lt;DisplayText&gt;[8]&lt;/DisplayText&gt;&lt;record&gt;&lt;rec-number&gt;278&lt;/rec-number&gt;&lt;foreign-keys&gt;&lt;key app="EN" db-id="r9fsvvza0902r5efwpvvvxzbeetdp5tapwt9" timestamp="1712220493"&gt;278&lt;/key&gt;&lt;/foreign-keys&gt;&lt;ref-type name="Journal Article"&gt;17&lt;/ref-type&gt;&lt;contributors&gt;&lt;authors&gt;&lt;author&gt;Schwarz, Gideon&lt;/author&gt;&lt;/authors&gt;&lt;/contributors&gt;&lt;titles&gt;&lt;title&gt;Estimating the dimension of a model&lt;/title&gt;&lt;secondary-title&gt;The annals of statistics&lt;/secondary-title&gt;&lt;/titles&gt;&lt;periodical&gt;&lt;full-title&gt;The annals of statistics&lt;/full-title&gt;&lt;/periodical&gt;&lt;pages&gt;461-464&lt;/pages&gt;&lt;dates&gt;&lt;year&gt;1978&lt;/year&gt;&lt;/dates&gt;&lt;isbn&gt;0090-5364&lt;/isbn&gt;&lt;urls&gt;&lt;/urls&gt;&lt;/record&gt;&lt;/Cite&gt;&lt;/EndNote&gt;</w:instrText>
      </w:r>
      <w:r>
        <w:rPr>
          <w:rFonts w:ascii="Times New Roman" w:hAnsi="Times New Roman" w:cs="Times New Roman"/>
          <w:iCs/>
          <w:sz w:val="24"/>
          <w:szCs w:val="24"/>
        </w:rPr>
        <w:fldChar w:fldCharType="separate"/>
      </w:r>
      <w:r w:rsidR="009C5116">
        <w:rPr>
          <w:rFonts w:ascii="Times New Roman" w:hAnsi="Times New Roman" w:cs="Times New Roman"/>
          <w:iCs/>
          <w:noProof/>
          <w:sz w:val="24"/>
          <w:szCs w:val="24"/>
        </w:rPr>
        <w:t>[8]</w:t>
      </w:r>
      <w:r>
        <w:rPr>
          <w:rFonts w:ascii="Times New Roman" w:hAnsi="Times New Roman" w:cs="Times New Roman"/>
          <w:iCs/>
          <w:sz w:val="24"/>
          <w:szCs w:val="24"/>
        </w:rPr>
        <w:fldChar w:fldCharType="end"/>
      </w:r>
      <w:r w:rsidRPr="00091F63">
        <w:rPr>
          <w:rFonts w:ascii="Times New Roman" w:hAnsi="Times New Roman" w:cs="Times New Roman"/>
          <w:iCs/>
          <w:sz w:val="24"/>
          <w:szCs w:val="24"/>
        </w:rPr>
        <w:t xml:space="preserve">), the </w:t>
      </w:r>
      <w:proofErr w:type="spellStart"/>
      <w:r w:rsidRPr="00091F63">
        <w:rPr>
          <w:rFonts w:ascii="Times New Roman" w:hAnsi="Times New Roman" w:cs="Times New Roman"/>
          <w:iCs/>
          <w:sz w:val="24"/>
          <w:szCs w:val="24"/>
        </w:rPr>
        <w:t>Vuong</w:t>
      </w:r>
      <w:proofErr w:type="spellEnd"/>
      <w:r w:rsidRPr="00091F63">
        <w:rPr>
          <w:rFonts w:ascii="Times New Roman" w:hAnsi="Times New Roman" w:cs="Times New Roman"/>
          <w:iCs/>
          <w:sz w:val="24"/>
          <w:szCs w:val="24"/>
        </w:rPr>
        <w:t>-Lo-</w:t>
      </w:r>
      <w:proofErr w:type="spellStart"/>
      <w:r w:rsidRPr="00091F63">
        <w:rPr>
          <w:rFonts w:ascii="Times New Roman" w:hAnsi="Times New Roman" w:cs="Times New Roman"/>
          <w:iCs/>
          <w:sz w:val="24"/>
          <w:szCs w:val="24"/>
        </w:rPr>
        <w:t>Mendell</w:t>
      </w:r>
      <w:proofErr w:type="spellEnd"/>
      <w:r w:rsidRPr="00091F63">
        <w:rPr>
          <w:rFonts w:ascii="Times New Roman" w:hAnsi="Times New Roman" w:cs="Times New Roman"/>
          <w:iCs/>
          <w:sz w:val="24"/>
          <w:szCs w:val="24"/>
        </w:rPr>
        <w:t>-Rubin Likelihood Ratio Test (VLMR LRT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sidR="009C5116">
        <w:rPr>
          <w:rFonts w:ascii="Times New Roman" w:hAnsi="Times New Roman" w:cs="Times New Roman"/>
          <w:iCs/>
          <w:sz w:val="24"/>
          <w:szCs w:val="24"/>
        </w:rPr>
        <w:instrText xml:space="preserve"> ADDIN EN.CITE &lt;EndNote&gt;&lt;Cite&gt;&lt;Author&gt;Vuong&lt;/Author&gt;&lt;Year&gt;1989&lt;/Year&gt;&lt;RecNum&gt;279&lt;/RecNum&gt;&lt;DisplayText&gt;[9]&lt;/DisplayText&gt;&lt;record&gt;&lt;rec-number&gt;279&lt;/rec-number&gt;&lt;foreign-keys&gt;&lt;key app="EN" db-id="r9fsvvza0902r5efwpvvvxzbeetdp5tapwt9" timestamp="1712220556"&gt;279&lt;/key&gt;&lt;/foreign-keys&gt;&lt;ref-type name="Journal Article"&gt;17&lt;/ref-type&gt;&lt;contributors&gt;&lt;authors&gt;&lt;author&gt;Vuong, Quang H&lt;/author&gt;&lt;/authors&gt;&lt;/contributors&gt;&lt;titles&gt;&lt;title&gt;Likelihood ratio tests for model selection and non-nested hypotheses&lt;/title&gt;&lt;secondary-title&gt;Econometrica: journal of the Econometric Society&lt;/secondary-title&gt;&lt;/titles&gt;&lt;periodical&gt;&lt;full-title&gt;Econometrica: journal of the Econometric Society&lt;/full-title&gt;&lt;/periodical&gt;&lt;pages&gt;307-333&lt;/pages&gt;&lt;dates&gt;&lt;year&gt;1989&lt;/year&gt;&lt;/dates&gt;&lt;isbn&gt;0012-9682&lt;/isbn&gt;&lt;urls&gt;&lt;/urls&gt;&lt;/record&gt;&lt;/Cite&gt;&lt;/EndNote&gt;</w:instrText>
      </w:r>
      <w:r>
        <w:rPr>
          <w:rFonts w:ascii="Times New Roman" w:hAnsi="Times New Roman" w:cs="Times New Roman"/>
          <w:iCs/>
          <w:sz w:val="24"/>
          <w:szCs w:val="24"/>
        </w:rPr>
        <w:fldChar w:fldCharType="separate"/>
      </w:r>
      <w:r w:rsidR="009C5116">
        <w:rPr>
          <w:rFonts w:ascii="Times New Roman" w:hAnsi="Times New Roman" w:cs="Times New Roman"/>
          <w:iCs/>
          <w:noProof/>
          <w:sz w:val="24"/>
          <w:szCs w:val="24"/>
        </w:rPr>
        <w:t>[9]</w:t>
      </w:r>
      <w:r>
        <w:rPr>
          <w:rFonts w:ascii="Times New Roman" w:hAnsi="Times New Roman" w:cs="Times New Roman"/>
          <w:iCs/>
          <w:sz w:val="24"/>
          <w:szCs w:val="24"/>
        </w:rPr>
        <w:fldChar w:fldCharType="end"/>
      </w:r>
      <w:r>
        <w:rPr>
          <w:rFonts w:ascii="Times New Roman" w:hAnsi="Times New Roman" w:cs="Times New Roman"/>
          <w:iCs/>
          <w:sz w:val="24"/>
          <w:szCs w:val="24"/>
        </w:rPr>
        <w:t>), t</w:t>
      </w:r>
      <w:r w:rsidRPr="00091F63">
        <w:rPr>
          <w:rFonts w:ascii="Times New Roman" w:hAnsi="Times New Roman" w:cs="Times New Roman"/>
          <w:iCs/>
          <w:sz w:val="24"/>
          <w:szCs w:val="24"/>
        </w:rPr>
        <w:t>he Lo-</w:t>
      </w:r>
      <w:proofErr w:type="spellStart"/>
      <w:r w:rsidRPr="00091F63">
        <w:rPr>
          <w:rFonts w:ascii="Times New Roman" w:hAnsi="Times New Roman" w:cs="Times New Roman"/>
          <w:iCs/>
          <w:sz w:val="24"/>
          <w:szCs w:val="24"/>
        </w:rPr>
        <w:t>Mendell</w:t>
      </w:r>
      <w:proofErr w:type="spellEnd"/>
      <w:r w:rsidRPr="00091F63">
        <w:rPr>
          <w:rFonts w:ascii="Times New Roman" w:hAnsi="Times New Roman" w:cs="Times New Roman"/>
          <w:iCs/>
          <w:sz w:val="24"/>
          <w:szCs w:val="24"/>
        </w:rPr>
        <w:t>-Rubin adjusted likelihood ratio test (LMR ALRT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sidR="009C5116">
        <w:rPr>
          <w:rFonts w:ascii="Times New Roman" w:hAnsi="Times New Roman" w:cs="Times New Roman"/>
          <w:iCs/>
          <w:sz w:val="24"/>
          <w:szCs w:val="24"/>
        </w:rPr>
        <w:instrText xml:space="preserve"> ADDIN EN.CITE &lt;EndNote&gt;&lt;Cite&gt;&lt;Author&gt;Lo&lt;/Author&gt;&lt;Year&gt;2001&lt;/Year&gt;&lt;RecNum&gt;280&lt;/RecNum&gt;&lt;DisplayText&gt;[10]&lt;/DisplayText&gt;&lt;record&gt;&lt;rec-number&gt;280&lt;/rec-number&gt;&lt;foreign-keys&gt;&lt;key app="EN" db-id="r9fsvvza0902r5efwpvvvxzbeetdp5tapwt9" timestamp="1712220618"&gt;280&lt;/key&gt;&lt;/foreign-keys&gt;&lt;ref-type name="Journal Article"&gt;17&lt;/ref-type&gt;&lt;contributors&gt;&lt;authors&gt;&lt;author&gt;Lo, Yungtai&lt;/author&gt;&lt;author&gt;Mendell, Nancy R&lt;/author&gt;&lt;author&gt;Rubin, Donald B&lt;/author&gt;&lt;/authors&gt;&lt;/contributors&gt;&lt;titles&gt;&lt;title&gt;Testing the number of components in a normal mixture&lt;/title&gt;&lt;secondary-title&gt;Biometrika&lt;/secondary-title&gt;&lt;/titles&gt;&lt;periodical&gt;&lt;full-title&gt;Biometrika&lt;/full-title&gt;&lt;/periodical&gt;&lt;pages&gt;767-778&lt;/pages&gt;&lt;volume&gt;88&lt;/volume&gt;&lt;number&gt;3&lt;/number&gt;&lt;dates&gt;&lt;year&gt;2001&lt;/year&gt;&lt;/dates&gt;&lt;isbn&gt;1464-3510&lt;/isbn&gt;&lt;urls&gt;&lt;/urls&gt;&lt;/record&gt;&lt;/Cite&gt;&lt;/EndNote&gt;</w:instrText>
      </w:r>
      <w:r>
        <w:rPr>
          <w:rFonts w:ascii="Times New Roman" w:hAnsi="Times New Roman" w:cs="Times New Roman"/>
          <w:iCs/>
          <w:sz w:val="24"/>
          <w:szCs w:val="24"/>
        </w:rPr>
        <w:fldChar w:fldCharType="separate"/>
      </w:r>
      <w:r w:rsidR="009C5116">
        <w:rPr>
          <w:rFonts w:ascii="Times New Roman" w:hAnsi="Times New Roman" w:cs="Times New Roman"/>
          <w:iCs/>
          <w:noProof/>
          <w:sz w:val="24"/>
          <w:szCs w:val="24"/>
        </w:rPr>
        <w:t>[10]</w:t>
      </w:r>
      <w:r>
        <w:rPr>
          <w:rFonts w:ascii="Times New Roman" w:hAnsi="Times New Roman" w:cs="Times New Roman"/>
          <w:iCs/>
          <w:sz w:val="24"/>
          <w:szCs w:val="24"/>
        </w:rPr>
        <w:fldChar w:fldCharType="end"/>
      </w:r>
      <w:r w:rsidRPr="00091F63">
        <w:rPr>
          <w:rFonts w:ascii="Times New Roman" w:hAnsi="Times New Roman" w:cs="Times New Roman"/>
          <w:iCs/>
          <w:sz w:val="24"/>
          <w:szCs w:val="24"/>
        </w:rPr>
        <w:t>)</w:t>
      </w:r>
      <w:r>
        <w:rPr>
          <w:rFonts w:ascii="Times New Roman" w:hAnsi="Times New Roman" w:cs="Times New Roman"/>
          <w:iCs/>
          <w:sz w:val="24"/>
          <w:szCs w:val="24"/>
        </w:rPr>
        <w:t xml:space="preserve">, </w:t>
      </w:r>
      <w:r w:rsidRPr="00091F63">
        <w:rPr>
          <w:rFonts w:ascii="Times New Roman" w:hAnsi="Times New Roman" w:cs="Times New Roman"/>
          <w:iCs/>
          <w:sz w:val="24"/>
          <w:szCs w:val="24"/>
        </w:rPr>
        <w:t>the parametric bootstrapped likelihood ratio test (BLRT</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sidR="009C5116">
        <w:rPr>
          <w:rFonts w:ascii="Times New Roman" w:hAnsi="Times New Roman" w:cs="Times New Roman"/>
          <w:iCs/>
          <w:sz w:val="24"/>
          <w:szCs w:val="24"/>
        </w:rPr>
        <w:instrText xml:space="preserve"> ADDIN EN.CITE &lt;EndNote&gt;&lt;Cite&gt;&lt;Author&gt;McLachlan&lt;/Author&gt;&lt;Year&gt;2019&lt;/Year&gt;&lt;RecNum&gt;281&lt;/RecNum&gt;&lt;DisplayText&gt;[11]&lt;/DisplayText&gt;&lt;record&gt;&lt;rec-number&gt;281&lt;/rec-number&gt;&lt;foreign-keys&gt;&lt;key app="EN" db-id="r9fsvvza0902r5efwpvvvxzbeetdp5tapwt9" timestamp="1712220662"&gt;281&lt;/key&gt;&lt;/foreign-keys&gt;&lt;ref-type name="Journal Article"&gt;17&lt;/ref-type&gt;&lt;contributors&gt;&lt;authors&gt;&lt;author&gt;McLachlan, Geoffrey J&lt;/author&gt;&lt;author&gt;Lee, Sharon X&lt;/author&gt;&lt;author&gt;Rathnayake, Suren I&lt;/author&gt;&lt;/authors&gt;&lt;/contributors&gt;&lt;titles&gt;&lt;title&gt;Finite mixture models&lt;/title&gt;&lt;secondary-title&gt;Annual review of statistics and its application&lt;/secondary-title&gt;&lt;/titles&gt;&lt;periodical&gt;&lt;full-title&gt;Annual review of statistics and its application&lt;/full-title&gt;&lt;/periodical&gt;&lt;pages&gt;355-378&lt;/pages&gt;&lt;volume&gt;6&lt;/volume&gt;&lt;dates&gt;&lt;year&gt;2019&lt;/year&gt;&lt;/dates&gt;&lt;isbn&gt;2326-8298&lt;/isbn&gt;&lt;urls&gt;&lt;/urls&gt;&lt;/record&gt;&lt;/Cite&gt;&lt;/EndNote&gt;</w:instrText>
      </w:r>
      <w:r>
        <w:rPr>
          <w:rFonts w:ascii="Times New Roman" w:hAnsi="Times New Roman" w:cs="Times New Roman"/>
          <w:iCs/>
          <w:sz w:val="24"/>
          <w:szCs w:val="24"/>
        </w:rPr>
        <w:fldChar w:fldCharType="separate"/>
      </w:r>
      <w:r w:rsidR="009C5116">
        <w:rPr>
          <w:rFonts w:ascii="Times New Roman" w:hAnsi="Times New Roman" w:cs="Times New Roman"/>
          <w:iCs/>
          <w:noProof/>
          <w:sz w:val="24"/>
          <w:szCs w:val="24"/>
        </w:rPr>
        <w:t>[11]</w:t>
      </w:r>
      <w:r>
        <w:rPr>
          <w:rFonts w:ascii="Times New Roman" w:hAnsi="Times New Roman" w:cs="Times New Roman"/>
          <w:iCs/>
          <w:sz w:val="24"/>
          <w:szCs w:val="24"/>
        </w:rPr>
        <w:fldChar w:fldCharType="end"/>
      </w:r>
      <w:r w:rsidRPr="00091F63">
        <w:rPr>
          <w:rFonts w:ascii="Times New Roman" w:hAnsi="Times New Roman" w:cs="Times New Roman"/>
          <w:iCs/>
          <w:sz w:val="24"/>
          <w:szCs w:val="24"/>
        </w:rPr>
        <w:t>)</w:t>
      </w:r>
      <w:r>
        <w:rPr>
          <w:rFonts w:ascii="Times New Roman" w:hAnsi="Times New Roman" w:cs="Times New Roman"/>
          <w:iCs/>
          <w:sz w:val="24"/>
          <w:szCs w:val="24"/>
        </w:rPr>
        <w:t>, and entropy</w:t>
      </w:r>
      <w:r w:rsidRPr="00091F63">
        <w:rPr>
          <w:rFonts w:ascii="Times New Roman" w:hAnsi="Times New Roman" w:cs="Times New Roman"/>
          <w:iCs/>
          <w:sz w:val="24"/>
          <w:szCs w:val="24"/>
        </w:rPr>
        <w:t xml:space="preserve">. In the 2-class solutions, </w:t>
      </w:r>
      <w:r>
        <w:rPr>
          <w:rFonts w:ascii="Times New Roman" w:hAnsi="Times New Roman" w:cs="Times New Roman"/>
          <w:iCs/>
          <w:sz w:val="24"/>
          <w:szCs w:val="24"/>
        </w:rPr>
        <w:t xml:space="preserve">in all three measures (i.e., depressive symptoms, distress, and resilience) all the </w:t>
      </w:r>
      <w:r w:rsidRPr="00091F63">
        <w:rPr>
          <w:rFonts w:ascii="Times New Roman" w:hAnsi="Times New Roman" w:cs="Times New Roman"/>
          <w:iCs/>
          <w:sz w:val="24"/>
          <w:szCs w:val="24"/>
        </w:rPr>
        <w:t>VLMR LRT</w:t>
      </w:r>
      <w:r>
        <w:rPr>
          <w:rFonts w:ascii="Times New Roman" w:hAnsi="Times New Roman" w:cs="Times New Roman"/>
          <w:iCs/>
          <w:sz w:val="24"/>
          <w:szCs w:val="24"/>
        </w:rPr>
        <w:t xml:space="preserve">, </w:t>
      </w:r>
      <w:r w:rsidRPr="00613B6D">
        <w:rPr>
          <w:rFonts w:ascii="Times New Roman" w:hAnsi="Times New Roman" w:cs="Times New Roman"/>
          <w:iCs/>
          <w:sz w:val="24"/>
          <w:szCs w:val="24"/>
        </w:rPr>
        <w:t>LMR ALRT</w:t>
      </w:r>
      <w:r>
        <w:rPr>
          <w:rFonts w:ascii="Times New Roman" w:hAnsi="Times New Roman" w:cs="Times New Roman"/>
          <w:iCs/>
          <w:sz w:val="24"/>
          <w:szCs w:val="24"/>
        </w:rPr>
        <w:t xml:space="preserve">, and </w:t>
      </w:r>
      <w:r w:rsidRPr="00613B6D">
        <w:rPr>
          <w:rFonts w:ascii="Times New Roman" w:hAnsi="Times New Roman" w:cs="Times New Roman"/>
          <w:iCs/>
          <w:sz w:val="24"/>
          <w:szCs w:val="24"/>
        </w:rPr>
        <w:t>BLRT</w:t>
      </w:r>
      <w:r>
        <w:rPr>
          <w:rFonts w:ascii="Times New Roman" w:hAnsi="Times New Roman" w:cs="Times New Roman"/>
          <w:iCs/>
          <w:sz w:val="24"/>
          <w:szCs w:val="24"/>
        </w:rPr>
        <w:t xml:space="preserve"> tests</w:t>
      </w:r>
      <w:r w:rsidRPr="00091F63">
        <w:rPr>
          <w:rFonts w:ascii="Times New Roman" w:hAnsi="Times New Roman" w:cs="Times New Roman"/>
          <w:iCs/>
          <w:sz w:val="24"/>
          <w:szCs w:val="24"/>
        </w:rPr>
        <w:t xml:space="preserve"> </w:t>
      </w:r>
      <w:r>
        <w:rPr>
          <w:rFonts w:ascii="Times New Roman" w:hAnsi="Times New Roman" w:cs="Times New Roman"/>
          <w:iCs/>
          <w:sz w:val="24"/>
          <w:szCs w:val="24"/>
        </w:rPr>
        <w:t>were</w:t>
      </w:r>
      <w:r w:rsidRPr="00091F63">
        <w:rPr>
          <w:rFonts w:ascii="Times New Roman" w:hAnsi="Times New Roman" w:cs="Times New Roman"/>
          <w:iCs/>
          <w:sz w:val="24"/>
          <w:szCs w:val="24"/>
        </w:rPr>
        <w:t xml:space="preserve"> significant (p &lt; 0.0</w:t>
      </w:r>
      <w:r>
        <w:rPr>
          <w:rFonts w:ascii="Times New Roman" w:hAnsi="Times New Roman" w:cs="Times New Roman"/>
          <w:iCs/>
          <w:sz w:val="24"/>
          <w:szCs w:val="24"/>
        </w:rPr>
        <w:t>5</w:t>
      </w:r>
      <w:r w:rsidRPr="00091F63">
        <w:rPr>
          <w:rFonts w:ascii="Times New Roman" w:hAnsi="Times New Roman" w:cs="Times New Roman"/>
          <w:iCs/>
          <w:sz w:val="24"/>
          <w:szCs w:val="24"/>
        </w:rPr>
        <w:t>)</w:t>
      </w:r>
      <w:r>
        <w:rPr>
          <w:rFonts w:ascii="Times New Roman" w:hAnsi="Times New Roman" w:cs="Times New Roman"/>
          <w:iCs/>
          <w:sz w:val="24"/>
          <w:szCs w:val="24"/>
        </w:rPr>
        <w:t>,</w:t>
      </w:r>
      <w:r w:rsidRPr="00091F63">
        <w:rPr>
          <w:rFonts w:ascii="Times New Roman" w:hAnsi="Times New Roman" w:cs="Times New Roman"/>
          <w:iCs/>
          <w:sz w:val="24"/>
          <w:szCs w:val="24"/>
        </w:rPr>
        <w:t xml:space="preserve"> indicating a better model in the </w:t>
      </w:r>
      <w:r>
        <w:rPr>
          <w:rFonts w:ascii="Times New Roman" w:hAnsi="Times New Roman" w:cs="Times New Roman"/>
          <w:iCs/>
          <w:sz w:val="24"/>
          <w:szCs w:val="24"/>
        </w:rPr>
        <w:t>2</w:t>
      </w:r>
      <w:r w:rsidRPr="00091F63">
        <w:rPr>
          <w:rFonts w:ascii="Times New Roman" w:hAnsi="Times New Roman" w:cs="Times New Roman"/>
          <w:iCs/>
          <w:sz w:val="24"/>
          <w:szCs w:val="24"/>
        </w:rPr>
        <w:t>-class models versus in the 1</w:t>
      </w:r>
      <w:r>
        <w:rPr>
          <w:rFonts w:ascii="Times New Roman" w:hAnsi="Times New Roman" w:cs="Times New Roman"/>
          <w:iCs/>
          <w:sz w:val="24"/>
          <w:szCs w:val="24"/>
        </w:rPr>
        <w:t>-</w:t>
      </w:r>
      <w:r w:rsidRPr="00091F63">
        <w:rPr>
          <w:rFonts w:ascii="Times New Roman" w:hAnsi="Times New Roman" w:cs="Times New Roman"/>
          <w:iCs/>
          <w:sz w:val="24"/>
          <w:szCs w:val="24"/>
        </w:rPr>
        <w:t xml:space="preserve">class models (with a significant test indicating better k-class model in comparison to the k-1 class solution). </w:t>
      </w:r>
    </w:p>
    <w:p w:rsidR="00053700" w:rsidRDefault="00053700" w:rsidP="00053700">
      <w:pPr>
        <w:spacing w:after="0" w:line="480" w:lineRule="auto"/>
        <w:ind w:firstLine="708"/>
        <w:jc w:val="both"/>
        <w:rPr>
          <w:rFonts w:ascii="Times New Roman" w:hAnsi="Times New Roman" w:cs="Times New Roman"/>
          <w:sz w:val="24"/>
          <w:szCs w:val="24"/>
        </w:rPr>
      </w:pPr>
      <w:r w:rsidRPr="00091F63">
        <w:rPr>
          <w:rFonts w:ascii="Times New Roman" w:hAnsi="Times New Roman" w:cs="Times New Roman"/>
          <w:sz w:val="24"/>
          <w:szCs w:val="24"/>
        </w:rPr>
        <w:t xml:space="preserve">The extraction of </w:t>
      </w:r>
      <w:r>
        <w:rPr>
          <w:rFonts w:ascii="Times New Roman" w:hAnsi="Times New Roman" w:cs="Times New Roman"/>
          <w:sz w:val="24"/>
          <w:szCs w:val="24"/>
        </w:rPr>
        <w:t>three</w:t>
      </w:r>
      <w:r w:rsidRPr="00091F63">
        <w:rPr>
          <w:rFonts w:ascii="Times New Roman" w:hAnsi="Times New Roman" w:cs="Times New Roman"/>
          <w:sz w:val="24"/>
          <w:szCs w:val="24"/>
        </w:rPr>
        <w:t xml:space="preserve"> classes in depressive symptoms </w:t>
      </w:r>
      <w:r>
        <w:rPr>
          <w:rFonts w:ascii="Times New Roman" w:hAnsi="Times New Roman" w:cs="Times New Roman"/>
          <w:sz w:val="24"/>
          <w:szCs w:val="24"/>
        </w:rPr>
        <w:t xml:space="preserve">was supported </w:t>
      </w:r>
      <w:r w:rsidRPr="00091F63">
        <w:rPr>
          <w:rFonts w:ascii="Times New Roman" w:hAnsi="Times New Roman" w:cs="Times New Roman"/>
          <w:sz w:val="24"/>
          <w:szCs w:val="24"/>
        </w:rPr>
        <w:t xml:space="preserve">by significant </w:t>
      </w:r>
      <w:r w:rsidRPr="00D218FE">
        <w:rPr>
          <w:rFonts w:ascii="Times New Roman" w:hAnsi="Times New Roman" w:cs="Times New Roman"/>
          <w:sz w:val="24"/>
          <w:szCs w:val="24"/>
        </w:rPr>
        <w:t>VLMR LRT</w:t>
      </w:r>
      <w:r>
        <w:rPr>
          <w:rFonts w:ascii="Times New Roman" w:hAnsi="Times New Roman" w:cs="Times New Roman"/>
          <w:sz w:val="24"/>
          <w:szCs w:val="24"/>
        </w:rPr>
        <w:t xml:space="preserve"> and</w:t>
      </w:r>
      <w:r w:rsidRPr="00D218FE">
        <w:rPr>
          <w:rFonts w:ascii="Times New Roman" w:hAnsi="Times New Roman" w:cs="Times New Roman"/>
          <w:sz w:val="24"/>
          <w:szCs w:val="24"/>
        </w:rPr>
        <w:t xml:space="preserve"> LMR ALRT</w:t>
      </w:r>
      <w:r>
        <w:rPr>
          <w:rFonts w:ascii="Times New Roman" w:hAnsi="Times New Roman" w:cs="Times New Roman"/>
          <w:sz w:val="24"/>
          <w:szCs w:val="24"/>
        </w:rPr>
        <w:t xml:space="preserve"> tests</w:t>
      </w:r>
      <w:r w:rsidRPr="00091F63">
        <w:rPr>
          <w:rFonts w:ascii="Times New Roman" w:hAnsi="Times New Roman" w:cs="Times New Roman"/>
          <w:sz w:val="24"/>
          <w:szCs w:val="24"/>
        </w:rPr>
        <w:t xml:space="preserve">, </w:t>
      </w:r>
      <w:r>
        <w:rPr>
          <w:rFonts w:ascii="Times New Roman" w:hAnsi="Times New Roman" w:cs="Times New Roman"/>
          <w:sz w:val="24"/>
          <w:szCs w:val="24"/>
        </w:rPr>
        <w:t xml:space="preserve">however, the </w:t>
      </w:r>
      <w:r w:rsidRPr="00DA4F6A">
        <w:rPr>
          <w:rFonts w:ascii="Times New Roman" w:hAnsi="Times New Roman" w:cs="Times New Roman"/>
          <w:sz w:val="24"/>
          <w:szCs w:val="24"/>
        </w:rPr>
        <w:t>BLRT</w:t>
      </w:r>
      <w:r w:rsidRPr="00DA4F6A" w:rsidDel="00A17B83">
        <w:rPr>
          <w:rFonts w:ascii="Times New Roman" w:hAnsi="Times New Roman" w:cs="Times New Roman"/>
          <w:sz w:val="24"/>
          <w:szCs w:val="24"/>
        </w:rPr>
        <w:t xml:space="preserve"> </w:t>
      </w:r>
      <w:r>
        <w:rPr>
          <w:rFonts w:ascii="Times New Roman" w:hAnsi="Times New Roman" w:cs="Times New Roman"/>
          <w:sz w:val="24"/>
          <w:szCs w:val="24"/>
        </w:rPr>
        <w:t xml:space="preserve">test did not replicate the best </w:t>
      </w:r>
      <w:proofErr w:type="spellStart"/>
      <w:r>
        <w:rPr>
          <w:rFonts w:ascii="Times New Roman" w:hAnsi="Times New Roman" w:cs="Times New Roman"/>
          <w:sz w:val="24"/>
          <w:szCs w:val="24"/>
        </w:rPr>
        <w:lastRenderedPageBreak/>
        <w:t>loglikelihood</w:t>
      </w:r>
      <w:proofErr w:type="spellEnd"/>
      <w:r>
        <w:rPr>
          <w:rFonts w:ascii="Times New Roman" w:hAnsi="Times New Roman" w:cs="Times New Roman"/>
          <w:sz w:val="24"/>
          <w:szCs w:val="24"/>
        </w:rPr>
        <w:t xml:space="preserve"> value for the 3-class model (meaning p &lt; 0.001 may not be trustworthy) even after increasing the LRT random starts to 0 0 1000 200. The 3-class model’s AIC (</w:t>
      </w:r>
      <w:r w:rsidRPr="00766668">
        <w:rPr>
          <w:rFonts w:ascii="Times New Roman" w:hAnsi="Times New Roman" w:cs="Times New Roman"/>
          <w:sz w:val="24"/>
          <w:szCs w:val="24"/>
        </w:rPr>
        <w:t>354.227</w:t>
      </w:r>
      <w:r>
        <w:rPr>
          <w:rFonts w:ascii="Times New Roman" w:hAnsi="Times New Roman" w:cs="Times New Roman"/>
          <w:sz w:val="24"/>
          <w:szCs w:val="24"/>
        </w:rPr>
        <w:t>) and BIC (</w:t>
      </w:r>
      <w:r w:rsidRPr="00766668">
        <w:rPr>
          <w:rFonts w:ascii="Times New Roman" w:hAnsi="Times New Roman" w:cs="Times New Roman"/>
          <w:sz w:val="24"/>
          <w:szCs w:val="24"/>
        </w:rPr>
        <w:t>455.972</w:t>
      </w:r>
      <w:r>
        <w:rPr>
          <w:rFonts w:ascii="Times New Roman" w:hAnsi="Times New Roman" w:cs="Times New Roman"/>
          <w:sz w:val="24"/>
          <w:szCs w:val="24"/>
        </w:rPr>
        <w:t xml:space="preserve">) were smaller than the 2-class solutions, however, </w:t>
      </w:r>
      <w:r w:rsidRPr="00091F63">
        <w:rPr>
          <w:rFonts w:ascii="Times New Roman" w:hAnsi="Times New Roman" w:cs="Times New Roman"/>
          <w:sz w:val="24"/>
          <w:szCs w:val="24"/>
        </w:rPr>
        <w:t>the result’s interpretability did not support the use</w:t>
      </w:r>
      <w:r>
        <w:rPr>
          <w:rFonts w:ascii="Times New Roman" w:hAnsi="Times New Roman" w:cs="Times New Roman"/>
          <w:sz w:val="24"/>
          <w:szCs w:val="24"/>
        </w:rPr>
        <w:t xml:space="preserve"> of the 3-class model.</w:t>
      </w:r>
      <w:r w:rsidRPr="00091F63">
        <w:rPr>
          <w:rFonts w:ascii="Times New Roman" w:hAnsi="Times New Roman" w:cs="Times New Roman"/>
          <w:sz w:val="24"/>
          <w:szCs w:val="24"/>
        </w:rPr>
        <w:t xml:space="preserve"> </w:t>
      </w:r>
      <w:r>
        <w:rPr>
          <w:rFonts w:ascii="Times New Roman" w:hAnsi="Times New Roman" w:cs="Times New Roman"/>
          <w:sz w:val="24"/>
          <w:szCs w:val="24"/>
        </w:rPr>
        <w:t>T</w:t>
      </w:r>
      <w:r w:rsidRPr="00091F63">
        <w:rPr>
          <w:rFonts w:ascii="Times New Roman" w:hAnsi="Times New Roman" w:cs="Times New Roman"/>
          <w:sz w:val="24"/>
          <w:szCs w:val="24"/>
        </w:rPr>
        <w:t>hat is, the patterns of the three classes were essentially the same (i.e., consistently low, medium, and high levels</w:t>
      </w:r>
      <w:r>
        <w:rPr>
          <w:rFonts w:ascii="Times New Roman" w:hAnsi="Times New Roman" w:cs="Times New Roman"/>
          <w:sz w:val="24"/>
          <w:szCs w:val="24"/>
        </w:rPr>
        <w:t xml:space="preserve">; or in other words, </w:t>
      </w:r>
      <w:r w:rsidRPr="0098522E">
        <w:rPr>
          <w:rFonts w:ascii="Times New Roman" w:hAnsi="Times New Roman" w:cs="Times New Roman"/>
          <w:sz w:val="24"/>
          <w:szCs w:val="24"/>
        </w:rPr>
        <w:t>the additional classes only yielded differing intercepts but no significant slopes</w:t>
      </w:r>
      <w:r w:rsidRPr="00091F63">
        <w:rPr>
          <w:rFonts w:ascii="Times New Roman" w:hAnsi="Times New Roman" w:cs="Times New Roman"/>
          <w:sz w:val="24"/>
          <w:szCs w:val="24"/>
        </w:rPr>
        <w:t>). Also, extracting more classes yielded very small class sizes (smallest class was n = 58 in depression</w:t>
      </w:r>
      <w:r>
        <w:rPr>
          <w:rFonts w:ascii="Times New Roman" w:hAnsi="Times New Roman" w:cs="Times New Roman"/>
          <w:sz w:val="24"/>
          <w:szCs w:val="24"/>
        </w:rPr>
        <w:t xml:space="preserve">). We thus decided to keep the 2-class solution instead. </w:t>
      </w:r>
    </w:p>
    <w:p w:rsidR="00053700" w:rsidRDefault="00053700" w:rsidP="0005370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When we extracted the 3-class solutions in distress and resilience, although the AIC and BIC values were slightly better than of the 2-class solutions’, the </w:t>
      </w:r>
      <w:r w:rsidRPr="007B3639">
        <w:rPr>
          <w:rFonts w:ascii="Times New Roman" w:hAnsi="Times New Roman" w:cs="Times New Roman"/>
          <w:sz w:val="24"/>
          <w:szCs w:val="24"/>
        </w:rPr>
        <w:t>VLMR LRT and LMR ALRT tests</w:t>
      </w:r>
      <w:r>
        <w:rPr>
          <w:rFonts w:ascii="Times New Roman" w:hAnsi="Times New Roman" w:cs="Times New Roman"/>
          <w:sz w:val="24"/>
          <w:szCs w:val="24"/>
        </w:rPr>
        <w:t xml:space="preserve"> were not significant. Also, the sample sizes in the smallest classes were very small (</w:t>
      </w:r>
      <w:r w:rsidRPr="00091F63">
        <w:rPr>
          <w:rFonts w:ascii="Times New Roman" w:hAnsi="Times New Roman" w:cs="Times New Roman"/>
          <w:sz w:val="24"/>
          <w:szCs w:val="24"/>
        </w:rPr>
        <w:t xml:space="preserve">n = 6 in distress, and n = 18 in resilience). </w:t>
      </w:r>
      <w:r>
        <w:rPr>
          <w:rFonts w:ascii="Times New Roman" w:hAnsi="Times New Roman" w:cs="Times New Roman"/>
          <w:sz w:val="24"/>
          <w:szCs w:val="24"/>
        </w:rPr>
        <w:t xml:space="preserve">Thus, we decided the use the 2-class solutions in all three measures. </w:t>
      </w:r>
    </w:p>
    <w:p w:rsidR="00053700" w:rsidRPr="00091F63" w:rsidRDefault="00053700" w:rsidP="00053700">
      <w:pPr>
        <w:spacing w:after="0" w:line="48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W</w:t>
      </w:r>
      <w:r w:rsidRPr="00091F63">
        <w:rPr>
          <w:rFonts w:ascii="Times New Roman" w:hAnsi="Times New Roman" w:cs="Times New Roman"/>
          <w:sz w:val="24"/>
          <w:szCs w:val="24"/>
        </w:rPr>
        <w:t>e replicated the 2-class solutions with at least three sets of random starts as recommended</w:t>
      </w:r>
      <w:r>
        <w:rPr>
          <w:rFonts w:ascii="Times New Roman" w:hAnsi="Times New Roman" w:cs="Times New Roman"/>
          <w:sz w:val="24"/>
          <w:szCs w:val="24"/>
        </w:rPr>
        <w:t xml:space="preserve"> in all three measures</w:t>
      </w:r>
      <w:r w:rsidRPr="00091F63">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fldChar w:fldCharType="begin"/>
      </w:r>
      <w:r w:rsidR="009C5116">
        <w:rPr>
          <w:rFonts w:ascii="Times New Roman" w:hAnsi="Times New Roman" w:cs="Times New Roman"/>
          <w:color w:val="222222"/>
          <w:sz w:val="24"/>
          <w:szCs w:val="24"/>
          <w:shd w:val="clear" w:color="auto" w:fill="FFFFFF"/>
        </w:rPr>
        <w:instrText xml:space="preserve"> ADDIN EN.CITE &lt;EndNote&gt;&lt;Cite&gt;&lt;Author&gt;Van De Schoot&lt;/Author&gt;&lt;Year&gt;2017&lt;/Year&gt;&lt;RecNum&gt;272&lt;/RecNum&gt;&lt;DisplayText&gt;[2]&lt;/DisplayText&gt;&lt;record&gt;&lt;rec-number&gt;272&lt;/rec-number&gt;&lt;foreign-keys&gt;&lt;key app="EN" db-id="r9fsvvza0902r5efwpvvvxzbeetdp5tapwt9" timestamp="1712219697"&gt;272&lt;/key&gt;&lt;/foreign-keys&gt;&lt;ref-type name="Journal Article"&gt;17&lt;/ref-type&gt;&lt;contributors&gt;&lt;authors&gt;&lt;author&gt;Van De Schoot, Rens&lt;/author&gt;&lt;author&gt;Sijbrandij, Marit&lt;/author&gt;&lt;author&gt;Winter, Sonja D&lt;/author&gt;&lt;author&gt;Depaoli, Sarah&lt;/author&gt;&lt;author&gt;Vermunt, Jeroen K&lt;/author&gt;&lt;/authors&gt;&lt;/contributors&gt;&lt;titles&gt;&lt;title&gt;The GRoLTS-checklist: guidelines for reporting on latent trajectory studies&lt;/title&gt;&lt;secondary-title&gt;Structural Equation Modeling: A Multidisciplinary Journal&lt;/secondary-title&gt;&lt;/titles&gt;&lt;periodical&gt;&lt;full-title&gt;Structural Equation Modeling: A Multidisciplinary Journal&lt;/full-title&gt;&lt;/periodical&gt;&lt;pages&gt;451-467&lt;/pages&gt;&lt;volume&gt;24&lt;/volume&gt;&lt;number&gt;3&lt;/number&gt;&lt;dates&gt;&lt;year&gt;2017&lt;/year&gt;&lt;/dates&gt;&lt;isbn&gt;1070-5511&lt;/isbn&gt;&lt;urls&gt;&lt;/urls&gt;&lt;/record&gt;&lt;/Cite&gt;&lt;/EndNote&gt;</w:instrText>
      </w:r>
      <w:r>
        <w:rPr>
          <w:rFonts w:ascii="Times New Roman" w:hAnsi="Times New Roman" w:cs="Times New Roman"/>
          <w:color w:val="222222"/>
          <w:sz w:val="24"/>
          <w:szCs w:val="24"/>
          <w:shd w:val="clear" w:color="auto" w:fill="FFFFFF"/>
        </w:rPr>
        <w:fldChar w:fldCharType="separate"/>
      </w:r>
      <w:r w:rsidR="009C5116">
        <w:rPr>
          <w:rFonts w:ascii="Times New Roman" w:hAnsi="Times New Roman" w:cs="Times New Roman"/>
          <w:noProof/>
          <w:color w:val="222222"/>
          <w:sz w:val="24"/>
          <w:szCs w:val="24"/>
          <w:shd w:val="clear" w:color="auto" w:fill="FFFFFF"/>
        </w:rPr>
        <w:t>[2]</w:t>
      </w:r>
      <w:r>
        <w:rPr>
          <w:rFonts w:ascii="Times New Roman" w:hAnsi="Times New Roman" w:cs="Times New Roman"/>
          <w:color w:val="222222"/>
          <w:sz w:val="24"/>
          <w:szCs w:val="24"/>
          <w:shd w:val="clear" w:color="auto" w:fill="FFFFFF"/>
        </w:rPr>
        <w:fldChar w:fldCharType="end"/>
      </w:r>
      <w:r w:rsidRPr="00091F63">
        <w:rPr>
          <w:rFonts w:ascii="Times New Roman" w:hAnsi="Times New Roman" w:cs="Times New Roman"/>
          <w:sz w:val="24"/>
          <w:szCs w:val="24"/>
        </w:rPr>
        <w:t xml:space="preserve">. </w:t>
      </w:r>
      <w:r w:rsidRPr="00091F63">
        <w:rPr>
          <w:rFonts w:ascii="Times New Roman" w:hAnsi="Times New Roman" w:cs="Times New Roman"/>
          <w:color w:val="000000"/>
          <w:sz w:val="24"/>
          <w:szCs w:val="24"/>
        </w:rPr>
        <w:t>All model runs replicated the best log-likelihood values (Table S2, S3). The estimated loadings of wave 1 data on the latent slope factors in depressive symptoms was 4.184 (</w:t>
      </w:r>
      <w:r w:rsidRPr="00091F63">
        <w:rPr>
          <w:rFonts w:ascii="Times New Roman" w:hAnsi="Times New Roman" w:cs="Times New Roman"/>
          <w:i/>
          <w:iCs/>
          <w:color w:val="000000"/>
          <w:sz w:val="24"/>
          <w:szCs w:val="24"/>
        </w:rPr>
        <w:t>SE</w:t>
      </w:r>
      <w:r w:rsidRPr="00091F63">
        <w:rPr>
          <w:rFonts w:ascii="Times New Roman" w:hAnsi="Times New Roman" w:cs="Times New Roman"/>
          <w:color w:val="000000"/>
          <w:sz w:val="24"/>
          <w:szCs w:val="24"/>
        </w:rPr>
        <w:t xml:space="preserve"> = 2.744, </w:t>
      </w:r>
      <w:r w:rsidRPr="00091F63">
        <w:rPr>
          <w:rFonts w:ascii="Times New Roman" w:hAnsi="Times New Roman" w:cs="Times New Roman"/>
          <w:i/>
          <w:iCs/>
          <w:color w:val="000000"/>
          <w:sz w:val="24"/>
          <w:szCs w:val="24"/>
        </w:rPr>
        <w:t>p</w:t>
      </w:r>
      <w:r w:rsidRPr="00091F63">
        <w:rPr>
          <w:rFonts w:ascii="Times New Roman" w:hAnsi="Times New Roman" w:cs="Times New Roman"/>
          <w:color w:val="000000"/>
          <w:sz w:val="24"/>
          <w:szCs w:val="24"/>
        </w:rPr>
        <w:t xml:space="preserve"> &gt; .1), and in distress was -4.302 (</w:t>
      </w:r>
      <w:r w:rsidRPr="00091F63">
        <w:rPr>
          <w:rFonts w:ascii="Times New Roman" w:hAnsi="Times New Roman" w:cs="Times New Roman"/>
          <w:i/>
          <w:iCs/>
          <w:color w:val="000000"/>
          <w:sz w:val="24"/>
          <w:szCs w:val="24"/>
        </w:rPr>
        <w:t>SE</w:t>
      </w:r>
      <w:r w:rsidRPr="00091F63">
        <w:rPr>
          <w:rFonts w:ascii="Times New Roman" w:hAnsi="Times New Roman" w:cs="Times New Roman"/>
          <w:color w:val="000000"/>
          <w:sz w:val="24"/>
          <w:szCs w:val="24"/>
        </w:rPr>
        <w:t xml:space="preserve"> = 2.769, </w:t>
      </w:r>
      <w:r w:rsidRPr="00091F63">
        <w:rPr>
          <w:rFonts w:ascii="Times New Roman" w:hAnsi="Times New Roman" w:cs="Times New Roman"/>
          <w:i/>
          <w:iCs/>
          <w:color w:val="000000"/>
          <w:sz w:val="24"/>
          <w:szCs w:val="24"/>
        </w:rPr>
        <w:t>p</w:t>
      </w:r>
      <w:r w:rsidRPr="00091F63">
        <w:rPr>
          <w:rFonts w:ascii="Times New Roman" w:hAnsi="Times New Roman" w:cs="Times New Roman"/>
          <w:color w:val="000000"/>
          <w:sz w:val="24"/>
          <w:szCs w:val="24"/>
        </w:rPr>
        <w:t xml:space="preserve"> &gt; .1). Subsequently, we ran models using the 3-step method and predicted the latent classes with the measured covariates, but the models were too underpowered to estimate reliable coefficients. Therefore, further predictive analyses were done on the saved class memberships. </w:t>
      </w:r>
    </w:p>
    <w:p w:rsidR="00053700" w:rsidRPr="00091F63" w:rsidRDefault="00053700" w:rsidP="00053700">
      <w:pPr>
        <w:spacing w:line="480" w:lineRule="auto"/>
        <w:rPr>
          <w:rFonts w:ascii="Times New Roman" w:hAnsi="Times New Roman" w:cs="Times New Roman"/>
          <w:color w:val="000000"/>
          <w:sz w:val="24"/>
          <w:szCs w:val="24"/>
        </w:rPr>
      </w:pPr>
      <w:r w:rsidRPr="00091F63">
        <w:rPr>
          <w:rFonts w:ascii="Times New Roman" w:hAnsi="Times New Roman" w:cs="Times New Roman"/>
          <w:color w:val="000000"/>
          <w:sz w:val="24"/>
          <w:szCs w:val="24"/>
        </w:rPr>
        <w:br w:type="page"/>
      </w:r>
    </w:p>
    <w:tbl>
      <w:tblPr>
        <w:tblW w:w="8287" w:type="dxa"/>
        <w:tblLayout w:type="fixed"/>
        <w:tblCellMar>
          <w:left w:w="0" w:type="dxa"/>
          <w:right w:w="0" w:type="dxa"/>
        </w:tblCellMar>
        <w:tblLook w:val="0000" w:firstRow="0" w:lastRow="0" w:firstColumn="0" w:lastColumn="0" w:noHBand="0" w:noVBand="0"/>
      </w:tblPr>
      <w:tblGrid>
        <w:gridCol w:w="2459"/>
        <w:gridCol w:w="802"/>
        <w:gridCol w:w="1134"/>
        <w:gridCol w:w="1417"/>
        <w:gridCol w:w="1030"/>
        <w:gridCol w:w="1435"/>
        <w:gridCol w:w="10"/>
      </w:tblGrid>
      <w:tr w:rsidR="00053700" w:rsidRPr="00091F63" w:rsidTr="003E441F">
        <w:trPr>
          <w:gridAfter w:val="1"/>
          <w:wAfter w:w="10" w:type="dxa"/>
          <w:cantSplit/>
        </w:trPr>
        <w:tc>
          <w:tcPr>
            <w:tcW w:w="8277" w:type="dxa"/>
            <w:gridSpan w:val="6"/>
            <w:tcBorders>
              <w:bottom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b/>
                <w:bCs/>
                <w:sz w:val="24"/>
                <w:szCs w:val="24"/>
                <w14:ligatures w14:val="standardContextual"/>
              </w:rPr>
              <w:lastRenderedPageBreak/>
              <w:t xml:space="preserve">Table S1 </w:t>
            </w:r>
            <w:r w:rsidRPr="00091F63">
              <w:rPr>
                <w:rFonts w:ascii="Times New Roman" w:hAnsi="Times New Roman" w:cs="Times New Roman"/>
                <w:sz w:val="24"/>
                <w:szCs w:val="24"/>
                <w14:ligatures w14:val="standardContextual"/>
              </w:rPr>
              <w:t>Descriptive statistics of depressive symptoms, distress, and resilience scores used for latent trajectory estimation</w:t>
            </w:r>
          </w:p>
        </w:tc>
      </w:tr>
      <w:tr w:rsidR="00053700" w:rsidRPr="00091F63" w:rsidTr="003E441F">
        <w:trPr>
          <w:cantSplit/>
        </w:trPr>
        <w:tc>
          <w:tcPr>
            <w:tcW w:w="2459" w:type="dxa"/>
            <w:tcBorders>
              <w:top w:val="single" w:sz="4" w:space="0" w:color="auto"/>
              <w:bottom w:val="single" w:sz="4" w:space="0" w:color="auto"/>
            </w:tcBorders>
            <w:shd w:val="clear" w:color="auto" w:fill="auto"/>
            <w:vAlign w:val="bottom"/>
          </w:tcPr>
          <w:p w:rsidR="00053700" w:rsidRPr="00091F63" w:rsidRDefault="00053700" w:rsidP="00053700">
            <w:pPr>
              <w:autoSpaceDE w:val="0"/>
              <w:autoSpaceDN w:val="0"/>
              <w:adjustRightInd w:val="0"/>
              <w:spacing w:after="0" w:line="480" w:lineRule="auto"/>
              <w:rPr>
                <w:rFonts w:ascii="Times New Roman" w:hAnsi="Times New Roman" w:cs="Times New Roman"/>
                <w:sz w:val="24"/>
                <w:szCs w:val="24"/>
                <w14:ligatures w14:val="standardContextual"/>
              </w:rPr>
            </w:pPr>
          </w:p>
        </w:tc>
        <w:tc>
          <w:tcPr>
            <w:tcW w:w="802" w:type="dxa"/>
            <w:tcBorders>
              <w:top w:val="single" w:sz="4" w:space="0" w:color="auto"/>
              <w:bottom w:val="single" w:sz="4" w:space="0" w:color="auto"/>
            </w:tcBorders>
            <w:shd w:val="clear" w:color="auto" w:fill="auto"/>
            <w:vAlign w:val="bottom"/>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i/>
                <w:iCs/>
                <w:sz w:val="24"/>
                <w:szCs w:val="24"/>
                <w14:ligatures w14:val="standardContextual"/>
              </w:rPr>
            </w:pPr>
            <w:r w:rsidRPr="00091F63">
              <w:rPr>
                <w:rFonts w:ascii="Times New Roman" w:hAnsi="Times New Roman" w:cs="Times New Roman"/>
                <w:i/>
                <w:iCs/>
                <w:sz w:val="24"/>
                <w:szCs w:val="24"/>
                <w14:ligatures w14:val="standardContextual"/>
              </w:rPr>
              <w:t>N</w:t>
            </w:r>
          </w:p>
        </w:tc>
        <w:tc>
          <w:tcPr>
            <w:tcW w:w="1134" w:type="dxa"/>
            <w:tcBorders>
              <w:top w:val="single" w:sz="4" w:space="0" w:color="auto"/>
              <w:bottom w:val="single" w:sz="4" w:space="0" w:color="auto"/>
            </w:tcBorders>
            <w:shd w:val="clear" w:color="auto" w:fill="auto"/>
            <w:vAlign w:val="bottom"/>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Minimum</w:t>
            </w:r>
          </w:p>
        </w:tc>
        <w:tc>
          <w:tcPr>
            <w:tcW w:w="1417" w:type="dxa"/>
            <w:tcBorders>
              <w:top w:val="single" w:sz="4" w:space="0" w:color="auto"/>
              <w:bottom w:val="single" w:sz="4" w:space="0" w:color="auto"/>
            </w:tcBorders>
            <w:shd w:val="clear" w:color="auto" w:fill="auto"/>
            <w:vAlign w:val="bottom"/>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Maximum</w:t>
            </w:r>
          </w:p>
        </w:tc>
        <w:tc>
          <w:tcPr>
            <w:tcW w:w="1030" w:type="dxa"/>
            <w:tcBorders>
              <w:top w:val="single" w:sz="4" w:space="0" w:color="auto"/>
              <w:bottom w:val="single" w:sz="4" w:space="0" w:color="auto"/>
            </w:tcBorders>
            <w:shd w:val="clear" w:color="auto" w:fill="auto"/>
            <w:vAlign w:val="bottom"/>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Mean</w:t>
            </w:r>
          </w:p>
        </w:tc>
        <w:tc>
          <w:tcPr>
            <w:tcW w:w="1445" w:type="dxa"/>
            <w:gridSpan w:val="2"/>
            <w:tcBorders>
              <w:bottom w:val="single" w:sz="4" w:space="0" w:color="auto"/>
            </w:tcBorders>
            <w:shd w:val="clear" w:color="auto" w:fill="auto"/>
            <w:vAlign w:val="bottom"/>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i/>
                <w:iCs/>
                <w:sz w:val="24"/>
                <w:szCs w:val="24"/>
                <w14:ligatures w14:val="standardContextual"/>
              </w:rPr>
            </w:pPr>
            <w:r w:rsidRPr="00091F63">
              <w:rPr>
                <w:rFonts w:ascii="Times New Roman" w:hAnsi="Times New Roman" w:cs="Times New Roman"/>
                <w:i/>
                <w:iCs/>
                <w:sz w:val="24"/>
                <w:szCs w:val="24"/>
                <w14:ligatures w14:val="standardContextual"/>
              </w:rPr>
              <w:t>SD</w:t>
            </w:r>
          </w:p>
        </w:tc>
      </w:tr>
      <w:tr w:rsidR="00053700" w:rsidRPr="00091F63" w:rsidTr="003E441F">
        <w:trPr>
          <w:cantSplit/>
        </w:trPr>
        <w:tc>
          <w:tcPr>
            <w:tcW w:w="2459" w:type="dxa"/>
            <w:tcBorders>
              <w:top w:val="single" w:sz="4" w:space="0" w:color="auto"/>
            </w:tcBorders>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Depressive symptoms 0</w:t>
            </w:r>
          </w:p>
        </w:tc>
        <w:tc>
          <w:tcPr>
            <w:tcW w:w="802" w:type="dxa"/>
            <w:tcBorders>
              <w:top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294</w:t>
            </w:r>
          </w:p>
        </w:tc>
        <w:tc>
          <w:tcPr>
            <w:tcW w:w="1134" w:type="dxa"/>
            <w:tcBorders>
              <w:top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0.00</w:t>
            </w:r>
          </w:p>
        </w:tc>
        <w:tc>
          <w:tcPr>
            <w:tcW w:w="1417" w:type="dxa"/>
            <w:tcBorders>
              <w:top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2.50</w:t>
            </w:r>
          </w:p>
        </w:tc>
        <w:tc>
          <w:tcPr>
            <w:tcW w:w="1030" w:type="dxa"/>
            <w:tcBorders>
              <w:top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0.417</w:t>
            </w:r>
          </w:p>
        </w:tc>
        <w:tc>
          <w:tcPr>
            <w:tcW w:w="1445" w:type="dxa"/>
            <w:gridSpan w:val="2"/>
            <w:tcBorders>
              <w:top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0.406</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Depressive symptoms 1</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287</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0.00</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2.50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0.546</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0.463</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Depressive symptoms 2</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282</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0.00</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2.40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0.443</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0.422</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Distress 0</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298</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0.20</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3.20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1.177</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0.483</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Distress 1</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291</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0.40</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3.20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1.397</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0.541</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Distress 2</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288</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0.40</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2.90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1.127</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0.457</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Resilience 0</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289</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1.17</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5.00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3.420</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0.672</w:t>
            </w:r>
          </w:p>
        </w:tc>
      </w:tr>
      <w:tr w:rsidR="00053700" w:rsidRPr="00091F63" w:rsidTr="003E441F">
        <w:trPr>
          <w:cantSplit/>
        </w:trPr>
        <w:tc>
          <w:tcPr>
            <w:tcW w:w="2459" w:type="dxa"/>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Resilience 1</w:t>
            </w:r>
          </w:p>
        </w:tc>
        <w:tc>
          <w:tcPr>
            <w:tcW w:w="802"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286</w:t>
            </w:r>
          </w:p>
        </w:tc>
        <w:tc>
          <w:tcPr>
            <w:tcW w:w="1134"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1.00</w:t>
            </w:r>
          </w:p>
        </w:tc>
        <w:tc>
          <w:tcPr>
            <w:tcW w:w="1417"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5.00</w:t>
            </w:r>
          </w:p>
        </w:tc>
        <w:tc>
          <w:tcPr>
            <w:tcW w:w="1030" w:type="dxa"/>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3.367</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0.685</w:t>
            </w:r>
          </w:p>
        </w:tc>
      </w:tr>
      <w:tr w:rsidR="00053700" w:rsidRPr="00091F63" w:rsidTr="003E441F">
        <w:trPr>
          <w:cantSplit/>
        </w:trPr>
        <w:tc>
          <w:tcPr>
            <w:tcW w:w="2459" w:type="dxa"/>
            <w:tcBorders>
              <w:bottom w:val="single" w:sz="4" w:space="0" w:color="auto"/>
            </w:tcBorders>
            <w:shd w:val="clear" w:color="auto" w:fill="auto"/>
          </w:tcPr>
          <w:p w:rsidR="00053700" w:rsidRPr="00091F63" w:rsidRDefault="00053700" w:rsidP="00053700">
            <w:pPr>
              <w:autoSpaceDE w:val="0"/>
              <w:autoSpaceDN w:val="0"/>
              <w:adjustRightInd w:val="0"/>
              <w:spacing w:after="0" w:line="480" w:lineRule="auto"/>
              <w:ind w:left="60" w:right="60"/>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Resilience 2</w:t>
            </w:r>
          </w:p>
        </w:tc>
        <w:tc>
          <w:tcPr>
            <w:tcW w:w="802" w:type="dxa"/>
            <w:tcBorders>
              <w:bottom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286</w:t>
            </w:r>
          </w:p>
        </w:tc>
        <w:tc>
          <w:tcPr>
            <w:tcW w:w="1134" w:type="dxa"/>
            <w:tcBorders>
              <w:bottom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1.00</w:t>
            </w:r>
          </w:p>
        </w:tc>
        <w:tc>
          <w:tcPr>
            <w:tcW w:w="1417" w:type="dxa"/>
            <w:tcBorders>
              <w:bottom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5.00</w:t>
            </w:r>
          </w:p>
        </w:tc>
        <w:tc>
          <w:tcPr>
            <w:tcW w:w="1030" w:type="dxa"/>
            <w:tcBorders>
              <w:bottom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3.399</w:t>
            </w:r>
          </w:p>
        </w:tc>
        <w:tc>
          <w:tcPr>
            <w:tcW w:w="1445" w:type="dxa"/>
            <w:gridSpan w:val="2"/>
            <w:shd w:val="clear" w:color="auto" w:fill="auto"/>
            <w:vAlign w:val="center"/>
          </w:tcPr>
          <w:p w:rsidR="00053700" w:rsidRPr="00091F63" w:rsidRDefault="00053700" w:rsidP="00053700">
            <w:pPr>
              <w:autoSpaceDE w:val="0"/>
              <w:autoSpaceDN w:val="0"/>
              <w:adjustRightInd w:val="0"/>
              <w:spacing w:after="0" w:line="480" w:lineRule="auto"/>
              <w:ind w:left="60" w:right="60"/>
              <w:jc w:val="center"/>
              <w:rPr>
                <w:rFonts w:ascii="Times New Roman" w:hAnsi="Times New Roman" w:cs="Times New Roman"/>
                <w:sz w:val="24"/>
                <w:szCs w:val="24"/>
                <w14:ligatures w14:val="standardContextual"/>
              </w:rPr>
            </w:pPr>
            <w:r w:rsidRPr="00091F63">
              <w:rPr>
                <w:rFonts w:ascii="Times New Roman" w:hAnsi="Times New Roman" w:cs="Times New Roman"/>
                <w:sz w:val="24"/>
                <w:szCs w:val="24"/>
                <w14:ligatures w14:val="standardContextual"/>
              </w:rPr>
              <w:t>0.674</w:t>
            </w:r>
          </w:p>
        </w:tc>
      </w:tr>
      <w:tr w:rsidR="00053700" w:rsidRPr="00091F63" w:rsidTr="003E441F">
        <w:trPr>
          <w:gridAfter w:val="1"/>
          <w:wAfter w:w="10" w:type="dxa"/>
          <w:cantSplit/>
        </w:trPr>
        <w:tc>
          <w:tcPr>
            <w:tcW w:w="8277" w:type="dxa"/>
            <w:gridSpan w:val="6"/>
            <w:tcBorders>
              <w:top w:val="single" w:sz="4" w:space="0" w:color="auto"/>
            </w:tcBorders>
            <w:shd w:val="clear" w:color="auto" w:fill="auto"/>
            <w:vAlign w:val="center"/>
          </w:tcPr>
          <w:p w:rsidR="00053700" w:rsidRPr="00091F63" w:rsidRDefault="00053700" w:rsidP="00053700">
            <w:pPr>
              <w:autoSpaceDE w:val="0"/>
              <w:autoSpaceDN w:val="0"/>
              <w:adjustRightInd w:val="0"/>
              <w:spacing w:after="0" w:line="480" w:lineRule="auto"/>
              <w:ind w:right="60"/>
              <w:rPr>
                <w:rFonts w:ascii="Times New Roman" w:hAnsi="Times New Roman" w:cs="Times New Roman"/>
                <w:sz w:val="24"/>
                <w:szCs w:val="24"/>
                <w14:ligatures w14:val="standardContextual"/>
              </w:rPr>
            </w:pPr>
            <w:r w:rsidRPr="00091F63">
              <w:rPr>
                <w:rFonts w:ascii="Times New Roman" w:hAnsi="Times New Roman" w:cs="Times New Roman"/>
                <w:i/>
                <w:iCs/>
                <w:sz w:val="24"/>
                <w:szCs w:val="24"/>
                <w14:ligatures w14:val="standardContextual"/>
              </w:rPr>
              <w:t>Note.</w:t>
            </w:r>
            <w:r w:rsidRPr="00091F63">
              <w:rPr>
                <w:rFonts w:ascii="Times New Roman" w:hAnsi="Times New Roman" w:cs="Times New Roman"/>
                <w:sz w:val="24"/>
                <w:szCs w:val="24"/>
                <w14:ligatures w14:val="standardContextual"/>
              </w:rPr>
              <w:t xml:space="preserve"> Depressive symptoms and distress scores were divided by 10 to keep the values </w:t>
            </w:r>
            <w:proofErr w:type="gramStart"/>
            <w:r w:rsidRPr="00091F63">
              <w:rPr>
                <w:rFonts w:ascii="Times New Roman" w:hAnsi="Times New Roman" w:cs="Times New Roman"/>
                <w:sz w:val="24"/>
                <w:szCs w:val="24"/>
                <w14:ligatures w14:val="standardContextual"/>
              </w:rPr>
              <w:t>between 0 to 10 to help model convergence</w:t>
            </w:r>
            <w:proofErr w:type="gramEnd"/>
            <w:r w:rsidRPr="00091F63">
              <w:rPr>
                <w:rFonts w:ascii="Times New Roman" w:hAnsi="Times New Roman" w:cs="Times New Roman"/>
                <w:sz w:val="24"/>
                <w:szCs w:val="24"/>
                <w14:ligatures w14:val="standardContextual"/>
              </w:rPr>
              <w:t xml:space="preserve">. </w:t>
            </w:r>
            <w:r w:rsidRPr="00091F63">
              <w:rPr>
                <w:rFonts w:ascii="Times New Roman" w:hAnsi="Times New Roman" w:cs="Times New Roman"/>
                <w:i/>
                <w:iCs/>
                <w:sz w:val="24"/>
                <w:szCs w:val="24"/>
                <w14:ligatures w14:val="standardContextual"/>
              </w:rPr>
              <w:t>SD</w:t>
            </w:r>
            <w:r w:rsidRPr="00091F63">
              <w:rPr>
                <w:rFonts w:ascii="Times New Roman" w:hAnsi="Times New Roman" w:cs="Times New Roman"/>
                <w:sz w:val="24"/>
                <w:szCs w:val="24"/>
                <w14:ligatures w14:val="standardContextual"/>
              </w:rPr>
              <w:t xml:space="preserve"> = standard deviation.</w:t>
            </w:r>
          </w:p>
        </w:tc>
      </w:tr>
    </w:tbl>
    <w:p w:rsidR="00053700" w:rsidRPr="00091F63" w:rsidRDefault="00053700" w:rsidP="00053700">
      <w:pPr>
        <w:autoSpaceDE w:val="0"/>
        <w:autoSpaceDN w:val="0"/>
        <w:adjustRightInd w:val="0"/>
        <w:spacing w:after="0" w:line="480" w:lineRule="auto"/>
        <w:rPr>
          <w:rFonts w:ascii="Times New Roman" w:hAnsi="Times New Roman" w:cs="Times New Roman"/>
          <w:sz w:val="24"/>
          <w:szCs w:val="24"/>
          <w14:ligatures w14:val="standardContextual"/>
        </w:rPr>
      </w:pPr>
    </w:p>
    <w:p w:rsidR="00053700" w:rsidRPr="00091F63" w:rsidRDefault="00053700" w:rsidP="00053700">
      <w:pPr>
        <w:spacing w:after="0" w:line="480" w:lineRule="auto"/>
        <w:ind w:firstLine="708"/>
        <w:jc w:val="both"/>
        <w:rPr>
          <w:rFonts w:ascii="Times New Roman" w:hAnsi="Times New Roman" w:cs="Times New Roman"/>
          <w:sz w:val="24"/>
          <w:szCs w:val="24"/>
        </w:rPr>
      </w:pPr>
    </w:p>
    <w:p w:rsidR="00053700" w:rsidRPr="00091F63" w:rsidRDefault="00053700" w:rsidP="00053700">
      <w:pPr>
        <w:spacing w:after="0" w:line="480" w:lineRule="auto"/>
        <w:ind w:firstLine="708"/>
        <w:jc w:val="both"/>
        <w:rPr>
          <w:rFonts w:ascii="Times New Roman" w:hAnsi="Times New Roman" w:cs="Times New Roman"/>
          <w:sz w:val="24"/>
          <w:szCs w:val="24"/>
        </w:rPr>
      </w:pPr>
    </w:p>
    <w:p w:rsidR="00053700" w:rsidRPr="00091F63" w:rsidRDefault="00053700" w:rsidP="00053700">
      <w:pPr>
        <w:spacing w:after="0" w:line="480" w:lineRule="auto"/>
        <w:rPr>
          <w:rFonts w:ascii="Times New Roman" w:hAnsi="Times New Roman" w:cs="Times New Roman"/>
          <w:b/>
          <w:bCs/>
          <w:sz w:val="24"/>
          <w:szCs w:val="24"/>
        </w:rPr>
      </w:pPr>
      <w:r w:rsidRPr="00091F63">
        <w:rPr>
          <w:rFonts w:ascii="Times New Roman" w:hAnsi="Times New Roman" w:cs="Times New Roman"/>
          <w:b/>
          <w:bCs/>
          <w:sz w:val="24"/>
          <w:szCs w:val="24"/>
        </w:rPr>
        <w:br/>
      </w:r>
    </w:p>
    <w:p w:rsidR="00053700" w:rsidRPr="00091F63" w:rsidRDefault="00053700" w:rsidP="00053700">
      <w:pPr>
        <w:spacing w:line="480" w:lineRule="auto"/>
        <w:rPr>
          <w:rFonts w:ascii="Times New Roman" w:hAnsi="Times New Roman" w:cs="Times New Roman"/>
          <w:b/>
          <w:bCs/>
          <w:sz w:val="24"/>
          <w:szCs w:val="24"/>
        </w:rPr>
      </w:pPr>
      <w:r w:rsidRPr="00091F63">
        <w:rPr>
          <w:rFonts w:ascii="Times New Roman" w:hAnsi="Times New Roman" w:cs="Times New Roman"/>
          <w:b/>
          <w:bCs/>
          <w:sz w:val="24"/>
          <w:szCs w:val="24"/>
        </w:rPr>
        <w:br w:type="page"/>
      </w:r>
    </w:p>
    <w:p w:rsidR="00053700" w:rsidRPr="00091F63" w:rsidRDefault="00053700" w:rsidP="00053700">
      <w:pPr>
        <w:spacing w:after="0" w:line="480" w:lineRule="auto"/>
        <w:rPr>
          <w:rFonts w:ascii="Times New Roman" w:eastAsia="Times New Roman" w:hAnsi="Times New Roman" w:cs="Times New Roman"/>
          <w:color w:val="000000"/>
          <w:sz w:val="24"/>
          <w:szCs w:val="24"/>
          <w:lang w:eastAsia="hu-HU"/>
        </w:rPr>
      </w:pPr>
    </w:p>
    <w:tbl>
      <w:tblPr>
        <w:tblStyle w:val="Mkatabulky"/>
        <w:tblW w:w="95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22"/>
        <w:gridCol w:w="1276"/>
        <w:gridCol w:w="1276"/>
        <w:gridCol w:w="945"/>
        <w:gridCol w:w="1115"/>
        <w:gridCol w:w="1196"/>
        <w:gridCol w:w="1065"/>
      </w:tblGrid>
      <w:tr w:rsidR="00053700" w:rsidRPr="00091F63" w:rsidTr="003E441F">
        <w:tc>
          <w:tcPr>
            <w:tcW w:w="9571" w:type="dxa"/>
            <w:gridSpan w:val="8"/>
            <w:tcBorders>
              <w:bottom w:val="single" w:sz="4" w:space="0" w:color="auto"/>
            </w:tcBorders>
            <w:vAlign w:val="center"/>
          </w:tcPr>
          <w:p w:rsidR="00053700" w:rsidRPr="00091F63" w:rsidRDefault="00053700" w:rsidP="00053700">
            <w:pPr>
              <w:spacing w:line="480" w:lineRule="auto"/>
              <w:rPr>
                <w:rFonts w:ascii="Times New Roman" w:eastAsia="Times New Roman" w:hAnsi="Times New Roman" w:cs="Times New Roman"/>
                <w:color w:val="000000"/>
                <w:lang w:eastAsia="hu-HU"/>
              </w:rPr>
            </w:pPr>
            <w:r w:rsidRPr="00091F63">
              <w:rPr>
                <w:rFonts w:ascii="Times New Roman" w:hAnsi="Times New Roman" w:cs="Times New Roman"/>
                <w:b/>
                <w:bCs/>
                <w:sz w:val="24"/>
                <w:szCs w:val="24"/>
              </w:rPr>
              <w:t xml:space="preserve">Table S2 </w:t>
            </w:r>
            <w:r w:rsidRPr="00091F63">
              <w:rPr>
                <w:rFonts w:ascii="Times New Roman" w:eastAsia="Times New Roman" w:hAnsi="Times New Roman" w:cs="Times New Roman"/>
                <w:color w:val="000000"/>
                <w:sz w:val="24"/>
                <w:szCs w:val="24"/>
                <w:lang w:eastAsia="hu-HU"/>
              </w:rPr>
              <w:t>Model parameters and results of the 2-class CPGMM and LCGM models</w:t>
            </w:r>
          </w:p>
        </w:tc>
      </w:tr>
      <w:tr w:rsidR="00053700" w:rsidRPr="00091F63" w:rsidTr="003E441F">
        <w:tc>
          <w:tcPr>
            <w:tcW w:w="1276"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eastAsia="Times New Roman" w:hAnsi="Times New Roman" w:cs="Times New Roman"/>
                <w:color w:val="000000"/>
                <w:lang w:eastAsia="hu-HU"/>
              </w:rPr>
              <w:t>Variable</w:t>
            </w:r>
          </w:p>
        </w:tc>
        <w:tc>
          <w:tcPr>
            <w:tcW w:w="1422"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Best Log-Likelihood</w:t>
            </w:r>
          </w:p>
        </w:tc>
        <w:tc>
          <w:tcPr>
            <w:tcW w:w="1276"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AIC</w:t>
            </w:r>
          </w:p>
        </w:tc>
        <w:tc>
          <w:tcPr>
            <w:tcW w:w="1276"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BIC</w:t>
            </w:r>
          </w:p>
        </w:tc>
        <w:tc>
          <w:tcPr>
            <w:tcW w:w="945"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Entropy</w:t>
            </w:r>
          </w:p>
        </w:tc>
        <w:tc>
          <w:tcPr>
            <w:tcW w:w="1115"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eastAsia="Times New Roman" w:hAnsi="Times New Roman" w:cs="Times New Roman"/>
                <w:color w:val="000000"/>
                <w:lang w:eastAsia="hu-HU"/>
              </w:rPr>
              <w:t>VLM RLR</w:t>
            </w:r>
          </w:p>
        </w:tc>
        <w:tc>
          <w:tcPr>
            <w:tcW w:w="1196"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eastAsia="Times New Roman" w:hAnsi="Times New Roman" w:cs="Times New Roman"/>
                <w:color w:val="000000"/>
                <w:lang w:eastAsia="hu-HU"/>
              </w:rPr>
              <w:t>LMR ALRT</w:t>
            </w:r>
          </w:p>
        </w:tc>
        <w:tc>
          <w:tcPr>
            <w:tcW w:w="1065"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eastAsia="Times New Roman" w:hAnsi="Times New Roman" w:cs="Times New Roman"/>
                <w:color w:val="000000"/>
                <w:lang w:eastAsia="hu-HU"/>
              </w:rPr>
              <w:t>BLRT</w:t>
            </w:r>
          </w:p>
        </w:tc>
      </w:tr>
      <w:tr w:rsidR="00053700" w:rsidRPr="00091F63" w:rsidTr="003E441F">
        <w:tc>
          <w:tcPr>
            <w:tcW w:w="1276"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vertAlign w:val="superscript"/>
              </w:rPr>
            </w:pPr>
            <w:r w:rsidRPr="00091F63">
              <w:rPr>
                <w:rFonts w:ascii="Times New Roman" w:eastAsia="Times New Roman" w:hAnsi="Times New Roman" w:cs="Times New Roman"/>
                <w:color w:val="000000"/>
                <w:lang w:eastAsia="hu-HU"/>
              </w:rPr>
              <w:t xml:space="preserve">Depressive </w:t>
            </w:r>
            <w:proofErr w:type="spellStart"/>
            <w:r w:rsidRPr="00091F63">
              <w:rPr>
                <w:rFonts w:ascii="Times New Roman" w:eastAsia="Times New Roman" w:hAnsi="Times New Roman" w:cs="Times New Roman"/>
                <w:color w:val="000000"/>
                <w:lang w:eastAsia="hu-HU"/>
              </w:rPr>
              <w:t>symptoms</w:t>
            </w:r>
            <w:r w:rsidRPr="00091F63">
              <w:rPr>
                <w:rFonts w:ascii="Times New Roman" w:eastAsia="Times New Roman" w:hAnsi="Times New Roman" w:cs="Times New Roman"/>
                <w:color w:val="000000"/>
                <w:vertAlign w:val="superscript"/>
                <w:lang w:eastAsia="hu-HU"/>
              </w:rPr>
              <w:t>a</w:t>
            </w:r>
            <w:proofErr w:type="spellEnd"/>
          </w:p>
        </w:tc>
        <w:tc>
          <w:tcPr>
            <w:tcW w:w="1422"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-205.796</w:t>
            </w:r>
          </w:p>
        </w:tc>
        <w:tc>
          <w:tcPr>
            <w:tcW w:w="1276"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447.592</w:t>
            </w:r>
          </w:p>
        </w:tc>
        <w:tc>
          <w:tcPr>
            <w:tcW w:w="1276"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515.421</w:t>
            </w:r>
          </w:p>
        </w:tc>
        <w:tc>
          <w:tcPr>
            <w:tcW w:w="945"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0.757</w:t>
            </w:r>
          </w:p>
        </w:tc>
        <w:tc>
          <w:tcPr>
            <w:tcW w:w="1115"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&lt; 0.001</w:t>
            </w:r>
          </w:p>
        </w:tc>
        <w:tc>
          <w:tcPr>
            <w:tcW w:w="1196"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&lt; 0.001</w:t>
            </w:r>
          </w:p>
        </w:tc>
        <w:tc>
          <w:tcPr>
            <w:tcW w:w="1065"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&lt; 0.001</w:t>
            </w:r>
          </w:p>
        </w:tc>
      </w:tr>
      <w:tr w:rsidR="00053700" w:rsidRPr="00091F63" w:rsidTr="003E441F">
        <w:tc>
          <w:tcPr>
            <w:tcW w:w="1276" w:type="dxa"/>
            <w:vAlign w:val="center"/>
          </w:tcPr>
          <w:p w:rsidR="00053700" w:rsidRPr="00091F63" w:rsidRDefault="00053700" w:rsidP="00053700">
            <w:pPr>
              <w:spacing w:line="480" w:lineRule="auto"/>
              <w:rPr>
                <w:rFonts w:ascii="Times New Roman" w:hAnsi="Times New Roman" w:cs="Times New Roman"/>
                <w:sz w:val="24"/>
                <w:szCs w:val="24"/>
                <w:vertAlign w:val="superscript"/>
              </w:rPr>
            </w:pPr>
            <w:proofErr w:type="spellStart"/>
            <w:r w:rsidRPr="00091F63">
              <w:rPr>
                <w:rFonts w:ascii="Times New Roman" w:eastAsia="Times New Roman" w:hAnsi="Times New Roman" w:cs="Times New Roman"/>
                <w:color w:val="000000"/>
                <w:lang w:eastAsia="hu-HU"/>
              </w:rPr>
              <w:t>Distress</w:t>
            </w:r>
            <w:r w:rsidRPr="00091F63">
              <w:rPr>
                <w:rFonts w:ascii="Times New Roman" w:eastAsia="Times New Roman" w:hAnsi="Times New Roman" w:cs="Times New Roman"/>
                <w:color w:val="000000"/>
                <w:vertAlign w:val="superscript"/>
                <w:lang w:eastAsia="hu-HU"/>
              </w:rPr>
              <w:t>b</w:t>
            </w:r>
            <w:proofErr w:type="spellEnd"/>
          </w:p>
        </w:tc>
        <w:tc>
          <w:tcPr>
            <w:tcW w:w="1422"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-553.509</w:t>
            </w:r>
          </w:p>
        </w:tc>
        <w:tc>
          <w:tcPr>
            <w:tcW w:w="1276"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1125.019</w:t>
            </w:r>
          </w:p>
        </w:tc>
        <w:tc>
          <w:tcPr>
            <w:tcW w:w="1276"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1158.962</w:t>
            </w:r>
          </w:p>
        </w:tc>
        <w:tc>
          <w:tcPr>
            <w:tcW w:w="945"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0.689</w:t>
            </w:r>
          </w:p>
        </w:tc>
        <w:tc>
          <w:tcPr>
            <w:tcW w:w="1115"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 0.011</w:t>
            </w:r>
          </w:p>
        </w:tc>
        <w:tc>
          <w:tcPr>
            <w:tcW w:w="1196"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 xml:space="preserve">p </w:t>
            </w:r>
            <w:r w:rsidRPr="00091F63">
              <w:rPr>
                <w:rFonts w:ascii="Times New Roman" w:eastAsia="Times New Roman" w:hAnsi="Times New Roman" w:cs="Times New Roman"/>
                <w:color w:val="000000"/>
                <w:lang w:eastAsia="hu-HU"/>
              </w:rPr>
              <w:t>= 0.013</w:t>
            </w:r>
          </w:p>
        </w:tc>
        <w:tc>
          <w:tcPr>
            <w:tcW w:w="1065" w:type="dxa"/>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&lt; 0.001</w:t>
            </w:r>
          </w:p>
        </w:tc>
      </w:tr>
      <w:tr w:rsidR="00053700" w:rsidRPr="00091F63" w:rsidTr="003E441F">
        <w:tc>
          <w:tcPr>
            <w:tcW w:w="1276"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vertAlign w:val="superscript"/>
              </w:rPr>
            </w:pPr>
            <w:proofErr w:type="spellStart"/>
            <w:r w:rsidRPr="00091F63">
              <w:rPr>
                <w:rFonts w:ascii="Times New Roman" w:eastAsia="Times New Roman" w:hAnsi="Times New Roman" w:cs="Times New Roman"/>
                <w:color w:val="000000"/>
                <w:lang w:eastAsia="hu-HU"/>
              </w:rPr>
              <w:t>Resilience</w:t>
            </w:r>
            <w:r w:rsidRPr="00091F63">
              <w:rPr>
                <w:rFonts w:ascii="Times New Roman" w:eastAsia="Times New Roman" w:hAnsi="Times New Roman" w:cs="Times New Roman"/>
                <w:color w:val="000000"/>
                <w:vertAlign w:val="superscript"/>
                <w:lang w:eastAsia="hu-HU"/>
              </w:rPr>
              <w:t>b</w:t>
            </w:r>
            <w:proofErr w:type="spellEnd"/>
          </w:p>
        </w:tc>
        <w:tc>
          <w:tcPr>
            <w:tcW w:w="1422"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-760.152</w:t>
            </w:r>
          </w:p>
        </w:tc>
        <w:tc>
          <w:tcPr>
            <w:tcW w:w="1276"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1536.304</w:t>
            </w:r>
          </w:p>
        </w:tc>
        <w:tc>
          <w:tcPr>
            <w:tcW w:w="1276"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1566.426</w:t>
            </w:r>
          </w:p>
        </w:tc>
        <w:tc>
          <w:tcPr>
            <w:tcW w:w="945"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color w:val="000000"/>
              </w:rPr>
              <w:t>0.778</w:t>
            </w:r>
          </w:p>
        </w:tc>
        <w:tc>
          <w:tcPr>
            <w:tcW w:w="1115"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&lt; 0.001</w:t>
            </w:r>
          </w:p>
        </w:tc>
        <w:tc>
          <w:tcPr>
            <w:tcW w:w="1196"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 xml:space="preserve">p </w:t>
            </w:r>
            <w:r w:rsidRPr="00091F63">
              <w:rPr>
                <w:rFonts w:ascii="Times New Roman" w:eastAsia="Times New Roman" w:hAnsi="Times New Roman" w:cs="Times New Roman"/>
                <w:color w:val="000000"/>
                <w:lang w:eastAsia="hu-HU"/>
              </w:rPr>
              <w:t>&lt; 0.001</w:t>
            </w:r>
          </w:p>
        </w:tc>
        <w:tc>
          <w:tcPr>
            <w:tcW w:w="1065"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i/>
                <w:color w:val="000000"/>
              </w:rPr>
              <w:t>p</w:t>
            </w:r>
            <w:r w:rsidRPr="00091F63">
              <w:rPr>
                <w:rFonts w:ascii="Times New Roman" w:eastAsia="Times New Roman" w:hAnsi="Times New Roman" w:cs="Times New Roman"/>
                <w:color w:val="000000"/>
                <w:lang w:eastAsia="hu-HU"/>
              </w:rPr>
              <w:t xml:space="preserve"> &lt; 0.001</w:t>
            </w:r>
          </w:p>
        </w:tc>
      </w:tr>
      <w:tr w:rsidR="00053700" w:rsidRPr="00091F63" w:rsidTr="003E441F">
        <w:tc>
          <w:tcPr>
            <w:tcW w:w="9571" w:type="dxa"/>
            <w:gridSpan w:val="8"/>
            <w:tcBorders>
              <w:top w:val="single" w:sz="4" w:space="0" w:color="auto"/>
            </w:tcBorders>
            <w:vAlign w:val="center"/>
          </w:tcPr>
          <w:p w:rsidR="00053700" w:rsidRPr="00091F63" w:rsidRDefault="00053700" w:rsidP="00053700">
            <w:pPr>
              <w:spacing w:line="480" w:lineRule="auto"/>
              <w:rPr>
                <w:rFonts w:ascii="Times New Roman" w:hAnsi="Times New Roman" w:cs="Times New Roman"/>
              </w:rPr>
            </w:pPr>
            <w:r w:rsidRPr="00091F63">
              <w:rPr>
                <w:rFonts w:ascii="Times New Roman" w:hAnsi="Times New Roman" w:cs="Times New Roman"/>
                <w:i/>
                <w:iCs/>
                <w:sz w:val="24"/>
                <w:szCs w:val="24"/>
              </w:rPr>
              <w:t xml:space="preserve">Note. </w:t>
            </w:r>
            <w:r w:rsidRPr="00091F63">
              <w:rPr>
                <w:rFonts w:ascii="Times New Roman" w:hAnsi="Times New Roman" w:cs="Times New Roman"/>
              </w:rPr>
              <w:t>AIC=</w:t>
            </w:r>
            <w:proofErr w:type="spellStart"/>
            <w:r w:rsidRPr="00091F63">
              <w:rPr>
                <w:rFonts w:ascii="Times New Roman" w:hAnsi="Times New Roman" w:cs="Times New Roman"/>
              </w:rPr>
              <w:t>Akaike</w:t>
            </w:r>
            <w:proofErr w:type="spellEnd"/>
            <w:r w:rsidRPr="00091F63">
              <w:rPr>
                <w:rFonts w:ascii="Times New Roman" w:hAnsi="Times New Roman" w:cs="Times New Roman"/>
              </w:rPr>
              <w:t xml:space="preserve"> information criterion; BIC=Bayesian information criterion; VLM RLT=</w:t>
            </w:r>
            <w:proofErr w:type="spellStart"/>
            <w:r w:rsidRPr="00091F63">
              <w:rPr>
                <w:rFonts w:ascii="Times New Roman" w:hAnsi="Times New Roman" w:cs="Times New Roman"/>
              </w:rPr>
              <w:t>Vuong</w:t>
            </w:r>
            <w:proofErr w:type="spellEnd"/>
            <w:r w:rsidRPr="00091F63">
              <w:rPr>
                <w:rFonts w:ascii="Times New Roman" w:hAnsi="Times New Roman" w:cs="Times New Roman"/>
              </w:rPr>
              <w:t>-Lo-</w:t>
            </w:r>
            <w:proofErr w:type="spellStart"/>
            <w:r w:rsidRPr="00091F63">
              <w:rPr>
                <w:rFonts w:ascii="Times New Roman" w:hAnsi="Times New Roman" w:cs="Times New Roman"/>
              </w:rPr>
              <w:t>Mendell</w:t>
            </w:r>
            <w:proofErr w:type="spellEnd"/>
            <w:r w:rsidRPr="00091F63">
              <w:rPr>
                <w:rFonts w:ascii="Times New Roman" w:hAnsi="Times New Roman" w:cs="Times New Roman"/>
              </w:rPr>
              <w:t>-Rubin likelihood ratio test; LMR ALRT=Lo-</w:t>
            </w:r>
            <w:proofErr w:type="spellStart"/>
            <w:r w:rsidRPr="00091F63">
              <w:rPr>
                <w:rFonts w:ascii="Times New Roman" w:hAnsi="Times New Roman" w:cs="Times New Roman"/>
              </w:rPr>
              <w:t>Mendell</w:t>
            </w:r>
            <w:proofErr w:type="spellEnd"/>
            <w:r w:rsidRPr="00091F63">
              <w:rPr>
                <w:rFonts w:ascii="Times New Roman" w:hAnsi="Times New Roman" w:cs="Times New Roman"/>
              </w:rPr>
              <w:t>-Rubin adjusted likelihood ratio test; BLRT=bootstrap likelihood ratio test.</w:t>
            </w:r>
          </w:p>
          <w:p w:rsidR="00053700" w:rsidRPr="00091F63" w:rsidRDefault="00053700" w:rsidP="00053700">
            <w:pPr>
              <w:spacing w:line="480" w:lineRule="auto"/>
              <w:rPr>
                <w:rFonts w:ascii="Times New Roman" w:hAnsi="Times New Roman" w:cs="Times New Roman"/>
              </w:rPr>
            </w:pPr>
            <w:proofErr w:type="gramStart"/>
            <w:r w:rsidRPr="00091F63">
              <w:rPr>
                <w:rFonts w:ascii="Times New Roman" w:hAnsi="Times New Roman" w:cs="Times New Roman"/>
                <w:vertAlign w:val="superscript"/>
              </w:rPr>
              <w:t>a</w:t>
            </w:r>
            <w:proofErr w:type="gramEnd"/>
            <w:r w:rsidRPr="00091F63">
              <w:rPr>
                <w:rFonts w:ascii="Times New Roman" w:hAnsi="Times New Roman" w:cs="Times New Roman"/>
                <w:vertAlign w:val="superscript"/>
              </w:rPr>
              <w:t xml:space="preserve"> </w:t>
            </w:r>
            <w:r w:rsidRPr="00091F63">
              <w:rPr>
                <w:rFonts w:ascii="Times New Roman" w:hAnsi="Times New Roman" w:cs="Times New Roman"/>
              </w:rPr>
              <w:t>Covariance Pattern Growth Mixture Model (CPGMM).</w:t>
            </w:r>
          </w:p>
          <w:p w:rsidR="00053700" w:rsidRPr="00091F63" w:rsidRDefault="00053700" w:rsidP="00053700">
            <w:pPr>
              <w:spacing w:line="480" w:lineRule="auto"/>
              <w:rPr>
                <w:rFonts w:ascii="Times New Roman" w:hAnsi="Times New Roman" w:cs="Times New Roman"/>
              </w:rPr>
            </w:pPr>
            <w:proofErr w:type="gramStart"/>
            <w:r w:rsidRPr="00091F63">
              <w:rPr>
                <w:rFonts w:ascii="Times New Roman" w:hAnsi="Times New Roman" w:cs="Times New Roman"/>
                <w:vertAlign w:val="superscript"/>
              </w:rPr>
              <w:t>b</w:t>
            </w:r>
            <w:proofErr w:type="gramEnd"/>
            <w:r w:rsidRPr="00091F63">
              <w:rPr>
                <w:rFonts w:ascii="Times New Roman" w:hAnsi="Times New Roman" w:cs="Times New Roman"/>
                <w:vertAlign w:val="superscript"/>
              </w:rPr>
              <w:t xml:space="preserve"> </w:t>
            </w:r>
            <w:r w:rsidRPr="00091F63">
              <w:rPr>
                <w:rFonts w:ascii="Times New Roman" w:hAnsi="Times New Roman" w:cs="Times New Roman"/>
              </w:rPr>
              <w:t>Latent Class Growth Model (LCGM).</w:t>
            </w:r>
          </w:p>
          <w:p w:rsidR="00053700" w:rsidRPr="00091F63" w:rsidRDefault="00053700" w:rsidP="00053700">
            <w:pPr>
              <w:spacing w:line="480" w:lineRule="auto"/>
              <w:rPr>
                <w:rFonts w:ascii="Times New Roman" w:hAnsi="Times New Roman" w:cs="Times New Roman"/>
                <w:i/>
                <w:color w:val="000000"/>
              </w:rPr>
            </w:pPr>
          </w:p>
        </w:tc>
      </w:tr>
    </w:tbl>
    <w:p w:rsidR="00053700" w:rsidRPr="00091F63" w:rsidRDefault="00053700" w:rsidP="00053700">
      <w:pPr>
        <w:spacing w:after="0" w:line="480" w:lineRule="auto"/>
        <w:rPr>
          <w:rFonts w:ascii="Times New Roman" w:hAnsi="Times New Roman" w:cs="Times New Roman"/>
        </w:rPr>
      </w:pPr>
    </w:p>
    <w:p w:rsidR="00053700" w:rsidRPr="00091F63" w:rsidRDefault="00053700" w:rsidP="00053700">
      <w:pPr>
        <w:spacing w:after="0" w:line="480" w:lineRule="auto"/>
        <w:rPr>
          <w:rFonts w:ascii="Times New Roman" w:hAnsi="Times New Roman" w:cs="Times New Roman"/>
        </w:rPr>
      </w:pPr>
    </w:p>
    <w:p w:rsidR="00053700" w:rsidRPr="00091F63" w:rsidRDefault="00053700" w:rsidP="00053700">
      <w:pPr>
        <w:spacing w:after="0" w:line="480" w:lineRule="auto"/>
        <w:rPr>
          <w:rFonts w:ascii="Times New Roman" w:hAnsi="Times New Roman" w:cs="Times New Roman"/>
          <w:b/>
          <w:bCs/>
        </w:rPr>
      </w:pPr>
      <w:r w:rsidRPr="00091F63">
        <w:rPr>
          <w:rFonts w:ascii="Times New Roman" w:hAnsi="Times New Roman" w:cs="Times New Roman"/>
          <w:b/>
          <w:bCs/>
        </w:rPr>
        <w:br/>
      </w:r>
    </w:p>
    <w:p w:rsidR="00053700" w:rsidRPr="00091F63" w:rsidRDefault="00053700" w:rsidP="00053700">
      <w:pPr>
        <w:spacing w:line="480" w:lineRule="auto"/>
        <w:rPr>
          <w:rFonts w:ascii="Times New Roman" w:hAnsi="Times New Roman" w:cs="Times New Roman"/>
          <w:b/>
          <w:bCs/>
        </w:rPr>
      </w:pPr>
      <w:r w:rsidRPr="00091F63">
        <w:rPr>
          <w:rFonts w:ascii="Times New Roman" w:hAnsi="Times New Roman" w:cs="Times New Roman"/>
          <w:b/>
          <w:bCs/>
        </w:rPr>
        <w:br w:type="page"/>
      </w:r>
    </w:p>
    <w:tbl>
      <w:tblPr>
        <w:tblStyle w:val="Mkatabulky"/>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43"/>
        <w:gridCol w:w="1732"/>
        <w:gridCol w:w="2188"/>
        <w:gridCol w:w="1812"/>
      </w:tblGrid>
      <w:tr w:rsidR="00053700" w:rsidRPr="00091F63" w:rsidTr="003E441F">
        <w:tc>
          <w:tcPr>
            <w:tcW w:w="9385" w:type="dxa"/>
            <w:gridSpan w:val="5"/>
            <w:tcBorders>
              <w:bottom w:val="single" w:sz="4" w:space="0" w:color="auto"/>
            </w:tcBorders>
            <w:vAlign w:val="bottom"/>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b/>
                <w:bCs/>
              </w:rPr>
              <w:lastRenderedPageBreak/>
              <w:t>Table S3</w:t>
            </w:r>
            <w:r w:rsidRPr="00091F63">
              <w:rPr>
                <w:rFonts w:ascii="Times New Roman" w:hAnsi="Times New Roman" w:cs="Times New Roman"/>
              </w:rPr>
              <w:t xml:space="preserve"> </w:t>
            </w:r>
            <w:r w:rsidRPr="00091F63">
              <w:rPr>
                <w:rFonts w:ascii="Times New Roman" w:hAnsi="Times New Roman" w:cs="Times New Roman"/>
                <w:sz w:val="24"/>
                <w:szCs w:val="24"/>
              </w:rPr>
              <w:t>Class proportions and mean intercept and slope results in the 2-class models</w:t>
            </w:r>
          </w:p>
        </w:tc>
      </w:tr>
      <w:tr w:rsidR="00053700" w:rsidRPr="00091F63" w:rsidTr="003E441F">
        <w:tc>
          <w:tcPr>
            <w:tcW w:w="2410" w:type="dxa"/>
            <w:tcBorders>
              <w:top w:val="single" w:sz="4" w:space="0" w:color="auto"/>
              <w:bottom w:val="single" w:sz="4" w:space="0" w:color="auto"/>
            </w:tcBorders>
            <w:vAlign w:val="bottom"/>
          </w:tcPr>
          <w:p w:rsidR="00053700" w:rsidRPr="00091F63" w:rsidRDefault="00053700" w:rsidP="00053700">
            <w:pPr>
              <w:spacing w:line="480" w:lineRule="auto"/>
              <w:rPr>
                <w:rFonts w:ascii="Times New Roman" w:hAnsi="Times New Roman" w:cs="Times New Roman"/>
                <w:i/>
                <w:iCs/>
                <w:sz w:val="24"/>
                <w:szCs w:val="24"/>
              </w:rPr>
            </w:pPr>
          </w:p>
        </w:tc>
        <w:tc>
          <w:tcPr>
            <w:tcW w:w="1243"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sz w:val="24"/>
                <w:szCs w:val="24"/>
              </w:rPr>
            </w:pPr>
            <w:r w:rsidRPr="00091F63">
              <w:rPr>
                <w:rFonts w:ascii="Times New Roman" w:hAnsi="Times New Roman" w:cs="Times New Roman"/>
                <w:sz w:val="24"/>
                <w:szCs w:val="24"/>
              </w:rPr>
              <w:t>Symptoms</w:t>
            </w:r>
          </w:p>
        </w:tc>
        <w:tc>
          <w:tcPr>
            <w:tcW w:w="1732"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Proportion of participants (%)</w:t>
            </w:r>
          </w:p>
        </w:tc>
        <w:tc>
          <w:tcPr>
            <w:tcW w:w="2188"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Mean latent intercept factor (</w:t>
            </w:r>
            <w:r w:rsidRPr="00091F63">
              <w:rPr>
                <w:rFonts w:ascii="Times New Roman" w:hAnsi="Times New Roman" w:cs="Times New Roman"/>
                <w:i/>
                <w:iCs/>
                <w:color w:val="000000"/>
              </w:rPr>
              <w:t>S.E.</w:t>
            </w:r>
            <w:r w:rsidRPr="00091F63">
              <w:rPr>
                <w:rFonts w:ascii="Times New Roman" w:hAnsi="Times New Roman" w:cs="Times New Roman"/>
                <w:color w:val="000000"/>
              </w:rPr>
              <w:t>)</w:t>
            </w:r>
          </w:p>
        </w:tc>
        <w:tc>
          <w:tcPr>
            <w:tcW w:w="1812" w:type="dxa"/>
            <w:tcBorders>
              <w:top w:val="single" w:sz="4" w:space="0" w:color="auto"/>
              <w:bottom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Mean latent slope factor (</w:t>
            </w:r>
            <w:r w:rsidRPr="00091F63">
              <w:rPr>
                <w:rFonts w:ascii="Times New Roman" w:hAnsi="Times New Roman" w:cs="Times New Roman"/>
                <w:i/>
                <w:iCs/>
                <w:color w:val="000000"/>
              </w:rPr>
              <w:t>S.E.</w:t>
            </w:r>
            <w:r w:rsidRPr="00091F63">
              <w:rPr>
                <w:rFonts w:ascii="Times New Roman" w:hAnsi="Times New Roman" w:cs="Times New Roman"/>
                <w:color w:val="000000"/>
              </w:rPr>
              <w:t>)</w:t>
            </w:r>
          </w:p>
        </w:tc>
      </w:tr>
      <w:tr w:rsidR="00053700" w:rsidRPr="00091F63" w:rsidTr="003E441F">
        <w:tc>
          <w:tcPr>
            <w:tcW w:w="2410"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Depressive symptoms</w:t>
            </w:r>
          </w:p>
        </w:tc>
        <w:tc>
          <w:tcPr>
            <w:tcW w:w="1243"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Low</w:t>
            </w:r>
          </w:p>
        </w:tc>
        <w:tc>
          <w:tcPr>
            <w:tcW w:w="1732"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38.75%</w:t>
            </w:r>
          </w:p>
        </w:tc>
        <w:tc>
          <w:tcPr>
            <w:tcW w:w="2188"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0.131 (0.027)***</w:t>
            </w:r>
          </w:p>
        </w:tc>
        <w:tc>
          <w:tcPr>
            <w:tcW w:w="1812" w:type="dxa"/>
            <w:tcBorders>
              <w:top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0.006 (0.008)</w:t>
            </w:r>
          </w:p>
        </w:tc>
      </w:tr>
      <w:tr w:rsidR="00053700" w:rsidRPr="00091F63" w:rsidTr="003E441F">
        <w:tc>
          <w:tcPr>
            <w:tcW w:w="2410" w:type="dxa"/>
            <w:vAlign w:val="center"/>
          </w:tcPr>
          <w:p w:rsidR="00053700" w:rsidRPr="00091F63" w:rsidRDefault="00053700" w:rsidP="00053700">
            <w:pPr>
              <w:spacing w:line="480" w:lineRule="auto"/>
              <w:rPr>
                <w:rFonts w:ascii="Times New Roman" w:hAnsi="Times New Roman" w:cs="Times New Roman"/>
                <w:color w:val="000000"/>
              </w:rPr>
            </w:pPr>
          </w:p>
        </w:tc>
        <w:tc>
          <w:tcPr>
            <w:tcW w:w="1243"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High</w:t>
            </w:r>
          </w:p>
        </w:tc>
        <w:tc>
          <w:tcPr>
            <w:tcW w:w="1732"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61.13%</w:t>
            </w:r>
          </w:p>
        </w:tc>
        <w:tc>
          <w:tcPr>
            <w:tcW w:w="2188"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0.584 (0.039)***</w:t>
            </w:r>
          </w:p>
        </w:tc>
        <w:tc>
          <w:tcPr>
            <w:tcW w:w="1812"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0.042 (0.029)</w:t>
            </w:r>
          </w:p>
        </w:tc>
      </w:tr>
      <w:tr w:rsidR="00053700" w:rsidRPr="00091F63" w:rsidTr="003E441F">
        <w:tc>
          <w:tcPr>
            <w:tcW w:w="2410"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Distress</w:t>
            </w:r>
          </w:p>
        </w:tc>
        <w:tc>
          <w:tcPr>
            <w:tcW w:w="1243"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Low</w:t>
            </w:r>
          </w:p>
        </w:tc>
        <w:tc>
          <w:tcPr>
            <w:tcW w:w="1732"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71.15%</w:t>
            </w:r>
          </w:p>
        </w:tc>
        <w:tc>
          <w:tcPr>
            <w:tcW w:w="2188"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0.993 (0.041)***</w:t>
            </w:r>
          </w:p>
        </w:tc>
        <w:tc>
          <w:tcPr>
            <w:tcW w:w="1812"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-0.053 (0.030)+</w:t>
            </w:r>
          </w:p>
        </w:tc>
      </w:tr>
      <w:tr w:rsidR="00053700" w:rsidRPr="00091F63" w:rsidTr="003E441F">
        <w:tc>
          <w:tcPr>
            <w:tcW w:w="2410" w:type="dxa"/>
            <w:vAlign w:val="center"/>
          </w:tcPr>
          <w:p w:rsidR="00053700" w:rsidRPr="00091F63" w:rsidRDefault="00053700" w:rsidP="00053700">
            <w:pPr>
              <w:spacing w:line="480" w:lineRule="auto"/>
              <w:rPr>
                <w:rFonts w:ascii="Times New Roman" w:hAnsi="Times New Roman" w:cs="Times New Roman"/>
                <w:color w:val="000000"/>
              </w:rPr>
            </w:pPr>
          </w:p>
        </w:tc>
        <w:tc>
          <w:tcPr>
            <w:tcW w:w="1243"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High</w:t>
            </w:r>
          </w:p>
        </w:tc>
        <w:tc>
          <w:tcPr>
            <w:tcW w:w="1732"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28.85%</w:t>
            </w:r>
          </w:p>
        </w:tc>
        <w:tc>
          <w:tcPr>
            <w:tcW w:w="2188"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1.638 (0.097)***</w:t>
            </w:r>
          </w:p>
        </w:tc>
        <w:tc>
          <w:tcPr>
            <w:tcW w:w="1812" w:type="dxa"/>
            <w:vAlign w:val="center"/>
          </w:tcPr>
          <w:p w:rsidR="00053700" w:rsidRPr="00091F63" w:rsidRDefault="00053700" w:rsidP="00053700">
            <w:pPr>
              <w:spacing w:line="480" w:lineRule="auto"/>
              <w:rPr>
                <w:rFonts w:ascii="Times New Roman" w:hAnsi="Times New Roman" w:cs="Times New Roman"/>
                <w:color w:val="000000"/>
              </w:rPr>
            </w:pPr>
            <w:r w:rsidRPr="00091F63">
              <w:rPr>
                <w:rFonts w:ascii="Times New Roman" w:hAnsi="Times New Roman" w:cs="Times New Roman"/>
                <w:color w:val="000000"/>
              </w:rPr>
              <w:t>-0.048 (0.035)</w:t>
            </w:r>
          </w:p>
        </w:tc>
      </w:tr>
      <w:tr w:rsidR="00053700" w:rsidRPr="00091F63" w:rsidTr="003E441F">
        <w:tc>
          <w:tcPr>
            <w:tcW w:w="2410"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Resilience</w:t>
            </w:r>
          </w:p>
        </w:tc>
        <w:tc>
          <w:tcPr>
            <w:tcW w:w="1243"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Low</w:t>
            </w:r>
          </w:p>
        </w:tc>
        <w:tc>
          <w:tcPr>
            <w:tcW w:w="1732"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31.98%</w:t>
            </w:r>
          </w:p>
        </w:tc>
        <w:tc>
          <w:tcPr>
            <w:tcW w:w="2188"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2.704 (0.086)***</w:t>
            </w:r>
          </w:p>
        </w:tc>
        <w:tc>
          <w:tcPr>
            <w:tcW w:w="1812" w:type="dxa"/>
            <w:vAlign w:val="center"/>
          </w:tcPr>
          <w:p w:rsidR="00053700" w:rsidRPr="00091F63" w:rsidRDefault="00053700" w:rsidP="00053700">
            <w:pPr>
              <w:spacing w:line="480" w:lineRule="auto"/>
              <w:rPr>
                <w:rFonts w:ascii="Times New Roman" w:hAnsi="Times New Roman" w:cs="Times New Roman"/>
                <w:i/>
                <w:iCs/>
                <w:sz w:val="24"/>
                <w:szCs w:val="24"/>
              </w:rPr>
            </w:pPr>
            <w:r w:rsidRPr="00091F63">
              <w:rPr>
                <w:rFonts w:ascii="Times New Roman" w:hAnsi="Times New Roman" w:cs="Times New Roman"/>
                <w:color w:val="000000"/>
              </w:rPr>
              <w:t>0.024 (0.037)</w:t>
            </w:r>
          </w:p>
        </w:tc>
      </w:tr>
      <w:tr w:rsidR="00053700" w:rsidRPr="00091F63" w:rsidTr="003E441F">
        <w:tc>
          <w:tcPr>
            <w:tcW w:w="2410"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i/>
                <w:iCs/>
                <w:sz w:val="24"/>
                <w:szCs w:val="24"/>
              </w:rPr>
            </w:pPr>
          </w:p>
        </w:tc>
        <w:tc>
          <w:tcPr>
            <w:tcW w:w="1243"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i/>
                <w:iCs/>
              </w:rPr>
            </w:pPr>
            <w:r w:rsidRPr="00091F63">
              <w:rPr>
                <w:rFonts w:ascii="Times New Roman" w:hAnsi="Times New Roman" w:cs="Times New Roman"/>
                <w:color w:val="000000"/>
              </w:rPr>
              <w:t>High</w:t>
            </w:r>
          </w:p>
        </w:tc>
        <w:tc>
          <w:tcPr>
            <w:tcW w:w="1732"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rPr>
            </w:pPr>
            <w:r w:rsidRPr="00091F63">
              <w:rPr>
                <w:rFonts w:ascii="Times New Roman" w:hAnsi="Times New Roman" w:cs="Times New Roman"/>
              </w:rPr>
              <w:t>68.03%</w:t>
            </w:r>
          </w:p>
        </w:tc>
        <w:tc>
          <w:tcPr>
            <w:tcW w:w="2188"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rPr>
            </w:pPr>
            <w:r w:rsidRPr="00091F63">
              <w:rPr>
                <w:rFonts w:ascii="Times New Roman" w:hAnsi="Times New Roman" w:cs="Times New Roman"/>
              </w:rPr>
              <w:t>3.749 (0.045)***</w:t>
            </w:r>
          </w:p>
        </w:tc>
        <w:tc>
          <w:tcPr>
            <w:tcW w:w="1812" w:type="dxa"/>
            <w:tcBorders>
              <w:bottom w:val="single" w:sz="4" w:space="0" w:color="auto"/>
            </w:tcBorders>
            <w:vAlign w:val="center"/>
          </w:tcPr>
          <w:p w:rsidR="00053700" w:rsidRPr="00091F63" w:rsidRDefault="00053700" w:rsidP="00053700">
            <w:pPr>
              <w:spacing w:line="480" w:lineRule="auto"/>
              <w:rPr>
                <w:rFonts w:ascii="Times New Roman" w:hAnsi="Times New Roman" w:cs="Times New Roman"/>
              </w:rPr>
            </w:pPr>
            <w:r w:rsidRPr="00091F63">
              <w:rPr>
                <w:rFonts w:ascii="Times New Roman" w:hAnsi="Times New Roman" w:cs="Times New Roman"/>
              </w:rPr>
              <w:t>-0.032 (0.022)</w:t>
            </w:r>
          </w:p>
        </w:tc>
      </w:tr>
      <w:tr w:rsidR="00053700" w:rsidRPr="00091F63" w:rsidTr="003E441F">
        <w:tc>
          <w:tcPr>
            <w:tcW w:w="9385" w:type="dxa"/>
            <w:gridSpan w:val="5"/>
            <w:tcBorders>
              <w:top w:val="single" w:sz="4" w:space="0" w:color="auto"/>
            </w:tcBorders>
            <w:vAlign w:val="center"/>
          </w:tcPr>
          <w:p w:rsidR="00053700" w:rsidRPr="00091F63" w:rsidRDefault="00053700" w:rsidP="00053700">
            <w:pPr>
              <w:spacing w:line="480" w:lineRule="auto"/>
              <w:rPr>
                <w:rFonts w:ascii="Times New Roman" w:hAnsi="Times New Roman" w:cs="Times New Roman"/>
              </w:rPr>
            </w:pPr>
            <w:r w:rsidRPr="00091F63">
              <w:rPr>
                <w:rFonts w:ascii="Times New Roman" w:hAnsi="Times New Roman" w:cs="Times New Roman"/>
                <w:i/>
                <w:iCs/>
                <w:sz w:val="24"/>
                <w:szCs w:val="24"/>
              </w:rPr>
              <w:t xml:space="preserve">Note. </w:t>
            </w:r>
            <w:r w:rsidRPr="00091F63">
              <w:rPr>
                <w:rFonts w:ascii="Times New Roman" w:hAnsi="Times New Roman" w:cs="Times New Roman"/>
                <w:i/>
                <w:iCs/>
                <w:color w:val="000000"/>
              </w:rPr>
              <w:t>S.E.</w:t>
            </w:r>
            <w:r w:rsidRPr="00091F63">
              <w:rPr>
                <w:rFonts w:ascii="Times New Roman" w:hAnsi="Times New Roman" w:cs="Times New Roman"/>
                <w:color w:val="000000"/>
              </w:rPr>
              <w:t xml:space="preserve"> = standard error. + </w:t>
            </w:r>
            <w:proofErr w:type="gramStart"/>
            <w:r w:rsidRPr="00091F63">
              <w:rPr>
                <w:rFonts w:ascii="Times New Roman" w:hAnsi="Times New Roman" w:cs="Times New Roman"/>
                <w:i/>
                <w:iCs/>
                <w:color w:val="000000"/>
              </w:rPr>
              <w:t>p</w:t>
            </w:r>
            <w:proofErr w:type="gramEnd"/>
            <w:r w:rsidRPr="00091F63">
              <w:rPr>
                <w:rFonts w:ascii="Times New Roman" w:hAnsi="Times New Roman" w:cs="Times New Roman"/>
                <w:color w:val="000000"/>
              </w:rPr>
              <w:t xml:space="preserve"> &lt; .1. *** </w:t>
            </w:r>
            <w:proofErr w:type="gramStart"/>
            <w:r w:rsidRPr="00091F63">
              <w:rPr>
                <w:rFonts w:ascii="Times New Roman" w:hAnsi="Times New Roman" w:cs="Times New Roman"/>
                <w:i/>
                <w:iCs/>
                <w:color w:val="000000"/>
              </w:rPr>
              <w:t>p</w:t>
            </w:r>
            <w:proofErr w:type="gramEnd"/>
            <w:r w:rsidRPr="00091F63">
              <w:rPr>
                <w:rFonts w:ascii="Times New Roman" w:hAnsi="Times New Roman" w:cs="Times New Roman"/>
                <w:color w:val="000000"/>
              </w:rPr>
              <w:t xml:space="preserve"> &lt; .001.</w:t>
            </w:r>
          </w:p>
        </w:tc>
      </w:tr>
    </w:tbl>
    <w:p w:rsidR="00053700" w:rsidRPr="00091F63" w:rsidRDefault="00053700" w:rsidP="00053700">
      <w:pPr>
        <w:spacing w:after="0" w:line="480" w:lineRule="auto"/>
        <w:rPr>
          <w:rFonts w:ascii="Times New Roman" w:hAnsi="Times New Roman" w:cs="Times New Roman"/>
          <w:color w:val="000000"/>
        </w:rPr>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Default="009C5116" w:rsidP="00053700">
      <w:pPr>
        <w:spacing w:line="480" w:lineRule="auto"/>
      </w:pPr>
    </w:p>
    <w:p w:rsidR="009C5116" w:rsidRPr="00C50F2E" w:rsidRDefault="009C5116" w:rsidP="00053700">
      <w:pPr>
        <w:spacing w:line="480" w:lineRule="auto"/>
        <w:rPr>
          <w:rFonts w:ascii="Times New Roman" w:hAnsi="Times New Roman" w:cs="Times New Roman"/>
          <w:sz w:val="24"/>
        </w:rPr>
      </w:pPr>
      <w:r w:rsidRPr="00C50F2E">
        <w:rPr>
          <w:rFonts w:ascii="Times New Roman" w:hAnsi="Times New Roman" w:cs="Times New Roman"/>
          <w:sz w:val="24"/>
        </w:rPr>
        <w:lastRenderedPageBreak/>
        <w:t>References</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fldChar w:fldCharType="begin"/>
      </w:r>
      <w:r w:rsidRPr="00C50F2E">
        <w:rPr>
          <w:rFonts w:ascii="Times New Roman" w:hAnsi="Times New Roman" w:cs="Times New Roman"/>
          <w:sz w:val="24"/>
        </w:rPr>
        <w:instrText xml:space="preserve"> ADDIN EN.REFLIST </w:instrText>
      </w:r>
      <w:r w:rsidRPr="00C50F2E">
        <w:rPr>
          <w:rFonts w:ascii="Times New Roman" w:hAnsi="Times New Roman" w:cs="Times New Roman"/>
          <w:sz w:val="24"/>
        </w:rPr>
        <w:fldChar w:fldCharType="separate"/>
      </w:r>
      <w:r w:rsidRPr="00C50F2E">
        <w:rPr>
          <w:rFonts w:ascii="Times New Roman" w:hAnsi="Times New Roman" w:cs="Times New Roman"/>
          <w:sz w:val="24"/>
        </w:rPr>
        <w:t>[1]</w:t>
      </w:r>
      <w:r w:rsidRPr="00C50F2E">
        <w:rPr>
          <w:rFonts w:ascii="Times New Roman" w:hAnsi="Times New Roman" w:cs="Times New Roman"/>
          <w:sz w:val="24"/>
        </w:rPr>
        <w:tab/>
        <w:t>Von Hippel PT. New confidence intervals and bias comparisons show that maximum likelihood can beat multiple imputation in small samples. Structural Equation Modeling: A Multidisciplinary Journal. 2016;23(3):422-37.</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[2]</w:t>
      </w:r>
      <w:r w:rsidRPr="00C50F2E">
        <w:rPr>
          <w:rFonts w:ascii="Times New Roman" w:hAnsi="Times New Roman" w:cs="Times New Roman"/>
          <w:sz w:val="24"/>
        </w:rPr>
        <w:tab/>
        <w:t>Van De Schoot R, Sijbrandij M, Winter SD, Depaoli S, Vermunt JK. The GRoLTS-checklist: guidelines for reporting on latent trajectory studies. Structural Equation Modeling: A Multidisciplinary Journal. 2017;24(3):451-67.</w:t>
      </w:r>
      <w:bookmarkStart w:id="0" w:name="_GoBack"/>
      <w:bookmarkEnd w:id="0"/>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[3]</w:t>
      </w:r>
      <w:r w:rsidRPr="00C50F2E">
        <w:rPr>
          <w:rFonts w:ascii="Times New Roman" w:hAnsi="Times New Roman" w:cs="Times New Roman"/>
          <w:sz w:val="24"/>
        </w:rPr>
        <w:tab/>
        <w:t>Formánek T, Csajbók Z, Wolfová K, Kučera M, Tom S, Aarsland D, et al. Trajectories of depressive symptoms and associated patterns of cognitive decline. Scientific reports. 2020;10(1):20888.</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[4]</w:t>
      </w:r>
      <w:r w:rsidRPr="00C50F2E">
        <w:rPr>
          <w:rFonts w:ascii="Times New Roman" w:hAnsi="Times New Roman" w:cs="Times New Roman"/>
          <w:sz w:val="24"/>
        </w:rPr>
        <w:tab/>
        <w:t>Cermakova P, Csajbók Z. Household crowding in childhood and trajectories of depressive symptoms in mid-life and older age. Journal of Affective Disorders. 2023;340:456-61.</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[5]</w:t>
      </w:r>
      <w:r w:rsidRPr="00C50F2E">
        <w:rPr>
          <w:rFonts w:ascii="Times New Roman" w:hAnsi="Times New Roman" w:cs="Times New Roman"/>
          <w:sz w:val="24"/>
        </w:rPr>
        <w:tab/>
        <w:t>Muthén B, Muthén L. Mplus. In: Handbook of item response theory, Chapman and Hall/CRC; 2017, p. 507-18.</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[6]</w:t>
      </w:r>
      <w:r w:rsidRPr="00C50F2E">
        <w:rPr>
          <w:rFonts w:ascii="Times New Roman" w:hAnsi="Times New Roman" w:cs="Times New Roman"/>
          <w:sz w:val="24"/>
        </w:rPr>
        <w:tab/>
        <w:t>McNeish D, Harring J. Covariance pattern mixture models: Eliminating random effects to improve convergence and performance. Behavior Research Methods. 2020;52:947-79.</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[7]</w:t>
      </w:r>
      <w:r w:rsidRPr="00C50F2E">
        <w:rPr>
          <w:rFonts w:ascii="Times New Roman" w:hAnsi="Times New Roman" w:cs="Times New Roman"/>
          <w:sz w:val="24"/>
        </w:rPr>
        <w:tab/>
        <w:t>Akaike H. Information theory and an extension of the maximum likelihood principle. In: Selected papers of hirotugu akaike, Springer; 1998, p. 199-213.</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[8]</w:t>
      </w:r>
      <w:r w:rsidRPr="00C50F2E">
        <w:rPr>
          <w:rFonts w:ascii="Times New Roman" w:hAnsi="Times New Roman" w:cs="Times New Roman"/>
          <w:sz w:val="24"/>
        </w:rPr>
        <w:tab/>
        <w:t>Schwarz G. Estimating the dimension of a model. The annals of statistics. 1978:461-4.</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[9]</w:t>
      </w:r>
      <w:r w:rsidRPr="00C50F2E">
        <w:rPr>
          <w:rFonts w:ascii="Times New Roman" w:hAnsi="Times New Roman" w:cs="Times New Roman"/>
          <w:sz w:val="24"/>
        </w:rPr>
        <w:tab/>
        <w:t>Vuong QH. Likelihood ratio tests for model selection and non-nested hypotheses. Econometrica: journal of the Econometric Society. 1989:307-33.</w:t>
      </w:r>
    </w:p>
    <w:p w:rsidR="009C5116" w:rsidRPr="00C50F2E" w:rsidRDefault="009C5116" w:rsidP="009C5116">
      <w:pPr>
        <w:pStyle w:val="EndNoteBibliography"/>
        <w:spacing w:after="0"/>
        <w:ind w:left="720" w:hanging="720"/>
        <w:rPr>
          <w:rFonts w:ascii="Times New Roman" w:hAnsi="Times New Roman" w:cs="Times New Roman"/>
          <w:sz w:val="24"/>
        </w:rPr>
      </w:pPr>
      <w:r w:rsidRPr="00C50F2E">
        <w:rPr>
          <w:rFonts w:ascii="Times New Roman" w:hAnsi="Times New Roman" w:cs="Times New Roman"/>
          <w:sz w:val="24"/>
        </w:rPr>
        <w:t>[10]</w:t>
      </w:r>
      <w:r w:rsidRPr="00C50F2E">
        <w:rPr>
          <w:rFonts w:ascii="Times New Roman" w:hAnsi="Times New Roman" w:cs="Times New Roman"/>
          <w:sz w:val="24"/>
        </w:rPr>
        <w:tab/>
        <w:t>Lo Y, Mendell NR, Rubin DB. Testing the number of components in a normal mixture. Biometrika. 2001;88(3):767-78.</w:t>
      </w:r>
    </w:p>
    <w:p w:rsidR="009C5116" w:rsidRPr="00C50F2E" w:rsidRDefault="009C5116" w:rsidP="009C5116">
      <w:pPr>
        <w:pStyle w:val="EndNoteBibliography"/>
        <w:ind w:left="720" w:hanging="720"/>
        <w:rPr>
          <w:rFonts w:ascii="Times New Roman" w:hAnsi="Times New Roman" w:cs="Times New Roman"/>
          <w:sz w:val="24"/>
        </w:rPr>
      </w:pPr>
      <w:r w:rsidRPr="00C50F2E">
        <w:rPr>
          <w:rFonts w:ascii="Times New Roman" w:hAnsi="Times New Roman" w:cs="Times New Roman"/>
          <w:sz w:val="24"/>
        </w:rPr>
        <w:t>[11]</w:t>
      </w:r>
      <w:r w:rsidRPr="00C50F2E">
        <w:rPr>
          <w:rFonts w:ascii="Times New Roman" w:hAnsi="Times New Roman" w:cs="Times New Roman"/>
          <w:sz w:val="24"/>
        </w:rPr>
        <w:tab/>
        <w:t>McLachlan GJ, Lee SX, Rathnayake SI. Finite mixture models. Annual review of statistics and its application. 2019;6:355-78.</w:t>
      </w:r>
    </w:p>
    <w:p w:rsidR="0083695A" w:rsidRDefault="009C5116" w:rsidP="00053700">
      <w:pPr>
        <w:spacing w:line="480" w:lineRule="auto"/>
      </w:pPr>
      <w:r w:rsidRPr="00C50F2E">
        <w:rPr>
          <w:rFonts w:ascii="Times New Roman" w:hAnsi="Times New Roman" w:cs="Times New Roman"/>
          <w:sz w:val="24"/>
        </w:rPr>
        <w:fldChar w:fldCharType="end"/>
      </w:r>
    </w:p>
    <w:sectPr w:rsidR="00836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Euro Psychiatr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fsvvza0902r5efwpvvvxzbeetdp5tapwt9&quot;&gt;Untitled&lt;record-ids&gt;&lt;item&gt;279&lt;/item&gt;&lt;item&gt;280&lt;/item&gt;&lt;item&gt;281&lt;/item&gt;&lt;/record-ids&gt;&lt;/item&gt;&lt;/Libraries&gt;"/>
  </w:docVars>
  <w:rsids>
    <w:rsidRoot w:val="00053700"/>
    <w:rsid w:val="00053700"/>
    <w:rsid w:val="0083695A"/>
    <w:rsid w:val="009C5116"/>
    <w:rsid w:val="00C50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4A2C"/>
  <w15:chartTrackingRefBased/>
  <w15:docId w15:val="{C54A9454-20D7-4A17-97F1-6F7F41AF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53700"/>
    <w:rPr>
      <w:rFonts w:ascii="Calibri" w:eastAsia="Calibri" w:hAnsi="Calibri" w:cs="Calibri"/>
      <w:lang w:val="en-U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dNoteBibliography">
    <w:name w:val="EndNote Bibliography"/>
    <w:basedOn w:val="Normln"/>
    <w:link w:val="EndNoteBibliographyChar"/>
    <w:rsid w:val="00053700"/>
    <w:pPr>
      <w:spacing w:line="240" w:lineRule="auto"/>
      <w:jc w:val="both"/>
    </w:pPr>
    <w:rPr>
      <w:rFonts w:eastAsiaTheme="minorHAnsi"/>
      <w:noProof/>
      <w:lang w:eastAsia="en-US"/>
    </w:rPr>
  </w:style>
  <w:style w:type="character" w:customStyle="1" w:styleId="EndNoteBibliographyChar">
    <w:name w:val="EndNote Bibliography Char"/>
    <w:basedOn w:val="Standardnpsmoodstavce"/>
    <w:link w:val="EndNoteBibliography"/>
    <w:rsid w:val="00053700"/>
    <w:rPr>
      <w:rFonts w:ascii="Calibri" w:hAnsi="Calibri" w:cs="Calibri"/>
      <w:noProof/>
      <w:lang w:val="en-US"/>
    </w:rPr>
  </w:style>
  <w:style w:type="table" w:styleId="Mkatabulky">
    <w:name w:val="Table Grid"/>
    <w:basedOn w:val="Normlntabulka"/>
    <w:uiPriority w:val="39"/>
    <w:rsid w:val="0005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ln"/>
    <w:link w:val="EndNoteBibliographyTitleChar"/>
    <w:rsid w:val="009C5116"/>
    <w:pPr>
      <w:spacing w:after="0"/>
      <w:jc w:val="center"/>
    </w:pPr>
    <w:rPr>
      <w:noProof/>
      <w:lang w:val="cs-CZ"/>
    </w:rPr>
  </w:style>
  <w:style w:type="character" w:customStyle="1" w:styleId="EndNoteBibliographyTitleChar">
    <w:name w:val="EndNote Bibliography Title Char"/>
    <w:basedOn w:val="EndNoteBibliographyChar"/>
    <w:link w:val="EndNoteBibliographyTitle"/>
    <w:rsid w:val="009C5116"/>
    <w:rPr>
      <w:rFonts w:ascii="Calibri" w:eastAsia="Calibri" w:hAnsi="Calibri" w:cs="Calibri"/>
      <w:noProof/>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2991</Words>
  <Characters>17651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2024-04-26T05:27:00Z</dcterms:created>
  <dcterms:modified xsi:type="dcterms:W3CDTF">2024-05-24T07:40:00Z</dcterms:modified>
</cp:coreProperties>
</file>