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591" w:rsidRPr="008F095D" w:rsidRDefault="00B47591" w:rsidP="00B47591">
      <w:pPr>
        <w:pStyle w:val="PrformatHTML"/>
        <w:jc w:val="center"/>
        <w:rPr>
          <w:rFonts w:ascii="Times New Roman" w:hAnsi="Times New Roman" w:cs="Times New Roman"/>
          <w:b/>
          <w:bCs/>
          <w:sz w:val="24"/>
          <w:szCs w:val="24"/>
          <w:lang w:val="en-US"/>
        </w:rPr>
      </w:pPr>
      <w:r w:rsidRPr="008F095D">
        <w:rPr>
          <w:rFonts w:ascii="Times New Roman" w:hAnsi="Times New Roman" w:cs="Times New Roman"/>
          <w:b/>
          <w:bCs/>
          <w:sz w:val="24"/>
          <w:szCs w:val="24"/>
          <w:lang w:val="en-US"/>
        </w:rPr>
        <w:t>SUPPLEMENTARY MATERIAL</w:t>
      </w:r>
      <w:r>
        <w:rPr>
          <w:rFonts w:ascii="Times New Roman" w:hAnsi="Times New Roman" w:cs="Times New Roman"/>
          <w:b/>
          <w:bCs/>
          <w:sz w:val="24"/>
          <w:szCs w:val="24"/>
          <w:lang w:val="en-US"/>
        </w:rPr>
        <w:t>S</w:t>
      </w:r>
    </w:p>
    <w:p w:rsidR="00B47591" w:rsidRDefault="00B47591" w:rsidP="00B47591">
      <w:pPr>
        <w:spacing w:line="360" w:lineRule="auto"/>
        <w:rPr>
          <w:lang w:val="en-US"/>
        </w:rPr>
      </w:pPr>
    </w:p>
    <w:p w:rsidR="00B47591" w:rsidRPr="008C0FFA" w:rsidRDefault="00B47591" w:rsidP="00B47591">
      <w:pPr>
        <w:rPr>
          <w:lang w:val="en-US"/>
        </w:rPr>
      </w:pPr>
    </w:p>
    <w:p w:rsidR="009960F6" w:rsidRDefault="009960F6">
      <w:pPr>
        <w:rPr>
          <w:b/>
          <w:bCs/>
          <w:lang w:val="en-US"/>
        </w:rPr>
      </w:pPr>
    </w:p>
    <w:p w:rsidR="00AC33DD" w:rsidRPr="00B10569" w:rsidRDefault="00AC33DD" w:rsidP="00B47591">
      <w:pPr>
        <w:spacing w:line="360" w:lineRule="auto"/>
        <w:jc w:val="both"/>
        <w:rPr>
          <w:b/>
          <w:bCs/>
          <w:highlight w:val="yellow"/>
          <w:lang w:val="en-US"/>
        </w:rPr>
      </w:pPr>
      <w:r w:rsidRPr="00B10569">
        <w:rPr>
          <w:b/>
          <w:bCs/>
          <w:highlight w:val="yellow"/>
          <w:lang w:val="en-US"/>
        </w:rPr>
        <w:t xml:space="preserve">Regional brain volume comparisons </w:t>
      </w:r>
    </w:p>
    <w:p w:rsidR="00AC33DD" w:rsidRPr="00B10569" w:rsidRDefault="00AC33DD" w:rsidP="00AC33DD">
      <w:pPr>
        <w:spacing w:line="360" w:lineRule="auto"/>
        <w:jc w:val="both"/>
        <w:rPr>
          <w:b/>
          <w:bCs/>
          <w:highlight w:val="yellow"/>
          <w:lang w:val="en-US"/>
        </w:rPr>
      </w:pPr>
    </w:p>
    <w:p w:rsidR="00AC33DD" w:rsidRPr="00B10569" w:rsidRDefault="00AC33DD" w:rsidP="00AC33DD">
      <w:pPr>
        <w:spacing w:line="360" w:lineRule="auto"/>
        <w:jc w:val="both"/>
        <w:rPr>
          <w:color w:val="000000"/>
          <w:highlight w:val="yellow"/>
          <w:lang w:val="en-US"/>
        </w:rPr>
      </w:pPr>
      <w:r w:rsidRPr="00B10569">
        <w:rPr>
          <w:b/>
          <w:bCs/>
          <w:highlight w:val="yellow"/>
          <w:lang w:val="en-US"/>
        </w:rPr>
        <w:t>Table S</w:t>
      </w:r>
      <w:r w:rsidR="00BB3147">
        <w:rPr>
          <w:b/>
          <w:bCs/>
          <w:highlight w:val="yellow"/>
          <w:lang w:val="en-US"/>
        </w:rPr>
        <w:t>1</w:t>
      </w:r>
      <w:bookmarkStart w:id="0" w:name="_GoBack"/>
      <w:bookmarkEnd w:id="0"/>
      <w:r w:rsidRPr="00B10569">
        <w:rPr>
          <w:b/>
          <w:bCs/>
          <w:highlight w:val="yellow"/>
          <w:lang w:val="en-US"/>
        </w:rPr>
        <w:t>. Regional brain volumes.</w:t>
      </w:r>
      <w:r w:rsidRPr="00B10569">
        <w:rPr>
          <w:highlight w:val="yellow"/>
          <w:lang w:val="en-US"/>
        </w:rPr>
        <w:t xml:space="preserve"> </w:t>
      </w:r>
      <w:r w:rsidRPr="00B10569">
        <w:rPr>
          <w:color w:val="000000"/>
          <w:highlight w:val="yellow"/>
          <w:lang w:val="en-US"/>
        </w:rPr>
        <w:t>Abbreviations: SSD=schizophrenia; SSD-c=Schizophrenia patients with catatonia; SSD-</w:t>
      </w:r>
      <w:proofErr w:type="spellStart"/>
      <w:r w:rsidRPr="00B10569">
        <w:rPr>
          <w:color w:val="000000"/>
          <w:highlight w:val="yellow"/>
          <w:lang w:val="en-US"/>
        </w:rPr>
        <w:t>nc</w:t>
      </w:r>
      <w:proofErr w:type="spellEnd"/>
      <w:r w:rsidRPr="00B10569">
        <w:rPr>
          <w:color w:val="000000"/>
          <w:highlight w:val="yellow"/>
          <w:lang w:val="en-US"/>
        </w:rPr>
        <w:t>=Schizophrenia patients without catatonia, HC=Healthy Controls. *Normalized by intracranial volume, **T-tests were used for comparison between groups.</w:t>
      </w:r>
    </w:p>
    <w:p w:rsidR="00AC33DD" w:rsidRPr="00B10569" w:rsidRDefault="00AC33DD" w:rsidP="00AC33DD">
      <w:pPr>
        <w:spacing w:line="276" w:lineRule="auto"/>
        <w:jc w:val="both"/>
        <w:rPr>
          <w:color w:val="000000" w:themeColor="text1"/>
          <w:highlight w:val="yellow"/>
          <w:lang w:val="en-US"/>
        </w:rPr>
      </w:pPr>
    </w:p>
    <w:tbl>
      <w:tblPr>
        <w:tblStyle w:val="TableauGrille1Clai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526"/>
        <w:gridCol w:w="1614"/>
        <w:gridCol w:w="1360"/>
        <w:gridCol w:w="1406"/>
      </w:tblGrid>
      <w:tr w:rsidR="00AC33DD" w:rsidRPr="00BB3147" w:rsidTr="00D45668">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150" w:type="dxa"/>
            <w:noWrap/>
            <w:hideMark/>
          </w:tcPr>
          <w:p w:rsidR="00AC33DD" w:rsidRPr="00B10569" w:rsidRDefault="00AC33DD" w:rsidP="00D45668">
            <w:pPr>
              <w:spacing w:line="360" w:lineRule="auto"/>
              <w:rPr>
                <w:b w:val="0"/>
                <w:bCs w:val="0"/>
                <w:sz w:val="22"/>
                <w:szCs w:val="22"/>
                <w:highlight w:val="yellow"/>
                <w:lang w:val="en-US"/>
              </w:rPr>
            </w:pPr>
          </w:p>
        </w:tc>
        <w:tc>
          <w:tcPr>
            <w:tcW w:w="1526" w:type="dxa"/>
            <w:hideMark/>
          </w:tcPr>
          <w:p w:rsidR="00AC33DD" w:rsidRPr="00B10569" w:rsidRDefault="00AC33DD" w:rsidP="00D45668">
            <w:pPr>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2"/>
                <w:szCs w:val="22"/>
                <w:highlight w:val="yellow"/>
                <w:lang w:val="en-US"/>
              </w:rPr>
            </w:pPr>
            <w:r w:rsidRPr="00B10569">
              <w:rPr>
                <w:color w:val="000000"/>
                <w:sz w:val="22"/>
                <w:szCs w:val="22"/>
                <w:highlight w:val="yellow"/>
                <w:lang w:val="en-US"/>
              </w:rPr>
              <w:t>SSD-c</w:t>
            </w:r>
          </w:p>
          <w:p w:rsidR="00AC33DD" w:rsidRPr="00B10569" w:rsidRDefault="00AC33DD" w:rsidP="00D45668">
            <w:pPr>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2"/>
                <w:szCs w:val="22"/>
                <w:highlight w:val="yellow"/>
                <w:lang w:val="en-US"/>
              </w:rPr>
            </w:pPr>
            <w:r w:rsidRPr="00B10569">
              <w:rPr>
                <w:color w:val="000000"/>
                <w:sz w:val="22"/>
                <w:szCs w:val="22"/>
                <w:highlight w:val="yellow"/>
                <w:lang w:val="en-US"/>
              </w:rPr>
              <w:t>(N=58)</w:t>
            </w:r>
          </w:p>
        </w:tc>
        <w:tc>
          <w:tcPr>
            <w:tcW w:w="1614" w:type="dxa"/>
            <w:hideMark/>
          </w:tcPr>
          <w:p w:rsidR="00AC33DD" w:rsidRPr="00B10569" w:rsidRDefault="00AC33DD" w:rsidP="00D45668">
            <w:pPr>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2"/>
                <w:szCs w:val="22"/>
                <w:highlight w:val="yellow"/>
                <w:lang w:val="en-US"/>
              </w:rPr>
            </w:pPr>
            <w:r w:rsidRPr="00B10569">
              <w:rPr>
                <w:color w:val="000000"/>
                <w:sz w:val="22"/>
                <w:szCs w:val="22"/>
                <w:highlight w:val="yellow"/>
                <w:lang w:val="en-US"/>
              </w:rPr>
              <w:t xml:space="preserve"> SSD-</w:t>
            </w:r>
            <w:proofErr w:type="spellStart"/>
            <w:r w:rsidRPr="00B10569">
              <w:rPr>
                <w:color w:val="000000"/>
                <w:sz w:val="22"/>
                <w:szCs w:val="22"/>
                <w:highlight w:val="yellow"/>
                <w:lang w:val="en-US"/>
              </w:rPr>
              <w:t>nc</w:t>
            </w:r>
            <w:proofErr w:type="spellEnd"/>
          </w:p>
          <w:p w:rsidR="00AC33DD" w:rsidRPr="00B10569" w:rsidRDefault="00AC33DD" w:rsidP="00D45668">
            <w:pPr>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2"/>
                <w:szCs w:val="22"/>
                <w:highlight w:val="yellow"/>
                <w:lang w:val="en-US"/>
              </w:rPr>
            </w:pPr>
            <w:r w:rsidRPr="00B10569">
              <w:rPr>
                <w:color w:val="000000"/>
                <w:sz w:val="22"/>
                <w:szCs w:val="22"/>
                <w:highlight w:val="yellow"/>
                <w:lang w:val="en-US"/>
              </w:rPr>
              <w:t>(N=65)</w:t>
            </w:r>
          </w:p>
        </w:tc>
        <w:tc>
          <w:tcPr>
            <w:tcW w:w="1360" w:type="dxa"/>
            <w:hideMark/>
          </w:tcPr>
          <w:p w:rsidR="00AC33DD" w:rsidRPr="00B10569" w:rsidRDefault="00AC33DD" w:rsidP="00D45668">
            <w:pPr>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2"/>
                <w:szCs w:val="22"/>
                <w:highlight w:val="yellow"/>
                <w:lang w:val="en-US"/>
              </w:rPr>
            </w:pPr>
            <w:r w:rsidRPr="00B10569">
              <w:rPr>
                <w:color w:val="000000"/>
                <w:sz w:val="22"/>
                <w:szCs w:val="22"/>
                <w:highlight w:val="yellow"/>
                <w:lang w:val="en-US"/>
              </w:rPr>
              <w:t>HC</w:t>
            </w:r>
          </w:p>
          <w:p w:rsidR="00AC33DD" w:rsidRPr="00B10569" w:rsidRDefault="00AC33DD" w:rsidP="00D45668">
            <w:pPr>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2"/>
                <w:szCs w:val="22"/>
                <w:highlight w:val="yellow"/>
                <w:lang w:val="en-US"/>
              </w:rPr>
            </w:pPr>
            <w:r w:rsidRPr="00B10569">
              <w:rPr>
                <w:color w:val="000000"/>
                <w:sz w:val="22"/>
                <w:szCs w:val="22"/>
                <w:highlight w:val="yellow"/>
                <w:lang w:val="en-US"/>
              </w:rPr>
              <w:t>(N=82)</w:t>
            </w:r>
          </w:p>
        </w:tc>
        <w:tc>
          <w:tcPr>
            <w:tcW w:w="1406" w:type="dxa"/>
          </w:tcPr>
          <w:p w:rsidR="00AC33DD" w:rsidRPr="00B10569" w:rsidRDefault="00AC33DD" w:rsidP="00D45668">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highlight w:val="yellow"/>
                <w:lang w:val="en-US"/>
              </w:rPr>
            </w:pPr>
            <w:r w:rsidRPr="00B10569">
              <w:rPr>
                <w:color w:val="000000"/>
                <w:sz w:val="22"/>
                <w:szCs w:val="22"/>
                <w:highlight w:val="yellow"/>
                <w:lang w:val="en-US"/>
              </w:rPr>
              <w:t xml:space="preserve">SSD-c </w:t>
            </w:r>
          </w:p>
          <w:p w:rsidR="00AC33DD" w:rsidRPr="00B10569" w:rsidRDefault="00AC33DD" w:rsidP="00D45668">
            <w:pPr>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highlight w:val="yellow"/>
                <w:lang w:val="en-US"/>
              </w:rPr>
            </w:pPr>
            <w:r w:rsidRPr="00B10569">
              <w:rPr>
                <w:color w:val="000000"/>
                <w:sz w:val="22"/>
                <w:szCs w:val="22"/>
                <w:highlight w:val="yellow"/>
                <w:lang w:val="en-US"/>
              </w:rPr>
              <w:t xml:space="preserve">vs </w:t>
            </w:r>
          </w:p>
          <w:p w:rsidR="00AC33DD" w:rsidRPr="00B10569" w:rsidRDefault="00AC33DD" w:rsidP="00D45668">
            <w:pPr>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2"/>
                <w:szCs w:val="22"/>
                <w:highlight w:val="yellow"/>
                <w:lang w:val="en-US"/>
              </w:rPr>
            </w:pPr>
            <w:r w:rsidRPr="00B10569">
              <w:rPr>
                <w:color w:val="000000"/>
                <w:sz w:val="22"/>
                <w:szCs w:val="22"/>
                <w:highlight w:val="yellow"/>
                <w:lang w:val="en-US"/>
              </w:rPr>
              <w:t>SSD-</w:t>
            </w:r>
            <w:proofErr w:type="spellStart"/>
            <w:r w:rsidRPr="00B10569">
              <w:rPr>
                <w:color w:val="000000"/>
                <w:sz w:val="22"/>
                <w:szCs w:val="22"/>
                <w:highlight w:val="yellow"/>
                <w:lang w:val="en-US"/>
              </w:rPr>
              <w:t>nc</w:t>
            </w:r>
            <w:proofErr w:type="spellEnd"/>
            <w:r w:rsidRPr="00B10569">
              <w:rPr>
                <w:color w:val="000000"/>
                <w:sz w:val="22"/>
                <w:szCs w:val="22"/>
                <w:highlight w:val="yellow"/>
                <w:lang w:val="en-US"/>
              </w:rPr>
              <w:t xml:space="preserve"> (p value) **</w:t>
            </w:r>
          </w:p>
        </w:tc>
      </w:tr>
      <w:tr w:rsidR="00AC33DD" w:rsidRPr="00B10569" w:rsidTr="00D45668">
        <w:trPr>
          <w:trHeight w:val="437"/>
        </w:trPr>
        <w:tc>
          <w:tcPr>
            <w:cnfStyle w:val="001000000000" w:firstRow="0" w:lastRow="0" w:firstColumn="1" w:lastColumn="0" w:oddVBand="0" w:evenVBand="0" w:oddHBand="0" w:evenHBand="0" w:firstRowFirstColumn="0" w:firstRowLastColumn="0" w:lastRowFirstColumn="0" w:lastRowLastColumn="0"/>
            <w:tcW w:w="3150" w:type="dxa"/>
            <w:noWrap/>
          </w:tcPr>
          <w:p w:rsidR="00AC33DD" w:rsidRPr="00B10569" w:rsidRDefault="00AC33DD" w:rsidP="00D45668">
            <w:pPr>
              <w:spacing w:line="360" w:lineRule="auto"/>
              <w:rPr>
                <w:color w:val="000000"/>
                <w:sz w:val="22"/>
                <w:szCs w:val="22"/>
                <w:highlight w:val="yellow"/>
              </w:rPr>
            </w:pPr>
            <w:proofErr w:type="spellStart"/>
            <w:r w:rsidRPr="00B10569">
              <w:rPr>
                <w:color w:val="000000"/>
                <w:sz w:val="22"/>
                <w:szCs w:val="22"/>
                <w:highlight w:val="yellow"/>
              </w:rPr>
              <w:t>Intracranial</w:t>
            </w:r>
            <w:proofErr w:type="spellEnd"/>
            <w:r w:rsidRPr="00B10569">
              <w:rPr>
                <w:color w:val="000000"/>
                <w:sz w:val="22"/>
                <w:szCs w:val="22"/>
                <w:highlight w:val="yellow"/>
              </w:rPr>
              <w:t xml:space="preserve"> volume cm3</w:t>
            </w:r>
          </w:p>
        </w:tc>
        <w:tc>
          <w:tcPr>
            <w:tcW w:w="1526" w:type="dxa"/>
            <w:noWrap/>
          </w:tcPr>
          <w:p w:rsidR="00AC33DD" w:rsidRPr="00B10569" w:rsidRDefault="00AC33DD"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1361.9±141.1</w:t>
            </w:r>
          </w:p>
        </w:tc>
        <w:tc>
          <w:tcPr>
            <w:tcW w:w="1614" w:type="dxa"/>
            <w:noWrap/>
          </w:tcPr>
          <w:p w:rsidR="00AC33DD" w:rsidRPr="00B10569" w:rsidRDefault="00AC33DD"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1397.3±129.6</w:t>
            </w:r>
          </w:p>
        </w:tc>
        <w:tc>
          <w:tcPr>
            <w:tcW w:w="1360" w:type="dxa"/>
            <w:noWrap/>
          </w:tcPr>
          <w:p w:rsidR="00AC33DD" w:rsidRPr="00B10569" w:rsidRDefault="00AC33DD"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w:t>
            </w:r>
          </w:p>
        </w:tc>
        <w:tc>
          <w:tcPr>
            <w:tcW w:w="1406" w:type="dxa"/>
          </w:tcPr>
          <w:p w:rsidR="00AC33DD" w:rsidRPr="00B10569" w:rsidRDefault="00AC33DD"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rPr>
            </w:pPr>
            <w:r w:rsidRPr="00B10569">
              <w:rPr>
                <w:color w:val="000000"/>
                <w:sz w:val="22"/>
                <w:szCs w:val="22"/>
                <w:highlight w:val="yellow"/>
              </w:rPr>
              <w:t>0.15</w:t>
            </w:r>
          </w:p>
        </w:tc>
      </w:tr>
      <w:tr w:rsidR="00AC33DD" w:rsidRPr="00B10569" w:rsidTr="00D45668">
        <w:trPr>
          <w:trHeight w:val="191"/>
        </w:trPr>
        <w:tc>
          <w:tcPr>
            <w:cnfStyle w:val="001000000000" w:firstRow="0" w:lastRow="0" w:firstColumn="1" w:lastColumn="0" w:oddVBand="0" w:evenVBand="0" w:oddHBand="0" w:evenHBand="0" w:firstRowFirstColumn="0" w:firstRowLastColumn="0" w:lastRowFirstColumn="0" w:lastRowLastColumn="0"/>
            <w:tcW w:w="3150" w:type="dxa"/>
            <w:noWrap/>
          </w:tcPr>
          <w:p w:rsidR="00AC33DD" w:rsidRPr="00B10569" w:rsidRDefault="00AC33DD" w:rsidP="00D45668">
            <w:pPr>
              <w:spacing w:line="360" w:lineRule="auto"/>
              <w:rPr>
                <w:color w:val="000000"/>
                <w:sz w:val="22"/>
                <w:szCs w:val="22"/>
                <w:highlight w:val="yellow"/>
              </w:rPr>
            </w:pPr>
            <w:r w:rsidRPr="00B10569">
              <w:rPr>
                <w:color w:val="000000"/>
                <w:sz w:val="22"/>
                <w:szCs w:val="22"/>
                <w:highlight w:val="yellow"/>
              </w:rPr>
              <w:t xml:space="preserve">Gray </w:t>
            </w:r>
            <w:proofErr w:type="spellStart"/>
            <w:r w:rsidRPr="00B10569">
              <w:rPr>
                <w:color w:val="000000"/>
                <w:sz w:val="22"/>
                <w:szCs w:val="22"/>
                <w:highlight w:val="yellow"/>
              </w:rPr>
              <w:t>matter</w:t>
            </w:r>
            <w:proofErr w:type="spellEnd"/>
            <w:r w:rsidRPr="00B10569">
              <w:rPr>
                <w:color w:val="000000"/>
                <w:sz w:val="22"/>
                <w:szCs w:val="22"/>
                <w:highlight w:val="yellow"/>
              </w:rPr>
              <w:t xml:space="preserve"> volume* </w:t>
            </w:r>
            <w:r w:rsidR="00E67965" w:rsidRPr="00B10569">
              <w:rPr>
                <w:color w:val="000000"/>
                <w:sz w:val="22"/>
                <w:szCs w:val="22"/>
                <w:highlight w:val="yellow"/>
              </w:rPr>
              <w:t>%</w:t>
            </w:r>
          </w:p>
        </w:tc>
        <w:tc>
          <w:tcPr>
            <w:tcW w:w="1526" w:type="dxa"/>
            <w:noWrap/>
          </w:tcPr>
          <w:p w:rsidR="00AC33DD" w:rsidRPr="00B10569" w:rsidRDefault="00E67965"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50.1</w:t>
            </w:r>
            <w:r w:rsidR="00D245A6" w:rsidRPr="00B10569">
              <w:rPr>
                <w:color w:val="000000"/>
                <w:sz w:val="22"/>
                <w:szCs w:val="22"/>
                <w:highlight w:val="yellow"/>
                <w:lang w:val="en-US"/>
              </w:rPr>
              <w:t>±3.4</w:t>
            </w:r>
          </w:p>
        </w:tc>
        <w:tc>
          <w:tcPr>
            <w:tcW w:w="1614" w:type="dxa"/>
            <w:noWrap/>
          </w:tcPr>
          <w:p w:rsidR="00AC33DD" w:rsidRPr="00B10569" w:rsidRDefault="00E67965"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49.1</w:t>
            </w:r>
            <w:r w:rsidR="00D245A6" w:rsidRPr="00B10569">
              <w:rPr>
                <w:color w:val="000000"/>
                <w:sz w:val="22"/>
                <w:szCs w:val="22"/>
                <w:highlight w:val="yellow"/>
                <w:lang w:val="en-US"/>
              </w:rPr>
              <w:t>±3.6</w:t>
            </w:r>
          </w:p>
        </w:tc>
        <w:tc>
          <w:tcPr>
            <w:tcW w:w="1360" w:type="dxa"/>
            <w:noWrap/>
          </w:tcPr>
          <w:p w:rsidR="00AC33DD" w:rsidRPr="00B10569" w:rsidRDefault="00AC33DD"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w:t>
            </w:r>
          </w:p>
        </w:tc>
        <w:tc>
          <w:tcPr>
            <w:tcW w:w="1406" w:type="dxa"/>
          </w:tcPr>
          <w:p w:rsidR="00AC33DD" w:rsidRPr="00B10569" w:rsidRDefault="00AC33DD"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rPr>
            </w:pPr>
            <w:r w:rsidRPr="00B10569">
              <w:rPr>
                <w:color w:val="000000"/>
                <w:sz w:val="22"/>
                <w:szCs w:val="22"/>
                <w:highlight w:val="yellow"/>
              </w:rPr>
              <w:t>0.11</w:t>
            </w:r>
          </w:p>
        </w:tc>
      </w:tr>
      <w:tr w:rsidR="00AC33DD" w:rsidRPr="00B10569" w:rsidTr="00D45668">
        <w:trPr>
          <w:trHeight w:val="191"/>
        </w:trPr>
        <w:tc>
          <w:tcPr>
            <w:cnfStyle w:val="001000000000" w:firstRow="0" w:lastRow="0" w:firstColumn="1" w:lastColumn="0" w:oddVBand="0" w:evenVBand="0" w:oddHBand="0" w:evenHBand="0" w:firstRowFirstColumn="0" w:firstRowLastColumn="0" w:lastRowFirstColumn="0" w:lastRowLastColumn="0"/>
            <w:tcW w:w="3150" w:type="dxa"/>
            <w:noWrap/>
          </w:tcPr>
          <w:p w:rsidR="00AC33DD" w:rsidRPr="00B10569" w:rsidRDefault="00AC33DD" w:rsidP="00D45668">
            <w:pPr>
              <w:spacing w:line="360" w:lineRule="auto"/>
              <w:rPr>
                <w:color w:val="000000"/>
                <w:sz w:val="22"/>
                <w:szCs w:val="22"/>
                <w:highlight w:val="yellow"/>
                <w:lang w:val="en-US"/>
              </w:rPr>
            </w:pPr>
            <w:r w:rsidRPr="00B10569">
              <w:rPr>
                <w:color w:val="000000"/>
                <w:sz w:val="22"/>
                <w:szCs w:val="22"/>
                <w:highlight w:val="yellow"/>
                <w:lang w:val="en-US"/>
              </w:rPr>
              <w:t>Cortical gray matter volume*</w:t>
            </w:r>
            <w:r w:rsidR="00E67965" w:rsidRPr="00B10569">
              <w:rPr>
                <w:color w:val="000000"/>
                <w:sz w:val="22"/>
                <w:szCs w:val="22"/>
                <w:highlight w:val="yellow"/>
                <w:lang w:val="en-US"/>
              </w:rPr>
              <w:t xml:space="preserve"> %</w:t>
            </w:r>
          </w:p>
        </w:tc>
        <w:tc>
          <w:tcPr>
            <w:tcW w:w="1526" w:type="dxa"/>
            <w:noWrap/>
          </w:tcPr>
          <w:p w:rsidR="00AC33DD" w:rsidRPr="00B10569" w:rsidRDefault="00E67965"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39.2</w:t>
            </w:r>
            <w:r w:rsidR="00D245A6" w:rsidRPr="00B10569">
              <w:rPr>
                <w:color w:val="000000"/>
                <w:sz w:val="22"/>
                <w:szCs w:val="22"/>
                <w:highlight w:val="yellow"/>
                <w:lang w:val="en-US"/>
              </w:rPr>
              <w:t>±3.0</w:t>
            </w:r>
          </w:p>
        </w:tc>
        <w:tc>
          <w:tcPr>
            <w:tcW w:w="1614" w:type="dxa"/>
            <w:noWrap/>
          </w:tcPr>
          <w:p w:rsidR="00AC33DD" w:rsidRPr="00B10569" w:rsidRDefault="00E67965"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38.3</w:t>
            </w:r>
            <w:r w:rsidR="00D245A6" w:rsidRPr="00B10569">
              <w:rPr>
                <w:color w:val="000000"/>
                <w:sz w:val="22"/>
                <w:szCs w:val="22"/>
                <w:highlight w:val="yellow"/>
                <w:lang w:val="en-US"/>
              </w:rPr>
              <w:t>±3.0</w:t>
            </w:r>
          </w:p>
        </w:tc>
        <w:tc>
          <w:tcPr>
            <w:tcW w:w="1360" w:type="dxa"/>
            <w:noWrap/>
          </w:tcPr>
          <w:p w:rsidR="00AC33DD" w:rsidRPr="00B10569" w:rsidRDefault="00AC33DD"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w:t>
            </w:r>
          </w:p>
        </w:tc>
        <w:tc>
          <w:tcPr>
            <w:tcW w:w="1406" w:type="dxa"/>
          </w:tcPr>
          <w:p w:rsidR="00AC33DD" w:rsidRPr="00B10569" w:rsidRDefault="00AC33DD"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0.08</w:t>
            </w:r>
          </w:p>
        </w:tc>
      </w:tr>
      <w:tr w:rsidR="00AC33DD" w:rsidRPr="00B10569" w:rsidTr="00D45668">
        <w:trPr>
          <w:trHeight w:val="191"/>
        </w:trPr>
        <w:tc>
          <w:tcPr>
            <w:cnfStyle w:val="001000000000" w:firstRow="0" w:lastRow="0" w:firstColumn="1" w:lastColumn="0" w:oddVBand="0" w:evenVBand="0" w:oddHBand="0" w:evenHBand="0" w:firstRowFirstColumn="0" w:firstRowLastColumn="0" w:lastRowFirstColumn="0" w:lastRowLastColumn="0"/>
            <w:tcW w:w="3150" w:type="dxa"/>
            <w:noWrap/>
          </w:tcPr>
          <w:p w:rsidR="00AC33DD" w:rsidRPr="00B10569" w:rsidRDefault="00AC33DD" w:rsidP="00D45668">
            <w:pPr>
              <w:spacing w:line="360" w:lineRule="auto"/>
              <w:rPr>
                <w:color w:val="000000"/>
                <w:sz w:val="22"/>
                <w:szCs w:val="22"/>
                <w:highlight w:val="yellow"/>
                <w:lang w:val="en-US"/>
              </w:rPr>
            </w:pPr>
            <w:r w:rsidRPr="00B10569">
              <w:rPr>
                <w:color w:val="000000"/>
                <w:sz w:val="22"/>
                <w:szCs w:val="22"/>
                <w:highlight w:val="yellow"/>
                <w:lang w:val="en-US"/>
              </w:rPr>
              <w:t xml:space="preserve">Subcortical gray matter volume* </w:t>
            </w:r>
            <w:r w:rsidR="00E67965" w:rsidRPr="00B10569">
              <w:rPr>
                <w:color w:val="000000"/>
                <w:sz w:val="22"/>
                <w:szCs w:val="22"/>
                <w:highlight w:val="yellow"/>
                <w:lang w:val="en-US"/>
              </w:rPr>
              <w:t>%</w:t>
            </w:r>
          </w:p>
        </w:tc>
        <w:tc>
          <w:tcPr>
            <w:tcW w:w="1526" w:type="dxa"/>
            <w:noWrap/>
          </w:tcPr>
          <w:p w:rsidR="00AC33DD" w:rsidRPr="00B10569" w:rsidRDefault="00E67965"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3.04</w:t>
            </w:r>
            <w:r w:rsidR="00D245A6" w:rsidRPr="00B10569">
              <w:rPr>
                <w:color w:val="000000"/>
                <w:sz w:val="22"/>
                <w:szCs w:val="22"/>
                <w:highlight w:val="yellow"/>
                <w:lang w:val="en-US"/>
              </w:rPr>
              <w:t>±0.3</w:t>
            </w:r>
          </w:p>
        </w:tc>
        <w:tc>
          <w:tcPr>
            <w:tcW w:w="1614" w:type="dxa"/>
            <w:noWrap/>
          </w:tcPr>
          <w:p w:rsidR="00AC33DD" w:rsidRPr="00B10569" w:rsidRDefault="00E67965"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3.01</w:t>
            </w:r>
            <w:r w:rsidR="00D245A6" w:rsidRPr="00B10569">
              <w:rPr>
                <w:color w:val="000000"/>
                <w:sz w:val="22"/>
                <w:szCs w:val="22"/>
                <w:highlight w:val="yellow"/>
                <w:lang w:val="en-US"/>
              </w:rPr>
              <w:t>±0.3</w:t>
            </w:r>
          </w:p>
        </w:tc>
        <w:tc>
          <w:tcPr>
            <w:tcW w:w="1360" w:type="dxa"/>
            <w:noWrap/>
          </w:tcPr>
          <w:p w:rsidR="00AC33DD" w:rsidRPr="00B10569" w:rsidRDefault="00AC33DD"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w:t>
            </w:r>
          </w:p>
        </w:tc>
        <w:tc>
          <w:tcPr>
            <w:tcW w:w="1406" w:type="dxa"/>
          </w:tcPr>
          <w:p w:rsidR="00AC33DD" w:rsidRPr="00B10569" w:rsidRDefault="00AC33DD"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0.59</w:t>
            </w:r>
          </w:p>
        </w:tc>
      </w:tr>
      <w:tr w:rsidR="00AC33DD" w:rsidRPr="00B10569" w:rsidTr="00D45668">
        <w:trPr>
          <w:trHeight w:val="191"/>
        </w:trPr>
        <w:tc>
          <w:tcPr>
            <w:cnfStyle w:val="001000000000" w:firstRow="0" w:lastRow="0" w:firstColumn="1" w:lastColumn="0" w:oddVBand="0" w:evenVBand="0" w:oddHBand="0" w:evenHBand="0" w:firstRowFirstColumn="0" w:firstRowLastColumn="0" w:lastRowFirstColumn="0" w:lastRowLastColumn="0"/>
            <w:tcW w:w="3150" w:type="dxa"/>
            <w:noWrap/>
          </w:tcPr>
          <w:p w:rsidR="00AC33DD" w:rsidRPr="00B10569" w:rsidRDefault="00AC33DD" w:rsidP="00D45668">
            <w:pPr>
              <w:spacing w:line="360" w:lineRule="auto"/>
              <w:rPr>
                <w:color w:val="000000"/>
                <w:sz w:val="22"/>
                <w:szCs w:val="22"/>
                <w:highlight w:val="yellow"/>
                <w:lang w:val="en-US"/>
              </w:rPr>
            </w:pPr>
            <w:r w:rsidRPr="00B10569">
              <w:rPr>
                <w:color w:val="000000"/>
                <w:sz w:val="22"/>
                <w:szCs w:val="22"/>
                <w:highlight w:val="yellow"/>
                <w:lang w:val="en-US"/>
              </w:rPr>
              <w:t xml:space="preserve">Superior temporal gyrus total volume* </w:t>
            </w:r>
            <w:r w:rsidR="00E67965" w:rsidRPr="00B10569">
              <w:rPr>
                <w:color w:val="000000"/>
                <w:sz w:val="22"/>
                <w:szCs w:val="22"/>
                <w:highlight w:val="yellow"/>
                <w:lang w:val="en-US"/>
              </w:rPr>
              <w:t>%</w:t>
            </w:r>
          </w:p>
        </w:tc>
        <w:tc>
          <w:tcPr>
            <w:tcW w:w="1526" w:type="dxa"/>
            <w:noWrap/>
          </w:tcPr>
          <w:p w:rsidR="00AC33DD" w:rsidRPr="00B10569" w:rsidRDefault="00E67965"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1.03</w:t>
            </w:r>
            <w:r w:rsidR="00D245A6" w:rsidRPr="00B10569">
              <w:rPr>
                <w:color w:val="000000"/>
                <w:sz w:val="22"/>
                <w:szCs w:val="22"/>
                <w:highlight w:val="yellow"/>
                <w:lang w:val="en-US"/>
              </w:rPr>
              <w:t>±0.1</w:t>
            </w:r>
          </w:p>
        </w:tc>
        <w:tc>
          <w:tcPr>
            <w:tcW w:w="1614" w:type="dxa"/>
            <w:noWrap/>
          </w:tcPr>
          <w:p w:rsidR="00AC33DD" w:rsidRPr="00B10569" w:rsidRDefault="00E67965"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1.04</w:t>
            </w:r>
            <w:r w:rsidR="00D245A6" w:rsidRPr="00B10569">
              <w:rPr>
                <w:color w:val="000000"/>
                <w:sz w:val="22"/>
                <w:szCs w:val="22"/>
                <w:highlight w:val="yellow"/>
                <w:lang w:val="en-US"/>
              </w:rPr>
              <w:t>±0.1</w:t>
            </w:r>
          </w:p>
        </w:tc>
        <w:tc>
          <w:tcPr>
            <w:tcW w:w="1360" w:type="dxa"/>
            <w:noWrap/>
          </w:tcPr>
          <w:p w:rsidR="00AC33DD" w:rsidRPr="00B10569" w:rsidRDefault="00AC33DD"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w:t>
            </w:r>
          </w:p>
        </w:tc>
        <w:tc>
          <w:tcPr>
            <w:tcW w:w="1406" w:type="dxa"/>
          </w:tcPr>
          <w:p w:rsidR="00AC33DD" w:rsidRPr="00B10569" w:rsidRDefault="00AC33DD"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0.50</w:t>
            </w:r>
          </w:p>
        </w:tc>
      </w:tr>
      <w:tr w:rsidR="00AC33DD" w:rsidRPr="00B10569" w:rsidTr="00D45668">
        <w:trPr>
          <w:trHeight w:val="191"/>
        </w:trPr>
        <w:tc>
          <w:tcPr>
            <w:cnfStyle w:val="001000000000" w:firstRow="0" w:lastRow="0" w:firstColumn="1" w:lastColumn="0" w:oddVBand="0" w:evenVBand="0" w:oddHBand="0" w:evenHBand="0" w:firstRowFirstColumn="0" w:firstRowLastColumn="0" w:lastRowFirstColumn="0" w:lastRowLastColumn="0"/>
            <w:tcW w:w="3150" w:type="dxa"/>
            <w:noWrap/>
          </w:tcPr>
          <w:p w:rsidR="00AC33DD" w:rsidRPr="00B10569" w:rsidRDefault="00AC33DD" w:rsidP="00D45668">
            <w:pPr>
              <w:spacing w:line="360" w:lineRule="auto"/>
              <w:rPr>
                <w:color w:val="000000"/>
                <w:sz w:val="22"/>
                <w:szCs w:val="22"/>
                <w:highlight w:val="yellow"/>
              </w:rPr>
            </w:pPr>
            <w:proofErr w:type="spellStart"/>
            <w:r w:rsidRPr="00B10569">
              <w:rPr>
                <w:color w:val="000000"/>
                <w:sz w:val="22"/>
                <w:szCs w:val="22"/>
                <w:highlight w:val="yellow"/>
              </w:rPr>
              <w:t>Lateral</w:t>
            </w:r>
            <w:proofErr w:type="spellEnd"/>
            <w:r w:rsidRPr="00B10569">
              <w:rPr>
                <w:color w:val="000000"/>
                <w:sz w:val="22"/>
                <w:szCs w:val="22"/>
                <w:highlight w:val="yellow"/>
              </w:rPr>
              <w:t xml:space="preserve"> </w:t>
            </w:r>
            <w:proofErr w:type="spellStart"/>
            <w:r w:rsidRPr="00B10569">
              <w:rPr>
                <w:color w:val="000000"/>
                <w:sz w:val="22"/>
                <w:szCs w:val="22"/>
                <w:highlight w:val="yellow"/>
              </w:rPr>
              <w:t>ventricle</w:t>
            </w:r>
            <w:proofErr w:type="spellEnd"/>
            <w:r w:rsidRPr="00B10569">
              <w:rPr>
                <w:color w:val="000000"/>
                <w:sz w:val="22"/>
                <w:szCs w:val="22"/>
                <w:highlight w:val="yellow"/>
              </w:rPr>
              <w:t xml:space="preserve"> total volume* </w:t>
            </w:r>
            <w:r w:rsidR="00E67965" w:rsidRPr="00B10569">
              <w:rPr>
                <w:color w:val="000000"/>
                <w:sz w:val="22"/>
                <w:szCs w:val="22"/>
                <w:highlight w:val="yellow"/>
              </w:rPr>
              <w:t>%</w:t>
            </w:r>
          </w:p>
        </w:tc>
        <w:tc>
          <w:tcPr>
            <w:tcW w:w="1526" w:type="dxa"/>
            <w:noWrap/>
          </w:tcPr>
          <w:p w:rsidR="00AC33DD" w:rsidRPr="00B10569" w:rsidRDefault="00E67965"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1.69</w:t>
            </w:r>
            <w:r w:rsidR="00D245A6" w:rsidRPr="00B10569">
              <w:rPr>
                <w:color w:val="000000"/>
                <w:sz w:val="22"/>
                <w:szCs w:val="22"/>
                <w:highlight w:val="yellow"/>
                <w:lang w:val="en-US"/>
              </w:rPr>
              <w:t>±1.1</w:t>
            </w:r>
          </w:p>
        </w:tc>
        <w:tc>
          <w:tcPr>
            <w:tcW w:w="1614" w:type="dxa"/>
            <w:noWrap/>
          </w:tcPr>
          <w:p w:rsidR="00AC33DD" w:rsidRPr="00B10569" w:rsidRDefault="00E67965"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1.42</w:t>
            </w:r>
            <w:r w:rsidR="00D245A6" w:rsidRPr="00B10569">
              <w:rPr>
                <w:color w:val="000000"/>
                <w:sz w:val="22"/>
                <w:szCs w:val="22"/>
                <w:highlight w:val="yellow"/>
                <w:lang w:val="en-US"/>
              </w:rPr>
              <w:t>±0.7</w:t>
            </w:r>
          </w:p>
        </w:tc>
        <w:tc>
          <w:tcPr>
            <w:tcW w:w="1360" w:type="dxa"/>
            <w:noWrap/>
          </w:tcPr>
          <w:p w:rsidR="00AC33DD" w:rsidRPr="00B10569" w:rsidRDefault="00AC33DD"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w:t>
            </w:r>
          </w:p>
        </w:tc>
        <w:tc>
          <w:tcPr>
            <w:tcW w:w="1406" w:type="dxa"/>
          </w:tcPr>
          <w:p w:rsidR="00AC33DD" w:rsidRPr="00B10569" w:rsidRDefault="00AC33DD"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0.11</w:t>
            </w:r>
          </w:p>
        </w:tc>
      </w:tr>
      <w:tr w:rsidR="00AC33DD" w:rsidRPr="00B10569" w:rsidTr="00D45668">
        <w:trPr>
          <w:trHeight w:val="191"/>
        </w:trPr>
        <w:tc>
          <w:tcPr>
            <w:cnfStyle w:val="001000000000" w:firstRow="0" w:lastRow="0" w:firstColumn="1" w:lastColumn="0" w:oddVBand="0" w:evenVBand="0" w:oddHBand="0" w:evenHBand="0" w:firstRowFirstColumn="0" w:firstRowLastColumn="0" w:lastRowFirstColumn="0" w:lastRowLastColumn="0"/>
            <w:tcW w:w="3150" w:type="dxa"/>
            <w:noWrap/>
          </w:tcPr>
          <w:p w:rsidR="00AC33DD" w:rsidRPr="00B10569" w:rsidRDefault="00AC33DD" w:rsidP="00D45668">
            <w:pPr>
              <w:spacing w:line="360" w:lineRule="auto"/>
              <w:rPr>
                <w:color w:val="000000"/>
                <w:sz w:val="22"/>
                <w:szCs w:val="22"/>
                <w:highlight w:val="yellow"/>
                <w:lang w:val="en-US"/>
              </w:rPr>
            </w:pPr>
            <w:r w:rsidRPr="00B10569">
              <w:rPr>
                <w:color w:val="000000"/>
                <w:sz w:val="22"/>
                <w:szCs w:val="22"/>
                <w:highlight w:val="yellow"/>
                <w:lang w:val="en-US"/>
              </w:rPr>
              <w:t xml:space="preserve">Gyrus rectus total volume* </w:t>
            </w:r>
            <w:r w:rsidR="00E67965" w:rsidRPr="00B10569">
              <w:rPr>
                <w:color w:val="000000"/>
                <w:sz w:val="22"/>
                <w:szCs w:val="22"/>
                <w:highlight w:val="yellow"/>
                <w:lang w:val="en-US"/>
              </w:rPr>
              <w:t>%</w:t>
            </w:r>
          </w:p>
        </w:tc>
        <w:tc>
          <w:tcPr>
            <w:tcW w:w="1526" w:type="dxa"/>
            <w:noWrap/>
          </w:tcPr>
          <w:p w:rsidR="00AC33DD" w:rsidRPr="00B10569" w:rsidRDefault="00E67965"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0.30</w:t>
            </w:r>
            <w:r w:rsidR="00D245A6" w:rsidRPr="00B10569">
              <w:rPr>
                <w:color w:val="000000"/>
                <w:sz w:val="22"/>
                <w:szCs w:val="22"/>
                <w:highlight w:val="yellow"/>
                <w:lang w:val="en-US"/>
              </w:rPr>
              <w:t>±0.04</w:t>
            </w:r>
          </w:p>
        </w:tc>
        <w:tc>
          <w:tcPr>
            <w:tcW w:w="1614" w:type="dxa"/>
            <w:noWrap/>
          </w:tcPr>
          <w:p w:rsidR="00AC33DD" w:rsidRPr="00B10569" w:rsidRDefault="00E67965"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0.30</w:t>
            </w:r>
            <w:r w:rsidR="00D245A6" w:rsidRPr="00B10569">
              <w:rPr>
                <w:color w:val="000000"/>
                <w:sz w:val="22"/>
                <w:szCs w:val="22"/>
                <w:highlight w:val="yellow"/>
                <w:lang w:val="en-US"/>
              </w:rPr>
              <w:t>±0.04</w:t>
            </w:r>
          </w:p>
        </w:tc>
        <w:tc>
          <w:tcPr>
            <w:tcW w:w="1360" w:type="dxa"/>
            <w:noWrap/>
          </w:tcPr>
          <w:p w:rsidR="00AC33DD" w:rsidRPr="00B10569" w:rsidRDefault="00AC33DD"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w:t>
            </w:r>
          </w:p>
        </w:tc>
        <w:tc>
          <w:tcPr>
            <w:tcW w:w="1406" w:type="dxa"/>
          </w:tcPr>
          <w:p w:rsidR="00AC33DD" w:rsidRPr="00B10569" w:rsidRDefault="00AC33DD"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0.48</w:t>
            </w:r>
          </w:p>
        </w:tc>
      </w:tr>
      <w:tr w:rsidR="00AC33DD" w:rsidRPr="00341530" w:rsidTr="00D45668">
        <w:trPr>
          <w:trHeight w:val="191"/>
        </w:trPr>
        <w:tc>
          <w:tcPr>
            <w:cnfStyle w:val="001000000000" w:firstRow="0" w:lastRow="0" w:firstColumn="1" w:lastColumn="0" w:oddVBand="0" w:evenVBand="0" w:oddHBand="0" w:evenHBand="0" w:firstRowFirstColumn="0" w:firstRowLastColumn="0" w:lastRowFirstColumn="0" w:lastRowLastColumn="0"/>
            <w:tcW w:w="3150" w:type="dxa"/>
            <w:noWrap/>
          </w:tcPr>
          <w:p w:rsidR="00AC33DD" w:rsidRPr="00B10569" w:rsidRDefault="00AC33DD" w:rsidP="00D45668">
            <w:pPr>
              <w:spacing w:line="360" w:lineRule="auto"/>
              <w:rPr>
                <w:color w:val="000000"/>
                <w:sz w:val="22"/>
                <w:szCs w:val="22"/>
                <w:highlight w:val="yellow"/>
                <w:lang w:val="en-US"/>
              </w:rPr>
            </w:pPr>
            <w:r w:rsidRPr="00B10569">
              <w:rPr>
                <w:color w:val="000000"/>
                <w:sz w:val="22"/>
                <w:szCs w:val="22"/>
                <w:highlight w:val="yellow"/>
                <w:lang w:val="en-US"/>
              </w:rPr>
              <w:t xml:space="preserve">Caudate total volume* </w:t>
            </w:r>
            <w:r w:rsidR="00E67965" w:rsidRPr="00B10569">
              <w:rPr>
                <w:color w:val="000000"/>
                <w:sz w:val="22"/>
                <w:szCs w:val="22"/>
                <w:highlight w:val="yellow"/>
                <w:lang w:val="en-US"/>
              </w:rPr>
              <w:t>%</w:t>
            </w:r>
          </w:p>
        </w:tc>
        <w:tc>
          <w:tcPr>
            <w:tcW w:w="1526" w:type="dxa"/>
            <w:noWrap/>
          </w:tcPr>
          <w:p w:rsidR="00AC33DD" w:rsidRPr="00B10569" w:rsidRDefault="00E67965"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0.53</w:t>
            </w:r>
            <w:r w:rsidR="00D245A6" w:rsidRPr="00B10569">
              <w:rPr>
                <w:color w:val="000000"/>
                <w:sz w:val="22"/>
                <w:szCs w:val="22"/>
                <w:highlight w:val="yellow"/>
                <w:lang w:val="en-US"/>
              </w:rPr>
              <w:t>±0.1</w:t>
            </w:r>
          </w:p>
        </w:tc>
        <w:tc>
          <w:tcPr>
            <w:tcW w:w="1614" w:type="dxa"/>
            <w:noWrap/>
          </w:tcPr>
          <w:p w:rsidR="00AC33DD" w:rsidRPr="00B10569" w:rsidRDefault="00E67965"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0.53</w:t>
            </w:r>
            <w:r w:rsidR="00D245A6" w:rsidRPr="00B10569">
              <w:rPr>
                <w:color w:val="000000"/>
                <w:sz w:val="22"/>
                <w:szCs w:val="22"/>
                <w:highlight w:val="yellow"/>
                <w:lang w:val="en-US"/>
              </w:rPr>
              <w:t>±0.1</w:t>
            </w:r>
          </w:p>
        </w:tc>
        <w:tc>
          <w:tcPr>
            <w:tcW w:w="1360" w:type="dxa"/>
            <w:noWrap/>
          </w:tcPr>
          <w:p w:rsidR="00AC33DD" w:rsidRPr="00B10569" w:rsidRDefault="00AC33DD"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lang w:val="en-US"/>
              </w:rPr>
            </w:pPr>
            <w:r w:rsidRPr="00B10569">
              <w:rPr>
                <w:color w:val="000000"/>
                <w:sz w:val="22"/>
                <w:szCs w:val="22"/>
                <w:highlight w:val="yellow"/>
                <w:lang w:val="en-US"/>
              </w:rPr>
              <w:t>/</w:t>
            </w:r>
          </w:p>
        </w:tc>
        <w:tc>
          <w:tcPr>
            <w:tcW w:w="1406" w:type="dxa"/>
          </w:tcPr>
          <w:p w:rsidR="00AC33DD" w:rsidRPr="00341530" w:rsidRDefault="00AC33DD" w:rsidP="00D4566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B10569">
              <w:rPr>
                <w:color w:val="000000"/>
                <w:sz w:val="22"/>
                <w:szCs w:val="22"/>
                <w:highlight w:val="yellow"/>
                <w:lang w:val="en-US"/>
              </w:rPr>
              <w:t>0.66</w:t>
            </w:r>
          </w:p>
        </w:tc>
      </w:tr>
    </w:tbl>
    <w:p w:rsidR="00AC33DD" w:rsidRPr="008F095D" w:rsidRDefault="00AC33DD" w:rsidP="00B47591">
      <w:pPr>
        <w:spacing w:line="360" w:lineRule="auto"/>
        <w:jc w:val="both"/>
        <w:rPr>
          <w:lang w:val="en-US"/>
        </w:rPr>
      </w:pPr>
    </w:p>
    <w:p w:rsidR="00B47591" w:rsidRPr="009A79F6" w:rsidRDefault="00B47591" w:rsidP="00B47591">
      <w:pPr>
        <w:rPr>
          <w:lang w:val="en-US"/>
        </w:rPr>
      </w:pPr>
    </w:p>
    <w:p w:rsidR="00BB3147" w:rsidRPr="008C0FFA" w:rsidRDefault="00BB3147" w:rsidP="00BB3147">
      <w:pPr>
        <w:spacing w:line="360" w:lineRule="auto"/>
        <w:jc w:val="both"/>
        <w:rPr>
          <w:b/>
          <w:iCs/>
          <w:lang w:val="en-US"/>
        </w:rPr>
      </w:pPr>
      <w:r>
        <w:rPr>
          <w:b/>
          <w:iCs/>
          <w:lang w:val="en-US"/>
        </w:rPr>
        <w:t xml:space="preserve">Difference of </w:t>
      </w:r>
      <w:r w:rsidRPr="008C0FFA">
        <w:rPr>
          <w:b/>
          <w:iCs/>
          <w:lang w:val="en-US"/>
        </w:rPr>
        <w:t>IOS and POS distribution between groups</w:t>
      </w:r>
    </w:p>
    <w:p w:rsidR="00BB3147" w:rsidRDefault="00BB3147" w:rsidP="00BB3147">
      <w:pPr>
        <w:spacing w:line="360" w:lineRule="auto"/>
        <w:jc w:val="both"/>
        <w:rPr>
          <w:lang w:val="en-US"/>
        </w:rPr>
      </w:pPr>
    </w:p>
    <w:p w:rsidR="00BB3147" w:rsidRPr="005346E3" w:rsidRDefault="00BB3147" w:rsidP="00BB3147">
      <w:pPr>
        <w:spacing w:line="360" w:lineRule="auto"/>
        <w:jc w:val="both"/>
        <w:rPr>
          <w:lang w:val="en-US"/>
        </w:rPr>
      </w:pPr>
      <w:r w:rsidRPr="005346E3">
        <w:rPr>
          <w:lang w:val="en-US"/>
        </w:rPr>
        <w:t xml:space="preserve">We found </w:t>
      </w:r>
      <w:r>
        <w:rPr>
          <w:lang w:val="en-US"/>
        </w:rPr>
        <w:t xml:space="preserve">an </w:t>
      </w:r>
      <w:r w:rsidRPr="005346E3">
        <w:rPr>
          <w:lang w:val="en-US"/>
        </w:rPr>
        <w:t xml:space="preserve">IOS in 340 (83%) hemispheres and </w:t>
      </w:r>
      <w:r>
        <w:rPr>
          <w:lang w:val="en-US"/>
        </w:rPr>
        <w:t xml:space="preserve">a </w:t>
      </w:r>
      <w:r w:rsidRPr="005346E3">
        <w:rPr>
          <w:lang w:val="en-US"/>
        </w:rPr>
        <w:t>POS in 128 (31%)</w:t>
      </w:r>
      <w:r>
        <w:rPr>
          <w:lang w:val="en-US"/>
        </w:rPr>
        <w:t xml:space="preserve"> hemispheres</w:t>
      </w:r>
      <w:r w:rsidRPr="005346E3">
        <w:rPr>
          <w:lang w:val="en-US"/>
        </w:rPr>
        <w:t xml:space="preserve">. </w:t>
      </w:r>
      <w:r>
        <w:rPr>
          <w:lang w:val="en-US"/>
        </w:rPr>
        <w:t xml:space="preserve">Statistical analyses revealed </w:t>
      </w:r>
      <w:r w:rsidRPr="005346E3">
        <w:rPr>
          <w:lang w:val="en-US"/>
        </w:rPr>
        <w:t>a</w:t>
      </w:r>
      <w:r>
        <w:rPr>
          <w:lang w:val="en-US"/>
        </w:rPr>
        <w:t xml:space="preserve"> main </w:t>
      </w:r>
      <w:r w:rsidRPr="005346E3">
        <w:rPr>
          <w:lang w:val="en-US"/>
        </w:rPr>
        <w:t>effect of group</w:t>
      </w:r>
      <w:r>
        <w:rPr>
          <w:lang w:val="en-US"/>
        </w:rPr>
        <w:t xml:space="preserve"> </w:t>
      </w:r>
      <w:r w:rsidRPr="005346E3">
        <w:rPr>
          <w:lang w:val="en-US"/>
        </w:rPr>
        <w:t xml:space="preserve">on the number of IOS (F=5.9692; p=.003) and </w:t>
      </w:r>
      <w:r>
        <w:rPr>
          <w:lang w:val="en-US"/>
        </w:rPr>
        <w:t xml:space="preserve">number of </w:t>
      </w:r>
      <w:r w:rsidRPr="005346E3">
        <w:rPr>
          <w:lang w:val="en-US"/>
        </w:rPr>
        <w:t>POS (F=4.1795; p=.0</w:t>
      </w:r>
      <w:r>
        <w:rPr>
          <w:lang w:val="en-US"/>
        </w:rPr>
        <w:t>2</w:t>
      </w:r>
      <w:r w:rsidRPr="005346E3">
        <w:rPr>
          <w:lang w:val="en-US"/>
        </w:rPr>
        <w:t xml:space="preserve">) in the right </w:t>
      </w:r>
      <w:r>
        <w:rPr>
          <w:lang w:val="en-US"/>
        </w:rPr>
        <w:t>hemisphere</w:t>
      </w:r>
      <w:r w:rsidRPr="005346E3">
        <w:rPr>
          <w:lang w:val="en-US"/>
        </w:rPr>
        <w:t xml:space="preserve">, but not in the left </w:t>
      </w:r>
      <w:r>
        <w:rPr>
          <w:lang w:val="en-US"/>
        </w:rPr>
        <w:t xml:space="preserve">hemisphere (all </w:t>
      </w:r>
      <w:proofErr w:type="spellStart"/>
      <w:r>
        <w:rPr>
          <w:lang w:val="en-US"/>
        </w:rPr>
        <w:t>ps</w:t>
      </w:r>
      <w:proofErr w:type="spellEnd"/>
      <w:r>
        <w:rPr>
          <w:lang w:val="en-US"/>
        </w:rPr>
        <w:t xml:space="preserve"> &gt; 0.16</w:t>
      </w:r>
      <w:r w:rsidRPr="005346E3">
        <w:rPr>
          <w:lang w:val="en-US"/>
        </w:rPr>
        <w:t>)</w:t>
      </w:r>
      <w:r>
        <w:rPr>
          <w:lang w:val="en-US"/>
        </w:rPr>
        <w:t xml:space="preserve"> (see </w:t>
      </w:r>
      <w:r w:rsidRPr="00D82565">
        <w:rPr>
          <w:b/>
          <w:bCs/>
          <w:lang w:val="en-US"/>
        </w:rPr>
        <w:t xml:space="preserve">Table </w:t>
      </w:r>
      <w:r>
        <w:rPr>
          <w:b/>
          <w:bCs/>
          <w:lang w:val="en-US"/>
        </w:rPr>
        <w:t>S</w:t>
      </w:r>
      <w:r>
        <w:rPr>
          <w:b/>
          <w:bCs/>
          <w:lang w:val="en-US"/>
        </w:rPr>
        <w:t>2</w:t>
      </w:r>
      <w:r>
        <w:rPr>
          <w:lang w:val="en-US"/>
        </w:rPr>
        <w:t>)</w:t>
      </w:r>
      <w:r w:rsidRPr="005346E3">
        <w:rPr>
          <w:lang w:val="en-US"/>
        </w:rPr>
        <w:t xml:space="preserve">. </w:t>
      </w:r>
    </w:p>
    <w:p w:rsidR="00BB3147" w:rsidRDefault="00BB3147" w:rsidP="00BB3147">
      <w:pPr>
        <w:spacing w:line="360" w:lineRule="auto"/>
        <w:jc w:val="both"/>
        <w:rPr>
          <w:lang w:val="en-US"/>
        </w:rPr>
      </w:pPr>
      <w:r>
        <w:rPr>
          <w:lang w:val="en-US"/>
        </w:rPr>
        <w:lastRenderedPageBreak/>
        <w:t xml:space="preserve">Post-hoc pairwise </w:t>
      </w:r>
      <w:r w:rsidRPr="005346E3">
        <w:rPr>
          <w:lang w:val="en-US"/>
        </w:rPr>
        <w:t>comparison</w:t>
      </w:r>
      <w:r>
        <w:rPr>
          <w:lang w:val="en-US"/>
        </w:rPr>
        <w:t>s further revealed that</w:t>
      </w:r>
      <w:r w:rsidRPr="005346E3">
        <w:rPr>
          <w:lang w:val="en-US"/>
        </w:rPr>
        <w:t xml:space="preserve"> </w:t>
      </w:r>
      <w:r>
        <w:rPr>
          <w:lang w:val="en-US"/>
        </w:rPr>
        <w:t>schizophrenia patients without catatonia</w:t>
      </w:r>
      <w:r w:rsidRPr="005346E3">
        <w:rPr>
          <w:lang w:val="en-US"/>
        </w:rPr>
        <w:t xml:space="preserve"> had significantly less IOS (t ratio=</w:t>
      </w:r>
      <w:r w:rsidRPr="00F32D32">
        <w:rPr>
          <w:color w:val="000000"/>
          <w:lang w:val="en-US"/>
        </w:rPr>
        <w:t xml:space="preserve">-3.364; </w:t>
      </w:r>
      <w:r w:rsidRPr="005346E3">
        <w:rPr>
          <w:lang w:val="en-US"/>
        </w:rPr>
        <w:t>p=.00</w:t>
      </w:r>
      <w:r>
        <w:rPr>
          <w:lang w:val="en-US"/>
        </w:rPr>
        <w:t>3</w:t>
      </w:r>
      <w:r w:rsidRPr="005346E3">
        <w:rPr>
          <w:lang w:val="en-US"/>
        </w:rPr>
        <w:t>) and POS (t ratio=</w:t>
      </w:r>
      <w:r w:rsidRPr="00F32D32">
        <w:rPr>
          <w:color w:val="000000"/>
          <w:lang w:val="en-US"/>
        </w:rPr>
        <w:t>-2.731</w:t>
      </w:r>
      <w:r w:rsidRPr="005346E3">
        <w:rPr>
          <w:lang w:val="en-US"/>
        </w:rPr>
        <w:t>; p=.0</w:t>
      </w:r>
      <w:r>
        <w:rPr>
          <w:lang w:val="en-US"/>
        </w:rPr>
        <w:t>2</w:t>
      </w:r>
      <w:r w:rsidRPr="005346E3">
        <w:rPr>
          <w:lang w:val="en-US"/>
        </w:rPr>
        <w:t xml:space="preserve">) in the right </w:t>
      </w:r>
      <w:r>
        <w:rPr>
          <w:lang w:val="en-US"/>
        </w:rPr>
        <w:t xml:space="preserve">hemisphere </w:t>
      </w:r>
      <w:r w:rsidRPr="005346E3">
        <w:rPr>
          <w:lang w:val="en-US"/>
        </w:rPr>
        <w:t xml:space="preserve">compared </w:t>
      </w:r>
      <w:r>
        <w:rPr>
          <w:lang w:val="en-US"/>
        </w:rPr>
        <w:t xml:space="preserve">to </w:t>
      </w:r>
      <w:r w:rsidRPr="005346E3">
        <w:rPr>
          <w:lang w:val="en-US"/>
        </w:rPr>
        <w:t xml:space="preserve">healthy subjects. </w:t>
      </w:r>
      <w:r>
        <w:rPr>
          <w:lang w:val="en-US"/>
        </w:rPr>
        <w:t xml:space="preserve">There was a trend toward </w:t>
      </w:r>
      <w:r w:rsidRPr="005346E3">
        <w:rPr>
          <w:lang w:val="en-US"/>
        </w:rPr>
        <w:t>less POS (t ratio=</w:t>
      </w:r>
      <w:r w:rsidRPr="00F32D32">
        <w:rPr>
          <w:color w:val="000000"/>
          <w:lang w:val="en-US"/>
        </w:rPr>
        <w:t xml:space="preserve">-2.190; </w:t>
      </w:r>
      <w:r w:rsidRPr="005346E3">
        <w:rPr>
          <w:lang w:val="en-US"/>
        </w:rPr>
        <w:t xml:space="preserve">p=.07) in the right </w:t>
      </w:r>
      <w:r>
        <w:rPr>
          <w:lang w:val="en-US"/>
        </w:rPr>
        <w:t xml:space="preserve">hemisphere and </w:t>
      </w:r>
      <w:r w:rsidRPr="005346E3">
        <w:rPr>
          <w:lang w:val="en-US"/>
        </w:rPr>
        <w:t>more IOS (t ratio=2.299; p=.0</w:t>
      </w:r>
      <w:r>
        <w:rPr>
          <w:lang w:val="en-US"/>
        </w:rPr>
        <w:t>6</w:t>
      </w:r>
      <w:r w:rsidRPr="005346E3">
        <w:rPr>
          <w:lang w:val="en-US"/>
        </w:rPr>
        <w:t>)</w:t>
      </w:r>
      <w:r>
        <w:rPr>
          <w:lang w:val="en-US"/>
        </w:rPr>
        <w:t xml:space="preserve"> in catatonia patients compared to schizophrenia patients without catatonia</w:t>
      </w:r>
      <w:r w:rsidRPr="005346E3">
        <w:rPr>
          <w:lang w:val="en-US"/>
        </w:rPr>
        <w:t xml:space="preserve"> </w:t>
      </w:r>
      <w:r>
        <w:rPr>
          <w:lang w:val="en-US"/>
        </w:rPr>
        <w:t xml:space="preserve">(see </w:t>
      </w:r>
      <w:r w:rsidRPr="00A776E9">
        <w:rPr>
          <w:b/>
          <w:bCs/>
          <w:lang w:val="en-US"/>
        </w:rPr>
        <w:t xml:space="preserve">Table </w:t>
      </w:r>
      <w:r>
        <w:rPr>
          <w:b/>
          <w:bCs/>
          <w:lang w:val="en-US"/>
        </w:rPr>
        <w:t>S</w:t>
      </w:r>
      <w:r>
        <w:rPr>
          <w:b/>
          <w:bCs/>
          <w:lang w:val="en-US"/>
        </w:rPr>
        <w:t>2</w:t>
      </w:r>
      <w:r>
        <w:rPr>
          <w:lang w:val="en-US"/>
        </w:rPr>
        <w:t>)</w:t>
      </w:r>
      <w:r w:rsidRPr="005346E3">
        <w:rPr>
          <w:lang w:val="en-US"/>
        </w:rPr>
        <w:t>.</w:t>
      </w:r>
      <w:r>
        <w:rPr>
          <w:lang w:val="en-US"/>
        </w:rPr>
        <w:t xml:space="preserve"> </w:t>
      </w:r>
    </w:p>
    <w:p w:rsidR="00BB3147" w:rsidRDefault="00BB3147" w:rsidP="00BB3147">
      <w:pPr>
        <w:spacing w:line="360" w:lineRule="auto"/>
        <w:jc w:val="both"/>
        <w:rPr>
          <w:lang w:val="en-US"/>
        </w:rPr>
      </w:pPr>
    </w:p>
    <w:p w:rsidR="00BB3147" w:rsidRDefault="00BB3147" w:rsidP="00BB3147">
      <w:pPr>
        <w:spacing w:line="360" w:lineRule="auto"/>
        <w:jc w:val="both"/>
        <w:rPr>
          <w:lang w:val="en-US"/>
        </w:rPr>
      </w:pPr>
      <w:r>
        <w:rPr>
          <w:lang w:val="en-US"/>
        </w:rPr>
        <w:t>The increased number of sulci found in s</w:t>
      </w:r>
      <w:r w:rsidRPr="00FF1338">
        <w:rPr>
          <w:lang w:val="en-US"/>
        </w:rPr>
        <w:t>chizophreni</w:t>
      </w:r>
      <w:r>
        <w:rPr>
          <w:lang w:val="en-US"/>
        </w:rPr>
        <w:t>a</w:t>
      </w:r>
      <w:r w:rsidRPr="00FF1338">
        <w:rPr>
          <w:lang w:val="en-US"/>
        </w:rPr>
        <w:t xml:space="preserve"> patients with catatonia </w:t>
      </w:r>
      <w:r>
        <w:rPr>
          <w:lang w:val="en-US"/>
        </w:rPr>
        <w:t xml:space="preserve">could be related to </w:t>
      </w:r>
      <w:r w:rsidRPr="00FF1338">
        <w:rPr>
          <w:lang w:val="en-US"/>
        </w:rPr>
        <w:t xml:space="preserve">the </w:t>
      </w:r>
      <w:proofErr w:type="spellStart"/>
      <w:r w:rsidRPr="00FF1338">
        <w:rPr>
          <w:lang w:val="en-US"/>
        </w:rPr>
        <w:t>hypergyrification</w:t>
      </w:r>
      <w:proofErr w:type="spellEnd"/>
      <w:r w:rsidRPr="00FF1338">
        <w:rPr>
          <w:lang w:val="en-US"/>
        </w:rPr>
        <w:t xml:space="preserve"> </w:t>
      </w:r>
      <w:r>
        <w:rPr>
          <w:lang w:val="en-US"/>
        </w:rPr>
        <w:t xml:space="preserve">reported </w:t>
      </w:r>
      <w:r w:rsidRPr="00FF1338">
        <w:rPr>
          <w:lang w:val="en-US"/>
        </w:rPr>
        <w:t>in catatonia</w:t>
      </w:r>
      <w:r>
        <w:rPr>
          <w:lang w:val="en-US"/>
        </w:rPr>
        <w:t xml:space="preserve"> </w:t>
      </w:r>
      <w:r>
        <w:rPr>
          <w:lang w:val="en-US"/>
        </w:rPr>
        <w:fldChar w:fldCharType="begin"/>
      </w:r>
      <w:r>
        <w:rPr>
          <w:lang w:val="en-US"/>
        </w:rPr>
        <w:instrText xml:space="preserve"> ADDIN ZOTERO_ITEM CSL_CITATION {"citationID":"SikPdEEm","properties":{"formattedCitation":"(Hirjak et al. 2019; Walther et al. 2022)","plainCitation":"(Hirjak et al. 2019; Walther et al. 2022)","noteIndex":0},"citationItems":[{"id":245,"uris":["http://zotero.org/users/6688903/items/JAAZLLPM"],"itemData":{"id":245,"type":"article-journal","abstract":"Abstract\n            Catatonia is a central aspect of schizophrenia spectrum disorders (SSD) and most likely associated with abnormalities in affective, motor, and sensorimotor brain regions. However, contributions of different cortical features to the pathophysiology of catatonia in SSD are poorly understood. Here, T1-weighted structural magnetic resonance imaging data at 3 T were obtained from 56 right-handed patients with SSD. Using FreeSurfer version 6.0, we calculated cortical thickness, area, and local gyrification index (LGI). Catatonic symptoms were examined on the Northoff catatonia rating scale (NCRS). Patients with catatonia (NCRS total score ≥3; n = 25) showed reduced surface area in the parietal and medial orbitofrontal gyrus and LGI in the temporal gyrus (P &lt; .05, corrected for cluster-wise probability [CWP]) as well as hypergyrification in rostral cingulate and medial orbitofrontal gyrus when compared with patients without catatonia (n = 22; P &lt; .05, corrected for CWP). Following a dimensional approach, a negative association between NCRS motor and behavior scores and cortical thickness in superior frontal, insular, and precentral cortex was found (34 patients with at least 1 motor and at least 1 other affective or behavioral symptom; P &lt; .05, corrected for CWP). Positive associations were found between NCRS motor and behavior scores and surface area and LGI in superior frontal, posterior cingulate, precentral, and pericalcarine gyrus (P &lt; .05, corrected for CWP). The data support the notion that cortical features of distinct evolutionary and genetic origin differently contribute to catatonia in SSD. Catatonia in SSD may be essentially driven by cortex variations in frontoparietal regions including regions implicated in the coordination and goal-orientation of behavior.","container-title":"Schizophrenia Bulletin","DOI":"10.1093/schbul/sby192","ISSN":"0586-7614, 1745-1701","issue":"6","language":"en","page":"1184-1194","source":"DOI.org (Crossref)","title":"Cortical Contributions to Distinct Symptom Dimensions of Catatonia","volume":"45","author":[{"family":"Hirjak","given":"Dusan"},{"family":"Kubera","given":"Katharina M"},{"family":"Northoff","given":"Georg"},{"family":"Fritze","given":"Stefan"},{"family":"Bertolino","given":"Alina L"},{"family":"Topor","given":"Cristina E"},{"family":"Schmitgen","given":"Mike M"},{"family":"Wolf","given":"Robert C"}],"issued":{"date-parts":[["2019",10,24]]}}},{"id":999,"uris":["http://zotero.org/users/6688903/items/7SPCRQ7M"],"itemData":{"id":999,"type":"article-journal","abstract":"The neurobiology of catatonia is still poorly understood. Particularly structural MRI studies yielded conflicting results. Heterogeneity of findings was suggested to stem from specifics of different rating scales. This study sought to test grey matter differences between patients with catatonia, patients without catatonia, and healthy controls using the two main instruments of catatonia rating. We included 98 patients with schizophrenia spec­ trum disorders and 42 healthy controls. Catatonia was measured using the Bush Francis Catatonia Rating Scale and the Northoff Catatonia Rating Scale. According to these scales, patients were classified into those with and those without catatonia. We tested whole brain grey matter volume, cortical thickness, and local gyrification across groups. Both catatonia rating scales correlated at tau = 0.65 but failed to classify identical subjects as catatonia patients. However, group differences in grey matter parameters were broadly similar with either rating scale to identify catatonia cases. Catatonia patients had reduced grey matter volume compared to controls in a large network including orbitofrontal cortex, cingulate, thalamus, and amygdala. While there was no group difference in cortical thickness, catatonia patients had increased local gyrification in premotor, motor, and pa­ rietal cortices compared to controls. Hypergyrification of the motor cortex and higher order cortical areas was found in catatonia patients compared to patients without catatonia. Both catatonia rating scales find similar symptom severity and group differences in grey matter indices. Catatonia is linked to reduced grey matter volume and increased local gyrification, suggesting some impact of early neurodevelopmental insults.","container-title":"Schizophrenia Research","DOI":"10.1016/j.schres.2022.10.004","ISSN":"09209964","journalAbbreviation":"Schizophrenia Research","language":"en","page":"S0920996422003747","source":"DOI.org (Crossref)","title":"Structural alterations of the motor cortex and higher order cortical areas suggest early neurodevelopmental origin of catatonia in schizophrenia","author":[{"family":"Walther","given":"Sebastian"},{"family":"Nadesalingam","given":"Niluja"},{"family":"Nuoffer","given":"Melanie"},{"family":"Kyrou","given":"Alexandra"},{"family":"Wüthrich","given":"Florian"},{"family":"Lefebvre","given":"Stephanie"}],"issued":{"date-parts":[["2022",10]]}}}],"schema":"https://github.com/citation-style-language/schema/raw/master/csl-citation.json"} </w:instrText>
      </w:r>
      <w:r>
        <w:rPr>
          <w:lang w:val="en-US"/>
        </w:rPr>
        <w:fldChar w:fldCharType="separate"/>
      </w:r>
      <w:r>
        <w:rPr>
          <w:lang w:val="en-US"/>
        </w:rPr>
        <w:t>(</w:t>
      </w:r>
      <w:proofErr w:type="spellStart"/>
      <w:r>
        <w:rPr>
          <w:lang w:val="en-US"/>
        </w:rPr>
        <w:t>Hirjak</w:t>
      </w:r>
      <w:proofErr w:type="spellEnd"/>
      <w:r>
        <w:rPr>
          <w:lang w:val="en-US"/>
        </w:rPr>
        <w:t xml:space="preserve"> et al. 2019; Walther et al. 2022)</w:t>
      </w:r>
      <w:r>
        <w:rPr>
          <w:lang w:val="en-US"/>
        </w:rPr>
        <w:fldChar w:fldCharType="end"/>
      </w:r>
      <w:r>
        <w:rPr>
          <w:lang w:val="en-US"/>
        </w:rPr>
        <w:t>.</w:t>
      </w:r>
    </w:p>
    <w:p w:rsidR="00BB3147" w:rsidRDefault="00BB3147" w:rsidP="00BB3147">
      <w:pPr>
        <w:spacing w:line="360" w:lineRule="auto"/>
        <w:jc w:val="both"/>
        <w:rPr>
          <w:lang w:val="en-US"/>
        </w:rPr>
      </w:pPr>
    </w:p>
    <w:p w:rsidR="00BB3147" w:rsidRPr="00D82565" w:rsidRDefault="00BB3147" w:rsidP="00BB3147">
      <w:pPr>
        <w:spacing w:line="360" w:lineRule="auto"/>
        <w:jc w:val="both"/>
        <w:rPr>
          <w:b/>
          <w:bCs/>
          <w:lang w:val="en-US"/>
        </w:rPr>
      </w:pPr>
      <w:r w:rsidRPr="00D82565">
        <w:rPr>
          <w:b/>
          <w:bCs/>
          <w:lang w:val="en-US"/>
        </w:rPr>
        <w:t xml:space="preserve">Table </w:t>
      </w:r>
      <w:r>
        <w:rPr>
          <w:b/>
          <w:bCs/>
          <w:lang w:val="en-US"/>
        </w:rPr>
        <w:t>S</w:t>
      </w:r>
      <w:r>
        <w:rPr>
          <w:b/>
          <w:bCs/>
          <w:lang w:val="en-US"/>
        </w:rPr>
        <w:t>2</w:t>
      </w:r>
      <w:r w:rsidRPr="00D82565">
        <w:rPr>
          <w:b/>
          <w:bCs/>
          <w:lang w:val="en-US"/>
        </w:rPr>
        <w:t>. IOS and POS distribution</w:t>
      </w:r>
      <w:r>
        <w:rPr>
          <w:b/>
          <w:bCs/>
          <w:lang w:val="en-US"/>
        </w:rPr>
        <w:t xml:space="preserve">. </w:t>
      </w:r>
      <w:r w:rsidRPr="00D82565">
        <w:rPr>
          <w:b/>
          <w:bCs/>
          <w:lang w:val="en-US"/>
        </w:rPr>
        <w:t xml:space="preserve"> </w:t>
      </w:r>
      <w:r>
        <w:rPr>
          <w:lang w:val="en-US"/>
        </w:rPr>
        <w:t xml:space="preserve">Data are reported as </w:t>
      </w:r>
      <w:r w:rsidRPr="000F0660">
        <w:rPr>
          <w:color w:val="000000"/>
          <w:lang w:val="en-US"/>
        </w:rPr>
        <w:t xml:space="preserve">N (%). </w:t>
      </w:r>
      <w:r>
        <w:rPr>
          <w:color w:val="000000"/>
          <w:lang w:val="en-US"/>
        </w:rPr>
        <w:t>Abbreviations: SSD=Schizophrenia;</w:t>
      </w:r>
      <w:r w:rsidRPr="000F0660">
        <w:rPr>
          <w:color w:val="000000"/>
          <w:lang w:val="en-US"/>
        </w:rPr>
        <w:t xml:space="preserve"> </w:t>
      </w:r>
      <w:r>
        <w:rPr>
          <w:color w:val="000000"/>
          <w:lang w:val="en-US"/>
        </w:rPr>
        <w:t>SSD-c=</w:t>
      </w:r>
      <w:r w:rsidRPr="000F0660">
        <w:rPr>
          <w:color w:val="000000"/>
          <w:lang w:val="en-US"/>
        </w:rPr>
        <w:t xml:space="preserve">Schizophrenia patients with catatonia; </w:t>
      </w:r>
      <w:r>
        <w:rPr>
          <w:color w:val="000000"/>
          <w:lang w:val="en-US"/>
        </w:rPr>
        <w:t>SSD-</w:t>
      </w:r>
      <w:proofErr w:type="spellStart"/>
      <w:r>
        <w:rPr>
          <w:color w:val="000000"/>
          <w:lang w:val="en-US"/>
        </w:rPr>
        <w:t>nc</w:t>
      </w:r>
      <w:proofErr w:type="spellEnd"/>
      <w:r>
        <w:rPr>
          <w:color w:val="000000"/>
          <w:lang w:val="en-US"/>
        </w:rPr>
        <w:t>=</w:t>
      </w:r>
      <w:r w:rsidRPr="000F0660">
        <w:rPr>
          <w:color w:val="000000"/>
          <w:lang w:val="en-US"/>
        </w:rPr>
        <w:t>Schizophrenia patients without catatonia</w:t>
      </w:r>
      <w:r>
        <w:rPr>
          <w:color w:val="000000"/>
          <w:lang w:val="en-US"/>
        </w:rPr>
        <w:t>, HC=Healthy Controls. Bold font corresponds to significant effects.</w:t>
      </w:r>
    </w:p>
    <w:p w:rsidR="00BB3147" w:rsidRPr="00131CE3" w:rsidRDefault="00BB3147" w:rsidP="00BB3147">
      <w:pPr>
        <w:rPr>
          <w:lang w:val="en-US"/>
        </w:rPr>
      </w:pPr>
    </w:p>
    <w:tbl>
      <w:tblPr>
        <w:tblStyle w:val="Grilledutableau"/>
        <w:tblW w:w="9739" w:type="dxa"/>
        <w:tblLook w:val="04A0" w:firstRow="1" w:lastRow="0" w:firstColumn="1" w:lastColumn="0" w:noHBand="0" w:noVBand="1"/>
      </w:tblPr>
      <w:tblGrid>
        <w:gridCol w:w="1228"/>
        <w:gridCol w:w="1137"/>
        <w:gridCol w:w="1137"/>
        <w:gridCol w:w="1208"/>
        <w:gridCol w:w="1320"/>
        <w:gridCol w:w="1541"/>
        <w:gridCol w:w="1031"/>
        <w:gridCol w:w="1137"/>
      </w:tblGrid>
      <w:tr w:rsidR="00BB3147" w:rsidRPr="00BB3147" w:rsidTr="00D45668">
        <w:tc>
          <w:tcPr>
            <w:tcW w:w="1228" w:type="dxa"/>
            <w:vMerge w:val="restart"/>
          </w:tcPr>
          <w:p w:rsidR="00BB3147" w:rsidRPr="003516A8" w:rsidRDefault="00BB3147" w:rsidP="00D45668">
            <w:pPr>
              <w:spacing w:line="360" w:lineRule="auto"/>
              <w:jc w:val="center"/>
              <w:rPr>
                <w:b/>
                <w:bCs/>
                <w:sz w:val="21"/>
                <w:szCs w:val="21"/>
                <w:lang w:val="en-US"/>
              </w:rPr>
            </w:pPr>
            <w:r w:rsidRPr="003516A8">
              <w:rPr>
                <w:b/>
                <w:bCs/>
                <w:sz w:val="21"/>
                <w:szCs w:val="21"/>
                <w:lang w:val="en-US"/>
              </w:rPr>
              <w:t>OFC</w:t>
            </w:r>
          </w:p>
        </w:tc>
        <w:tc>
          <w:tcPr>
            <w:tcW w:w="1137" w:type="dxa"/>
            <w:vMerge w:val="restart"/>
          </w:tcPr>
          <w:p w:rsidR="00BB3147" w:rsidRPr="003C536F" w:rsidRDefault="00BB3147" w:rsidP="00D45668">
            <w:pPr>
              <w:spacing w:line="360" w:lineRule="auto"/>
              <w:jc w:val="center"/>
              <w:rPr>
                <w:b/>
                <w:bCs/>
                <w:color w:val="000000"/>
                <w:sz w:val="21"/>
                <w:szCs w:val="21"/>
                <w:lang w:val="en-US"/>
              </w:rPr>
            </w:pPr>
            <w:r>
              <w:rPr>
                <w:b/>
                <w:color w:val="000000"/>
                <w:sz w:val="21"/>
                <w:szCs w:val="21"/>
                <w:lang w:val="en-US"/>
              </w:rPr>
              <w:t>SSD-c</w:t>
            </w:r>
          </w:p>
          <w:p w:rsidR="00BB3147" w:rsidRPr="003516A8" w:rsidRDefault="00BB3147" w:rsidP="00D45668">
            <w:pPr>
              <w:spacing w:line="360" w:lineRule="auto"/>
              <w:jc w:val="center"/>
              <w:rPr>
                <w:sz w:val="21"/>
                <w:szCs w:val="21"/>
                <w:lang w:val="en-US"/>
              </w:rPr>
            </w:pPr>
            <w:r w:rsidRPr="003C536F">
              <w:rPr>
                <w:b/>
                <w:color w:val="000000"/>
                <w:sz w:val="21"/>
                <w:szCs w:val="21"/>
                <w:lang w:val="en-US"/>
              </w:rPr>
              <w:t>(N</w:t>
            </w:r>
            <w:r>
              <w:rPr>
                <w:b/>
                <w:color w:val="000000"/>
                <w:sz w:val="21"/>
                <w:szCs w:val="21"/>
                <w:lang w:val="en-US"/>
              </w:rPr>
              <w:t>=</w:t>
            </w:r>
            <w:r w:rsidRPr="003C536F">
              <w:rPr>
                <w:b/>
                <w:color w:val="000000"/>
                <w:sz w:val="21"/>
                <w:szCs w:val="21"/>
                <w:lang w:val="en-US"/>
              </w:rPr>
              <w:t>58)</w:t>
            </w:r>
          </w:p>
        </w:tc>
        <w:tc>
          <w:tcPr>
            <w:tcW w:w="1137" w:type="dxa"/>
            <w:vMerge w:val="restart"/>
          </w:tcPr>
          <w:p w:rsidR="00BB3147" w:rsidRPr="003C536F" w:rsidRDefault="00BB3147" w:rsidP="00D45668">
            <w:pPr>
              <w:spacing w:line="360" w:lineRule="auto"/>
              <w:jc w:val="center"/>
              <w:rPr>
                <w:b/>
                <w:bCs/>
                <w:color w:val="000000"/>
                <w:sz w:val="21"/>
                <w:szCs w:val="21"/>
                <w:lang w:val="en-US"/>
              </w:rPr>
            </w:pPr>
            <w:r w:rsidRPr="003C536F">
              <w:rPr>
                <w:b/>
                <w:color w:val="000000"/>
                <w:sz w:val="21"/>
                <w:szCs w:val="21"/>
                <w:lang w:val="en-US"/>
              </w:rPr>
              <w:t xml:space="preserve"> </w:t>
            </w:r>
            <w:r>
              <w:rPr>
                <w:b/>
                <w:color w:val="000000"/>
                <w:sz w:val="21"/>
                <w:szCs w:val="21"/>
                <w:lang w:val="en-US"/>
              </w:rPr>
              <w:t>SSD-</w:t>
            </w:r>
            <w:proofErr w:type="spellStart"/>
            <w:r>
              <w:rPr>
                <w:b/>
                <w:color w:val="000000"/>
                <w:sz w:val="21"/>
                <w:szCs w:val="21"/>
                <w:lang w:val="en-US"/>
              </w:rPr>
              <w:t>nc</w:t>
            </w:r>
            <w:proofErr w:type="spellEnd"/>
          </w:p>
          <w:p w:rsidR="00BB3147" w:rsidRPr="003516A8" w:rsidRDefault="00BB3147" w:rsidP="00D45668">
            <w:pPr>
              <w:spacing w:line="360" w:lineRule="auto"/>
              <w:jc w:val="center"/>
              <w:rPr>
                <w:sz w:val="21"/>
                <w:szCs w:val="21"/>
                <w:lang w:val="en-US"/>
              </w:rPr>
            </w:pPr>
            <w:r w:rsidRPr="003C536F">
              <w:rPr>
                <w:b/>
                <w:color w:val="000000"/>
                <w:sz w:val="21"/>
                <w:szCs w:val="21"/>
                <w:lang w:val="en-US"/>
              </w:rPr>
              <w:t>(N</w:t>
            </w:r>
            <w:r>
              <w:rPr>
                <w:b/>
                <w:color w:val="000000"/>
                <w:sz w:val="21"/>
                <w:szCs w:val="21"/>
                <w:lang w:val="en-US"/>
              </w:rPr>
              <w:t>=</w:t>
            </w:r>
            <w:r w:rsidRPr="003C536F">
              <w:rPr>
                <w:b/>
                <w:color w:val="000000"/>
                <w:sz w:val="21"/>
                <w:szCs w:val="21"/>
                <w:lang w:val="en-US"/>
              </w:rPr>
              <w:t>65)</w:t>
            </w:r>
          </w:p>
        </w:tc>
        <w:tc>
          <w:tcPr>
            <w:tcW w:w="1208" w:type="dxa"/>
            <w:vMerge w:val="restart"/>
          </w:tcPr>
          <w:p w:rsidR="00BB3147" w:rsidRPr="003C536F" w:rsidRDefault="00BB3147" w:rsidP="00D45668">
            <w:pPr>
              <w:spacing w:line="360" w:lineRule="auto"/>
              <w:jc w:val="center"/>
              <w:rPr>
                <w:b/>
                <w:bCs/>
                <w:color w:val="000000"/>
                <w:sz w:val="21"/>
                <w:szCs w:val="21"/>
                <w:lang w:val="en-US"/>
              </w:rPr>
            </w:pPr>
            <w:r w:rsidRPr="003C536F">
              <w:rPr>
                <w:b/>
                <w:color w:val="000000"/>
                <w:sz w:val="21"/>
                <w:szCs w:val="21"/>
                <w:lang w:val="en-US"/>
              </w:rPr>
              <w:t>HC</w:t>
            </w:r>
          </w:p>
          <w:p w:rsidR="00BB3147" w:rsidRPr="003516A8" w:rsidRDefault="00BB3147" w:rsidP="00D45668">
            <w:pPr>
              <w:spacing w:line="360" w:lineRule="auto"/>
              <w:jc w:val="center"/>
              <w:rPr>
                <w:sz w:val="21"/>
                <w:szCs w:val="21"/>
                <w:lang w:val="en-US"/>
              </w:rPr>
            </w:pPr>
            <w:r w:rsidRPr="003C536F">
              <w:rPr>
                <w:b/>
                <w:color w:val="000000"/>
                <w:sz w:val="21"/>
                <w:szCs w:val="21"/>
                <w:lang w:val="en-US"/>
              </w:rPr>
              <w:t>(N</w:t>
            </w:r>
            <w:r>
              <w:rPr>
                <w:b/>
                <w:color w:val="000000"/>
                <w:sz w:val="21"/>
                <w:szCs w:val="21"/>
                <w:lang w:val="en-US"/>
              </w:rPr>
              <w:t>=</w:t>
            </w:r>
            <w:r w:rsidRPr="003C536F">
              <w:rPr>
                <w:b/>
                <w:color w:val="000000"/>
                <w:sz w:val="21"/>
                <w:szCs w:val="21"/>
                <w:lang w:val="en-US"/>
              </w:rPr>
              <w:t>82)</w:t>
            </w:r>
          </w:p>
        </w:tc>
        <w:tc>
          <w:tcPr>
            <w:tcW w:w="1320" w:type="dxa"/>
            <w:vMerge w:val="restart"/>
          </w:tcPr>
          <w:p w:rsidR="00BB3147" w:rsidRPr="003516A8" w:rsidRDefault="00BB3147" w:rsidP="00D45668">
            <w:pPr>
              <w:spacing w:line="360" w:lineRule="auto"/>
              <w:jc w:val="center"/>
              <w:rPr>
                <w:b/>
                <w:bCs/>
                <w:sz w:val="21"/>
                <w:szCs w:val="21"/>
                <w:lang w:val="en-US"/>
              </w:rPr>
            </w:pPr>
            <w:r>
              <w:rPr>
                <w:b/>
                <w:bCs/>
                <w:sz w:val="21"/>
                <w:szCs w:val="21"/>
                <w:lang w:val="en-US"/>
              </w:rPr>
              <w:t xml:space="preserve">Main effect of </w:t>
            </w:r>
            <w:r w:rsidRPr="003516A8">
              <w:rPr>
                <w:b/>
                <w:bCs/>
                <w:sz w:val="21"/>
                <w:szCs w:val="21"/>
                <w:lang w:val="en-US"/>
              </w:rPr>
              <w:t xml:space="preserve">groups </w:t>
            </w:r>
          </w:p>
          <w:p w:rsidR="00BB3147" w:rsidRPr="003516A8" w:rsidRDefault="00BB3147" w:rsidP="00D45668">
            <w:pPr>
              <w:spacing w:line="360" w:lineRule="auto"/>
              <w:jc w:val="center"/>
              <w:rPr>
                <w:sz w:val="21"/>
                <w:szCs w:val="21"/>
                <w:lang w:val="en-US"/>
              </w:rPr>
            </w:pPr>
            <w:r w:rsidRPr="008C0FFA">
              <w:rPr>
                <w:color w:val="000000"/>
                <w:sz w:val="21"/>
                <w:szCs w:val="21"/>
                <w:lang w:val="en-US"/>
              </w:rPr>
              <w:t>(</w:t>
            </w:r>
            <w:r w:rsidRPr="003516A8">
              <w:rPr>
                <w:color w:val="000000"/>
                <w:sz w:val="21"/>
                <w:szCs w:val="21"/>
                <w:lang w:val="en-US"/>
              </w:rPr>
              <w:t>p</w:t>
            </w:r>
            <w:r>
              <w:rPr>
                <w:color w:val="000000"/>
                <w:sz w:val="21"/>
                <w:szCs w:val="21"/>
                <w:lang w:val="en-US"/>
              </w:rPr>
              <w:t xml:space="preserve"> value)</w:t>
            </w:r>
          </w:p>
        </w:tc>
        <w:tc>
          <w:tcPr>
            <w:tcW w:w="3709" w:type="dxa"/>
            <w:gridSpan w:val="3"/>
          </w:tcPr>
          <w:p w:rsidR="00BB3147" w:rsidRPr="003516A8" w:rsidRDefault="00BB3147" w:rsidP="00D45668">
            <w:pPr>
              <w:spacing w:line="360" w:lineRule="auto"/>
              <w:jc w:val="center"/>
              <w:rPr>
                <w:b/>
                <w:bCs/>
                <w:sz w:val="21"/>
                <w:szCs w:val="21"/>
                <w:lang w:val="en-US"/>
              </w:rPr>
            </w:pPr>
            <w:r w:rsidRPr="003516A8">
              <w:rPr>
                <w:b/>
                <w:bCs/>
                <w:sz w:val="21"/>
                <w:szCs w:val="21"/>
                <w:lang w:val="en-US"/>
              </w:rPr>
              <w:t>Inter</w:t>
            </w:r>
            <w:r>
              <w:rPr>
                <w:b/>
                <w:bCs/>
                <w:sz w:val="21"/>
                <w:szCs w:val="21"/>
                <w:lang w:val="en-US"/>
              </w:rPr>
              <w:t>-</w:t>
            </w:r>
            <w:r w:rsidRPr="003516A8">
              <w:rPr>
                <w:b/>
                <w:bCs/>
                <w:sz w:val="21"/>
                <w:szCs w:val="21"/>
                <w:lang w:val="en-US"/>
              </w:rPr>
              <w:t>group comparison</w:t>
            </w:r>
          </w:p>
          <w:p w:rsidR="00BB3147" w:rsidRPr="003516A8" w:rsidRDefault="00BB3147" w:rsidP="00D45668">
            <w:pPr>
              <w:spacing w:line="360" w:lineRule="auto"/>
              <w:jc w:val="center"/>
              <w:rPr>
                <w:sz w:val="21"/>
                <w:szCs w:val="21"/>
                <w:lang w:val="en-US"/>
              </w:rPr>
            </w:pPr>
            <w:r>
              <w:rPr>
                <w:sz w:val="21"/>
                <w:szCs w:val="21"/>
                <w:lang w:val="en-US"/>
              </w:rPr>
              <w:t>p value</w:t>
            </w:r>
          </w:p>
        </w:tc>
      </w:tr>
      <w:tr w:rsidR="00BB3147" w:rsidRPr="009B2D7E" w:rsidTr="00D45668">
        <w:tc>
          <w:tcPr>
            <w:tcW w:w="1228" w:type="dxa"/>
            <w:vMerge/>
          </w:tcPr>
          <w:p w:rsidR="00BB3147" w:rsidRPr="00ED2E95" w:rsidRDefault="00BB3147" w:rsidP="00D45668">
            <w:pPr>
              <w:spacing w:line="360" w:lineRule="auto"/>
              <w:rPr>
                <w:sz w:val="21"/>
                <w:szCs w:val="21"/>
                <w:lang w:val="en-US"/>
              </w:rPr>
            </w:pPr>
          </w:p>
        </w:tc>
        <w:tc>
          <w:tcPr>
            <w:tcW w:w="1137" w:type="dxa"/>
            <w:vMerge/>
          </w:tcPr>
          <w:p w:rsidR="00BB3147" w:rsidRPr="00ED2E95" w:rsidRDefault="00BB3147" w:rsidP="00D45668">
            <w:pPr>
              <w:spacing w:line="360" w:lineRule="auto"/>
              <w:jc w:val="center"/>
              <w:rPr>
                <w:sz w:val="21"/>
                <w:szCs w:val="21"/>
                <w:lang w:val="en-US"/>
              </w:rPr>
            </w:pPr>
          </w:p>
        </w:tc>
        <w:tc>
          <w:tcPr>
            <w:tcW w:w="1137" w:type="dxa"/>
            <w:vMerge/>
          </w:tcPr>
          <w:p w:rsidR="00BB3147" w:rsidRPr="00ED2E95" w:rsidRDefault="00BB3147" w:rsidP="00D45668">
            <w:pPr>
              <w:spacing w:line="360" w:lineRule="auto"/>
              <w:jc w:val="center"/>
              <w:rPr>
                <w:sz w:val="21"/>
                <w:szCs w:val="21"/>
                <w:lang w:val="en-US"/>
              </w:rPr>
            </w:pPr>
          </w:p>
        </w:tc>
        <w:tc>
          <w:tcPr>
            <w:tcW w:w="1208" w:type="dxa"/>
            <w:vMerge/>
          </w:tcPr>
          <w:p w:rsidR="00BB3147" w:rsidRPr="00ED2E95" w:rsidRDefault="00BB3147" w:rsidP="00D45668">
            <w:pPr>
              <w:spacing w:line="360" w:lineRule="auto"/>
              <w:jc w:val="center"/>
              <w:rPr>
                <w:sz w:val="21"/>
                <w:szCs w:val="21"/>
                <w:lang w:val="en-US"/>
              </w:rPr>
            </w:pPr>
          </w:p>
        </w:tc>
        <w:tc>
          <w:tcPr>
            <w:tcW w:w="1320" w:type="dxa"/>
            <w:vMerge/>
          </w:tcPr>
          <w:p w:rsidR="00BB3147" w:rsidRPr="00ED2E95" w:rsidRDefault="00BB3147" w:rsidP="00D45668">
            <w:pPr>
              <w:spacing w:line="360" w:lineRule="auto"/>
              <w:jc w:val="center"/>
              <w:rPr>
                <w:sz w:val="21"/>
                <w:szCs w:val="21"/>
                <w:lang w:val="en-US"/>
              </w:rPr>
            </w:pPr>
          </w:p>
        </w:tc>
        <w:tc>
          <w:tcPr>
            <w:tcW w:w="1541" w:type="dxa"/>
          </w:tcPr>
          <w:p w:rsidR="00BB3147" w:rsidRPr="00ED2E95" w:rsidRDefault="00BB3147" w:rsidP="00D45668">
            <w:pPr>
              <w:spacing w:line="360" w:lineRule="auto"/>
              <w:jc w:val="center"/>
              <w:rPr>
                <w:sz w:val="21"/>
                <w:szCs w:val="21"/>
                <w:lang w:val="en-US"/>
              </w:rPr>
            </w:pPr>
            <w:r>
              <w:rPr>
                <w:sz w:val="21"/>
                <w:szCs w:val="21"/>
                <w:lang w:val="en-US"/>
              </w:rPr>
              <w:t>SSD-c</w:t>
            </w:r>
            <w:r w:rsidRPr="00ED2E95">
              <w:rPr>
                <w:sz w:val="21"/>
                <w:szCs w:val="21"/>
                <w:lang w:val="en-US"/>
              </w:rPr>
              <w:t xml:space="preserve"> vs HC</w:t>
            </w:r>
          </w:p>
        </w:tc>
        <w:tc>
          <w:tcPr>
            <w:tcW w:w="1031" w:type="dxa"/>
          </w:tcPr>
          <w:p w:rsidR="00BB3147" w:rsidRPr="00ED2E95" w:rsidRDefault="00BB3147" w:rsidP="00D45668">
            <w:pPr>
              <w:spacing w:line="360" w:lineRule="auto"/>
              <w:jc w:val="center"/>
              <w:rPr>
                <w:sz w:val="21"/>
                <w:szCs w:val="21"/>
                <w:lang w:val="en-US"/>
              </w:rPr>
            </w:pPr>
            <w:r>
              <w:rPr>
                <w:sz w:val="21"/>
                <w:szCs w:val="21"/>
                <w:lang w:val="en-US"/>
              </w:rPr>
              <w:t>SZ-c</w:t>
            </w:r>
            <w:r w:rsidRPr="00ED2E95">
              <w:rPr>
                <w:sz w:val="21"/>
                <w:szCs w:val="21"/>
                <w:lang w:val="en-US"/>
              </w:rPr>
              <w:t xml:space="preserve"> vs </w:t>
            </w:r>
            <w:r>
              <w:rPr>
                <w:sz w:val="21"/>
                <w:szCs w:val="21"/>
                <w:lang w:val="en-US"/>
              </w:rPr>
              <w:t>SZ-</w:t>
            </w:r>
            <w:proofErr w:type="spellStart"/>
            <w:r>
              <w:rPr>
                <w:sz w:val="21"/>
                <w:szCs w:val="21"/>
                <w:lang w:val="en-US"/>
              </w:rPr>
              <w:t>nc</w:t>
            </w:r>
            <w:proofErr w:type="spellEnd"/>
          </w:p>
        </w:tc>
        <w:tc>
          <w:tcPr>
            <w:tcW w:w="1137" w:type="dxa"/>
          </w:tcPr>
          <w:p w:rsidR="00BB3147" w:rsidRPr="00ED2E95" w:rsidRDefault="00BB3147" w:rsidP="00D45668">
            <w:pPr>
              <w:spacing w:line="360" w:lineRule="auto"/>
              <w:jc w:val="center"/>
              <w:rPr>
                <w:sz w:val="21"/>
                <w:szCs w:val="21"/>
                <w:lang w:val="en-US"/>
              </w:rPr>
            </w:pPr>
            <w:r>
              <w:rPr>
                <w:sz w:val="21"/>
                <w:szCs w:val="21"/>
                <w:lang w:val="en-US"/>
              </w:rPr>
              <w:t>SSD-c</w:t>
            </w:r>
            <w:r w:rsidRPr="00ED2E95">
              <w:rPr>
                <w:sz w:val="21"/>
                <w:szCs w:val="21"/>
                <w:lang w:val="en-US"/>
              </w:rPr>
              <w:t xml:space="preserve"> vs HC</w:t>
            </w:r>
          </w:p>
        </w:tc>
      </w:tr>
      <w:tr w:rsidR="00BB3147" w:rsidRPr="009B2D7E" w:rsidTr="00D45668">
        <w:tc>
          <w:tcPr>
            <w:tcW w:w="1228" w:type="dxa"/>
            <w:tcBorders>
              <w:top w:val="nil"/>
              <w:bottom w:val="nil"/>
            </w:tcBorders>
          </w:tcPr>
          <w:p w:rsidR="00BB3147" w:rsidRPr="00FA385F" w:rsidRDefault="00BB3147" w:rsidP="00D45668">
            <w:pPr>
              <w:spacing w:line="360" w:lineRule="auto"/>
              <w:rPr>
                <w:b/>
                <w:sz w:val="21"/>
                <w:szCs w:val="21"/>
                <w:lang w:val="en-US"/>
              </w:rPr>
            </w:pPr>
            <w:r w:rsidRPr="00FA385F">
              <w:rPr>
                <w:b/>
                <w:sz w:val="21"/>
                <w:szCs w:val="21"/>
                <w:lang w:val="en-US"/>
              </w:rPr>
              <w:t xml:space="preserve">Left </w:t>
            </w:r>
          </w:p>
        </w:tc>
        <w:tc>
          <w:tcPr>
            <w:tcW w:w="1137" w:type="dxa"/>
            <w:tcBorders>
              <w:top w:val="nil"/>
              <w:bottom w:val="nil"/>
            </w:tcBorders>
          </w:tcPr>
          <w:p w:rsidR="00BB3147" w:rsidRPr="003928D3" w:rsidRDefault="00BB3147" w:rsidP="00D45668">
            <w:pPr>
              <w:spacing w:line="360" w:lineRule="auto"/>
              <w:jc w:val="center"/>
              <w:rPr>
                <w:sz w:val="21"/>
                <w:szCs w:val="21"/>
                <w:lang w:val="en-US"/>
              </w:rPr>
            </w:pPr>
          </w:p>
        </w:tc>
        <w:tc>
          <w:tcPr>
            <w:tcW w:w="1137" w:type="dxa"/>
            <w:tcBorders>
              <w:top w:val="nil"/>
              <w:bottom w:val="nil"/>
            </w:tcBorders>
          </w:tcPr>
          <w:p w:rsidR="00BB3147" w:rsidRPr="003928D3" w:rsidRDefault="00BB3147" w:rsidP="00D45668">
            <w:pPr>
              <w:spacing w:line="360" w:lineRule="auto"/>
              <w:jc w:val="center"/>
              <w:rPr>
                <w:sz w:val="21"/>
                <w:szCs w:val="21"/>
                <w:lang w:val="en-US"/>
              </w:rPr>
            </w:pPr>
          </w:p>
        </w:tc>
        <w:tc>
          <w:tcPr>
            <w:tcW w:w="1208" w:type="dxa"/>
            <w:tcBorders>
              <w:top w:val="nil"/>
              <w:bottom w:val="nil"/>
            </w:tcBorders>
          </w:tcPr>
          <w:p w:rsidR="00BB3147" w:rsidRPr="003928D3" w:rsidRDefault="00BB3147" w:rsidP="00D45668">
            <w:pPr>
              <w:spacing w:line="360" w:lineRule="auto"/>
              <w:jc w:val="center"/>
              <w:rPr>
                <w:sz w:val="21"/>
                <w:szCs w:val="21"/>
                <w:lang w:val="en-US"/>
              </w:rPr>
            </w:pPr>
          </w:p>
        </w:tc>
        <w:tc>
          <w:tcPr>
            <w:tcW w:w="1320" w:type="dxa"/>
            <w:tcBorders>
              <w:bottom w:val="nil"/>
            </w:tcBorders>
          </w:tcPr>
          <w:p w:rsidR="00BB3147" w:rsidRPr="003928D3" w:rsidRDefault="00BB3147" w:rsidP="00D45668">
            <w:pPr>
              <w:pStyle w:val="PrformatHTML"/>
              <w:spacing w:line="360" w:lineRule="auto"/>
              <w:jc w:val="center"/>
              <w:rPr>
                <w:rFonts w:ascii="Times New Roman" w:hAnsi="Times New Roman" w:cs="Times New Roman"/>
                <w:color w:val="000000"/>
                <w:sz w:val="21"/>
                <w:szCs w:val="21"/>
                <w:lang w:val="en-US"/>
              </w:rPr>
            </w:pPr>
          </w:p>
        </w:tc>
        <w:tc>
          <w:tcPr>
            <w:tcW w:w="0" w:type="auto"/>
            <w:tcBorders>
              <w:top w:val="nil"/>
              <w:bottom w:val="nil"/>
            </w:tcBorders>
          </w:tcPr>
          <w:p w:rsidR="00BB3147" w:rsidRPr="003928D3" w:rsidRDefault="00BB3147" w:rsidP="00D45668">
            <w:pPr>
              <w:pStyle w:val="PrformatHTML"/>
              <w:spacing w:line="360" w:lineRule="auto"/>
              <w:rPr>
                <w:rFonts w:ascii="Times New Roman" w:hAnsi="Times New Roman" w:cs="Times New Roman"/>
                <w:color w:val="000000"/>
                <w:sz w:val="21"/>
                <w:szCs w:val="21"/>
                <w:lang w:val="en-US"/>
              </w:rPr>
            </w:pPr>
          </w:p>
        </w:tc>
        <w:tc>
          <w:tcPr>
            <w:tcW w:w="1031" w:type="dxa"/>
            <w:tcBorders>
              <w:top w:val="nil"/>
              <w:bottom w:val="nil"/>
            </w:tcBorders>
          </w:tcPr>
          <w:p w:rsidR="00BB3147" w:rsidRPr="003928D3" w:rsidRDefault="00BB3147" w:rsidP="00D45668">
            <w:pPr>
              <w:pStyle w:val="PrformatHTML"/>
              <w:spacing w:line="360" w:lineRule="auto"/>
              <w:rPr>
                <w:rFonts w:ascii="Times New Roman" w:hAnsi="Times New Roman" w:cs="Times New Roman"/>
                <w:color w:val="000000"/>
                <w:sz w:val="21"/>
                <w:szCs w:val="21"/>
                <w:lang w:val="en-US"/>
              </w:rPr>
            </w:pPr>
          </w:p>
        </w:tc>
        <w:tc>
          <w:tcPr>
            <w:tcW w:w="1137" w:type="dxa"/>
            <w:tcBorders>
              <w:top w:val="nil"/>
              <w:bottom w:val="nil"/>
            </w:tcBorders>
          </w:tcPr>
          <w:p w:rsidR="00BB3147" w:rsidRPr="003928D3" w:rsidRDefault="00BB3147" w:rsidP="00D45668">
            <w:pPr>
              <w:pStyle w:val="PrformatHTML"/>
              <w:spacing w:line="360" w:lineRule="auto"/>
              <w:rPr>
                <w:rFonts w:ascii="Times New Roman" w:hAnsi="Times New Roman" w:cs="Times New Roman"/>
                <w:color w:val="000000"/>
                <w:sz w:val="21"/>
                <w:szCs w:val="21"/>
                <w:lang w:val="en-US"/>
              </w:rPr>
            </w:pPr>
          </w:p>
        </w:tc>
      </w:tr>
      <w:tr w:rsidR="00BB3147" w:rsidRPr="009B2D7E" w:rsidTr="00D45668">
        <w:tc>
          <w:tcPr>
            <w:tcW w:w="1228" w:type="dxa"/>
            <w:tcBorders>
              <w:top w:val="nil"/>
              <w:bottom w:val="nil"/>
            </w:tcBorders>
          </w:tcPr>
          <w:p w:rsidR="00BB3147" w:rsidRPr="003928D3" w:rsidRDefault="00BB3147" w:rsidP="00D45668">
            <w:pPr>
              <w:spacing w:line="360" w:lineRule="auto"/>
              <w:rPr>
                <w:sz w:val="21"/>
                <w:szCs w:val="21"/>
                <w:lang w:val="en-US"/>
              </w:rPr>
            </w:pPr>
            <w:r w:rsidRPr="003928D3">
              <w:rPr>
                <w:sz w:val="21"/>
                <w:szCs w:val="21"/>
                <w:lang w:val="en-US"/>
              </w:rPr>
              <w:t>IOS</w:t>
            </w:r>
          </w:p>
        </w:tc>
        <w:tc>
          <w:tcPr>
            <w:tcW w:w="1137" w:type="dxa"/>
            <w:tcBorders>
              <w:top w:val="nil"/>
              <w:bottom w:val="nil"/>
            </w:tcBorders>
          </w:tcPr>
          <w:p w:rsidR="00BB3147" w:rsidRPr="003928D3" w:rsidRDefault="00BB3147" w:rsidP="00D45668">
            <w:pPr>
              <w:spacing w:line="360" w:lineRule="auto"/>
              <w:jc w:val="center"/>
              <w:rPr>
                <w:sz w:val="21"/>
                <w:szCs w:val="21"/>
                <w:lang w:val="en-US"/>
              </w:rPr>
            </w:pPr>
            <w:r w:rsidRPr="003928D3">
              <w:rPr>
                <w:sz w:val="21"/>
                <w:szCs w:val="21"/>
                <w:lang w:val="en-US"/>
              </w:rPr>
              <w:t>53 (91)</w:t>
            </w:r>
          </w:p>
          <w:p w:rsidR="00BB3147" w:rsidRPr="003928D3" w:rsidRDefault="00BB3147" w:rsidP="00D45668">
            <w:pPr>
              <w:spacing w:line="360" w:lineRule="auto"/>
              <w:jc w:val="center"/>
              <w:rPr>
                <w:sz w:val="21"/>
                <w:szCs w:val="21"/>
                <w:lang w:val="en-US"/>
              </w:rPr>
            </w:pPr>
          </w:p>
        </w:tc>
        <w:tc>
          <w:tcPr>
            <w:tcW w:w="1137" w:type="dxa"/>
            <w:tcBorders>
              <w:top w:val="nil"/>
              <w:bottom w:val="nil"/>
            </w:tcBorders>
          </w:tcPr>
          <w:p w:rsidR="00BB3147" w:rsidRPr="003928D3" w:rsidRDefault="00BB3147" w:rsidP="00D45668">
            <w:pPr>
              <w:spacing w:line="360" w:lineRule="auto"/>
              <w:jc w:val="center"/>
              <w:rPr>
                <w:sz w:val="21"/>
                <w:szCs w:val="21"/>
                <w:lang w:val="en-US"/>
              </w:rPr>
            </w:pPr>
            <w:r w:rsidRPr="003928D3">
              <w:rPr>
                <w:sz w:val="21"/>
                <w:szCs w:val="21"/>
                <w:lang w:val="en-US"/>
              </w:rPr>
              <w:t>47 (72)</w:t>
            </w:r>
          </w:p>
          <w:p w:rsidR="00BB3147" w:rsidRPr="003928D3" w:rsidRDefault="00BB3147" w:rsidP="00D45668">
            <w:pPr>
              <w:spacing w:line="360" w:lineRule="auto"/>
              <w:jc w:val="center"/>
              <w:rPr>
                <w:sz w:val="21"/>
                <w:szCs w:val="21"/>
                <w:lang w:val="en-US"/>
              </w:rPr>
            </w:pPr>
          </w:p>
        </w:tc>
        <w:tc>
          <w:tcPr>
            <w:tcW w:w="1208" w:type="dxa"/>
            <w:tcBorders>
              <w:top w:val="nil"/>
              <w:bottom w:val="nil"/>
            </w:tcBorders>
          </w:tcPr>
          <w:p w:rsidR="00BB3147" w:rsidRPr="003928D3" w:rsidRDefault="00BB3147" w:rsidP="00D45668">
            <w:pPr>
              <w:spacing w:line="360" w:lineRule="auto"/>
              <w:jc w:val="center"/>
              <w:rPr>
                <w:sz w:val="21"/>
                <w:szCs w:val="21"/>
                <w:lang w:val="en-US"/>
              </w:rPr>
            </w:pPr>
            <w:r w:rsidRPr="003928D3">
              <w:rPr>
                <w:sz w:val="21"/>
                <w:szCs w:val="21"/>
                <w:lang w:val="en-US"/>
              </w:rPr>
              <w:t>66 (80)</w:t>
            </w:r>
          </w:p>
          <w:p w:rsidR="00BB3147" w:rsidRPr="003928D3" w:rsidRDefault="00BB3147" w:rsidP="00D45668">
            <w:pPr>
              <w:spacing w:line="360" w:lineRule="auto"/>
              <w:jc w:val="center"/>
              <w:rPr>
                <w:sz w:val="21"/>
                <w:szCs w:val="21"/>
                <w:lang w:val="en-US"/>
              </w:rPr>
            </w:pPr>
          </w:p>
        </w:tc>
        <w:tc>
          <w:tcPr>
            <w:tcW w:w="1320" w:type="dxa"/>
            <w:tcBorders>
              <w:top w:val="nil"/>
              <w:bottom w:val="nil"/>
            </w:tcBorders>
          </w:tcPr>
          <w:p w:rsidR="00BB3147" w:rsidRPr="003928D3" w:rsidRDefault="00BB3147" w:rsidP="00D45668">
            <w:pPr>
              <w:pStyle w:val="PrformatHTML"/>
              <w:spacing w:line="360" w:lineRule="auto"/>
              <w:jc w:val="center"/>
              <w:rPr>
                <w:rFonts w:ascii="Times New Roman" w:hAnsi="Times New Roman" w:cs="Times New Roman"/>
                <w:sz w:val="21"/>
                <w:szCs w:val="21"/>
                <w:lang w:val="en-US"/>
              </w:rPr>
            </w:pPr>
            <w:r w:rsidRPr="003928D3">
              <w:rPr>
                <w:rFonts w:ascii="Times New Roman" w:hAnsi="Times New Roman" w:cs="Times New Roman"/>
                <w:sz w:val="21"/>
                <w:szCs w:val="21"/>
                <w:lang w:val="en-US"/>
              </w:rPr>
              <w:t>0.17</w:t>
            </w:r>
          </w:p>
        </w:tc>
        <w:tc>
          <w:tcPr>
            <w:tcW w:w="0" w:type="auto"/>
            <w:tcBorders>
              <w:top w:val="nil"/>
              <w:bottom w:val="nil"/>
            </w:tcBorders>
          </w:tcPr>
          <w:p w:rsidR="00BB3147" w:rsidRPr="003928D3" w:rsidRDefault="00BB3147" w:rsidP="00D45668">
            <w:pPr>
              <w:pStyle w:val="PrformatHTML"/>
              <w:spacing w:line="360" w:lineRule="auto"/>
              <w:jc w:val="center"/>
              <w:rPr>
                <w:rFonts w:ascii="Times New Roman" w:hAnsi="Times New Roman" w:cs="Times New Roman"/>
                <w:color w:val="000000"/>
                <w:sz w:val="21"/>
                <w:szCs w:val="21"/>
                <w:lang w:val="en-US"/>
              </w:rPr>
            </w:pPr>
            <w:r w:rsidRPr="00B34C9F">
              <w:rPr>
                <w:rFonts w:ascii="Times New Roman" w:hAnsi="Times New Roman" w:cs="Times New Roman"/>
                <w:color w:val="000000"/>
                <w:sz w:val="21"/>
                <w:szCs w:val="21"/>
                <w:lang w:val="en-US"/>
              </w:rPr>
              <w:t>-</w:t>
            </w:r>
          </w:p>
        </w:tc>
        <w:tc>
          <w:tcPr>
            <w:tcW w:w="1031" w:type="dxa"/>
            <w:tcBorders>
              <w:top w:val="nil"/>
              <w:bottom w:val="nil"/>
            </w:tcBorders>
          </w:tcPr>
          <w:p w:rsidR="00BB3147" w:rsidRPr="003928D3" w:rsidRDefault="00BB3147" w:rsidP="00D45668">
            <w:pPr>
              <w:pStyle w:val="PrformatHTML"/>
              <w:spacing w:line="360" w:lineRule="auto"/>
              <w:jc w:val="center"/>
              <w:rPr>
                <w:rFonts w:ascii="Times New Roman" w:hAnsi="Times New Roman" w:cs="Times New Roman"/>
                <w:color w:val="000000"/>
                <w:sz w:val="21"/>
                <w:szCs w:val="21"/>
                <w:lang w:val="en-US"/>
              </w:rPr>
            </w:pPr>
            <w:r w:rsidRPr="00B34C9F">
              <w:rPr>
                <w:rFonts w:ascii="Times New Roman" w:hAnsi="Times New Roman" w:cs="Times New Roman"/>
                <w:color w:val="000000"/>
                <w:sz w:val="21"/>
                <w:szCs w:val="21"/>
                <w:lang w:val="en-US"/>
              </w:rPr>
              <w:t>-</w:t>
            </w:r>
          </w:p>
        </w:tc>
        <w:tc>
          <w:tcPr>
            <w:tcW w:w="1137" w:type="dxa"/>
            <w:tcBorders>
              <w:top w:val="nil"/>
              <w:bottom w:val="nil"/>
            </w:tcBorders>
          </w:tcPr>
          <w:p w:rsidR="00BB3147" w:rsidRPr="003928D3" w:rsidRDefault="00BB3147" w:rsidP="00D45668">
            <w:pPr>
              <w:pStyle w:val="PrformatHTML"/>
              <w:spacing w:line="360" w:lineRule="auto"/>
              <w:jc w:val="center"/>
              <w:rPr>
                <w:rFonts w:ascii="Times New Roman" w:hAnsi="Times New Roman" w:cs="Times New Roman"/>
                <w:color w:val="000000"/>
                <w:sz w:val="21"/>
                <w:szCs w:val="21"/>
                <w:lang w:val="en-US"/>
              </w:rPr>
            </w:pPr>
            <w:r w:rsidRPr="00B34C9F">
              <w:rPr>
                <w:rFonts w:ascii="Times New Roman" w:hAnsi="Times New Roman" w:cs="Times New Roman"/>
                <w:color w:val="000000"/>
                <w:sz w:val="21"/>
                <w:szCs w:val="21"/>
                <w:lang w:val="en-US"/>
              </w:rPr>
              <w:t>-</w:t>
            </w:r>
          </w:p>
        </w:tc>
      </w:tr>
      <w:tr w:rsidR="00BB3147" w:rsidRPr="009B2D7E" w:rsidTr="00D45668">
        <w:tc>
          <w:tcPr>
            <w:tcW w:w="1228" w:type="dxa"/>
            <w:tcBorders>
              <w:top w:val="nil"/>
              <w:bottom w:val="single" w:sz="4" w:space="0" w:color="auto"/>
            </w:tcBorders>
          </w:tcPr>
          <w:p w:rsidR="00BB3147" w:rsidRPr="003928D3" w:rsidRDefault="00BB3147" w:rsidP="00D45668">
            <w:pPr>
              <w:spacing w:line="360" w:lineRule="auto"/>
              <w:rPr>
                <w:sz w:val="21"/>
                <w:szCs w:val="21"/>
                <w:lang w:val="en-US"/>
              </w:rPr>
            </w:pPr>
            <w:r w:rsidRPr="003928D3">
              <w:rPr>
                <w:sz w:val="21"/>
                <w:szCs w:val="21"/>
                <w:lang w:val="en-US"/>
              </w:rPr>
              <w:t>POS</w:t>
            </w:r>
          </w:p>
        </w:tc>
        <w:tc>
          <w:tcPr>
            <w:tcW w:w="1137" w:type="dxa"/>
            <w:tcBorders>
              <w:top w:val="nil"/>
              <w:bottom w:val="nil"/>
            </w:tcBorders>
          </w:tcPr>
          <w:p w:rsidR="00BB3147" w:rsidRPr="003928D3" w:rsidRDefault="00BB3147" w:rsidP="00D45668">
            <w:pPr>
              <w:spacing w:line="360" w:lineRule="auto"/>
              <w:jc w:val="center"/>
              <w:rPr>
                <w:sz w:val="21"/>
                <w:szCs w:val="21"/>
                <w:lang w:val="en-US"/>
              </w:rPr>
            </w:pPr>
            <w:r w:rsidRPr="003928D3">
              <w:rPr>
                <w:sz w:val="21"/>
                <w:szCs w:val="21"/>
                <w:lang w:val="en-US"/>
              </w:rPr>
              <w:t>17 (29)</w:t>
            </w:r>
          </w:p>
          <w:p w:rsidR="00BB3147" w:rsidRPr="003928D3" w:rsidRDefault="00BB3147" w:rsidP="00D45668">
            <w:pPr>
              <w:spacing w:line="360" w:lineRule="auto"/>
              <w:jc w:val="center"/>
              <w:rPr>
                <w:sz w:val="21"/>
                <w:szCs w:val="21"/>
                <w:lang w:val="en-US"/>
              </w:rPr>
            </w:pPr>
          </w:p>
        </w:tc>
        <w:tc>
          <w:tcPr>
            <w:tcW w:w="1137" w:type="dxa"/>
            <w:tcBorders>
              <w:top w:val="nil"/>
              <w:bottom w:val="nil"/>
            </w:tcBorders>
          </w:tcPr>
          <w:p w:rsidR="00BB3147" w:rsidRPr="003928D3" w:rsidRDefault="00BB3147" w:rsidP="00D45668">
            <w:pPr>
              <w:spacing w:line="360" w:lineRule="auto"/>
              <w:jc w:val="center"/>
              <w:rPr>
                <w:sz w:val="21"/>
                <w:szCs w:val="21"/>
                <w:lang w:val="en-US"/>
              </w:rPr>
            </w:pPr>
            <w:r w:rsidRPr="003928D3">
              <w:rPr>
                <w:sz w:val="21"/>
                <w:szCs w:val="21"/>
                <w:lang w:val="en-US"/>
              </w:rPr>
              <w:t>17 (26)</w:t>
            </w:r>
          </w:p>
          <w:p w:rsidR="00BB3147" w:rsidRPr="003928D3" w:rsidRDefault="00BB3147" w:rsidP="00D45668">
            <w:pPr>
              <w:spacing w:line="360" w:lineRule="auto"/>
              <w:jc w:val="center"/>
              <w:rPr>
                <w:sz w:val="21"/>
                <w:szCs w:val="21"/>
                <w:lang w:val="en-US"/>
              </w:rPr>
            </w:pPr>
          </w:p>
        </w:tc>
        <w:tc>
          <w:tcPr>
            <w:tcW w:w="1208" w:type="dxa"/>
            <w:tcBorders>
              <w:top w:val="nil"/>
              <w:bottom w:val="nil"/>
            </w:tcBorders>
          </w:tcPr>
          <w:p w:rsidR="00BB3147" w:rsidRPr="003928D3" w:rsidRDefault="00BB3147" w:rsidP="00D45668">
            <w:pPr>
              <w:spacing w:line="360" w:lineRule="auto"/>
              <w:jc w:val="center"/>
              <w:rPr>
                <w:sz w:val="21"/>
                <w:szCs w:val="21"/>
                <w:lang w:val="en-US"/>
              </w:rPr>
            </w:pPr>
            <w:r w:rsidRPr="003928D3">
              <w:rPr>
                <w:sz w:val="21"/>
                <w:szCs w:val="21"/>
                <w:lang w:val="en-US"/>
              </w:rPr>
              <w:t>32 (39)</w:t>
            </w:r>
          </w:p>
          <w:p w:rsidR="00BB3147" w:rsidRPr="003928D3" w:rsidRDefault="00BB3147" w:rsidP="00D45668">
            <w:pPr>
              <w:spacing w:line="360" w:lineRule="auto"/>
              <w:jc w:val="center"/>
              <w:rPr>
                <w:sz w:val="21"/>
                <w:szCs w:val="21"/>
                <w:lang w:val="en-US"/>
              </w:rPr>
            </w:pPr>
          </w:p>
        </w:tc>
        <w:tc>
          <w:tcPr>
            <w:tcW w:w="1320" w:type="dxa"/>
            <w:tcBorders>
              <w:top w:val="nil"/>
            </w:tcBorders>
          </w:tcPr>
          <w:p w:rsidR="00BB3147" w:rsidRPr="003928D3" w:rsidRDefault="00BB3147" w:rsidP="00D45668">
            <w:pPr>
              <w:spacing w:line="360" w:lineRule="auto"/>
              <w:jc w:val="center"/>
              <w:rPr>
                <w:sz w:val="21"/>
                <w:szCs w:val="21"/>
                <w:lang w:val="en-US"/>
              </w:rPr>
            </w:pPr>
            <w:r w:rsidRPr="003928D3">
              <w:rPr>
                <w:sz w:val="21"/>
                <w:szCs w:val="21"/>
                <w:lang w:val="en-US"/>
              </w:rPr>
              <w:t>0.18</w:t>
            </w:r>
          </w:p>
        </w:tc>
        <w:tc>
          <w:tcPr>
            <w:tcW w:w="0" w:type="auto"/>
            <w:tcBorders>
              <w:top w:val="nil"/>
              <w:bottom w:val="nil"/>
            </w:tcBorders>
          </w:tcPr>
          <w:p w:rsidR="00BB3147" w:rsidRPr="003928D3" w:rsidRDefault="00BB3147" w:rsidP="00D45668">
            <w:pPr>
              <w:pStyle w:val="PrformatHTML"/>
              <w:spacing w:line="360" w:lineRule="auto"/>
              <w:jc w:val="center"/>
              <w:rPr>
                <w:rFonts w:ascii="Times New Roman" w:hAnsi="Times New Roman" w:cs="Times New Roman"/>
                <w:color w:val="000000"/>
                <w:sz w:val="21"/>
                <w:szCs w:val="21"/>
                <w:lang w:val="en-US"/>
              </w:rPr>
            </w:pPr>
            <w:r w:rsidRPr="00B34C9F">
              <w:rPr>
                <w:rFonts w:ascii="Times New Roman" w:hAnsi="Times New Roman" w:cs="Times New Roman"/>
                <w:color w:val="000000"/>
                <w:sz w:val="21"/>
                <w:szCs w:val="21"/>
                <w:lang w:val="en-US"/>
              </w:rPr>
              <w:t>-</w:t>
            </w:r>
          </w:p>
        </w:tc>
        <w:tc>
          <w:tcPr>
            <w:tcW w:w="1031" w:type="dxa"/>
            <w:tcBorders>
              <w:top w:val="nil"/>
              <w:bottom w:val="nil"/>
            </w:tcBorders>
          </w:tcPr>
          <w:p w:rsidR="00BB3147" w:rsidRPr="003928D3" w:rsidRDefault="00BB3147" w:rsidP="00D45668">
            <w:pPr>
              <w:pStyle w:val="PrformatHTML"/>
              <w:spacing w:line="360" w:lineRule="auto"/>
              <w:jc w:val="center"/>
              <w:rPr>
                <w:rFonts w:ascii="Times New Roman" w:hAnsi="Times New Roman" w:cs="Times New Roman"/>
                <w:color w:val="000000"/>
                <w:sz w:val="21"/>
                <w:szCs w:val="21"/>
                <w:lang w:val="en-US"/>
              </w:rPr>
            </w:pPr>
            <w:r w:rsidRPr="00B34C9F">
              <w:rPr>
                <w:rFonts w:ascii="Times New Roman" w:hAnsi="Times New Roman" w:cs="Times New Roman"/>
                <w:color w:val="000000"/>
                <w:sz w:val="21"/>
                <w:szCs w:val="21"/>
                <w:lang w:val="en-US"/>
              </w:rPr>
              <w:t>-</w:t>
            </w:r>
          </w:p>
        </w:tc>
        <w:tc>
          <w:tcPr>
            <w:tcW w:w="1137" w:type="dxa"/>
            <w:tcBorders>
              <w:top w:val="nil"/>
              <w:bottom w:val="nil"/>
            </w:tcBorders>
          </w:tcPr>
          <w:p w:rsidR="00BB3147" w:rsidRPr="008C0FFA" w:rsidRDefault="00BB3147" w:rsidP="00D45668">
            <w:pPr>
              <w:pStyle w:val="PrformatHTML"/>
              <w:spacing w:line="360" w:lineRule="auto"/>
              <w:jc w:val="center"/>
              <w:rPr>
                <w:rFonts w:ascii="Times New Roman" w:hAnsi="Times New Roman" w:cs="Times New Roman"/>
                <w:color w:val="000000"/>
                <w:sz w:val="21"/>
                <w:szCs w:val="21"/>
                <w:lang w:val="en-US"/>
              </w:rPr>
            </w:pPr>
            <w:r w:rsidRPr="00B34C9F">
              <w:rPr>
                <w:rFonts w:ascii="Times New Roman" w:hAnsi="Times New Roman" w:cs="Times New Roman"/>
                <w:color w:val="000000"/>
                <w:sz w:val="21"/>
                <w:szCs w:val="21"/>
                <w:lang w:val="en-US"/>
              </w:rPr>
              <w:t>-</w:t>
            </w:r>
          </w:p>
        </w:tc>
      </w:tr>
      <w:tr w:rsidR="00BB3147" w:rsidRPr="009B2D7E" w:rsidTr="00D45668">
        <w:tc>
          <w:tcPr>
            <w:tcW w:w="1228" w:type="dxa"/>
            <w:tcBorders>
              <w:top w:val="single" w:sz="4" w:space="0" w:color="auto"/>
              <w:bottom w:val="nil"/>
            </w:tcBorders>
          </w:tcPr>
          <w:p w:rsidR="00BB3147" w:rsidRPr="00FA385F" w:rsidRDefault="00BB3147" w:rsidP="00D45668">
            <w:pPr>
              <w:spacing w:line="360" w:lineRule="auto"/>
              <w:rPr>
                <w:b/>
                <w:sz w:val="21"/>
                <w:szCs w:val="21"/>
                <w:lang w:val="en-US"/>
              </w:rPr>
            </w:pPr>
            <w:r w:rsidRPr="00FA385F">
              <w:rPr>
                <w:b/>
                <w:sz w:val="21"/>
                <w:szCs w:val="21"/>
                <w:lang w:val="en-US"/>
              </w:rPr>
              <w:t xml:space="preserve">Right </w:t>
            </w:r>
          </w:p>
        </w:tc>
        <w:tc>
          <w:tcPr>
            <w:tcW w:w="1137" w:type="dxa"/>
            <w:tcBorders>
              <w:bottom w:val="nil"/>
            </w:tcBorders>
          </w:tcPr>
          <w:p w:rsidR="00BB3147" w:rsidRPr="003928D3" w:rsidRDefault="00BB3147" w:rsidP="00D45668">
            <w:pPr>
              <w:spacing w:line="360" w:lineRule="auto"/>
              <w:jc w:val="center"/>
              <w:rPr>
                <w:sz w:val="21"/>
                <w:szCs w:val="21"/>
                <w:lang w:val="en-US"/>
              </w:rPr>
            </w:pPr>
          </w:p>
        </w:tc>
        <w:tc>
          <w:tcPr>
            <w:tcW w:w="1137" w:type="dxa"/>
            <w:tcBorders>
              <w:bottom w:val="nil"/>
            </w:tcBorders>
          </w:tcPr>
          <w:p w:rsidR="00BB3147" w:rsidRPr="003928D3" w:rsidRDefault="00BB3147" w:rsidP="00D45668">
            <w:pPr>
              <w:spacing w:line="360" w:lineRule="auto"/>
              <w:jc w:val="center"/>
              <w:rPr>
                <w:sz w:val="21"/>
                <w:szCs w:val="21"/>
                <w:lang w:val="en-US"/>
              </w:rPr>
            </w:pPr>
          </w:p>
        </w:tc>
        <w:tc>
          <w:tcPr>
            <w:tcW w:w="1208" w:type="dxa"/>
            <w:tcBorders>
              <w:bottom w:val="nil"/>
            </w:tcBorders>
          </w:tcPr>
          <w:p w:rsidR="00BB3147" w:rsidRPr="003928D3" w:rsidRDefault="00BB3147" w:rsidP="00D45668">
            <w:pPr>
              <w:spacing w:line="360" w:lineRule="auto"/>
              <w:jc w:val="center"/>
              <w:rPr>
                <w:sz w:val="21"/>
                <w:szCs w:val="21"/>
                <w:lang w:val="en-US"/>
              </w:rPr>
            </w:pPr>
          </w:p>
        </w:tc>
        <w:tc>
          <w:tcPr>
            <w:tcW w:w="1320" w:type="dxa"/>
            <w:tcBorders>
              <w:bottom w:val="nil"/>
            </w:tcBorders>
          </w:tcPr>
          <w:p w:rsidR="00BB3147" w:rsidRPr="003928D3" w:rsidRDefault="00BB3147" w:rsidP="00D45668">
            <w:pPr>
              <w:spacing w:line="360" w:lineRule="auto"/>
              <w:rPr>
                <w:color w:val="000000"/>
                <w:sz w:val="21"/>
                <w:szCs w:val="21"/>
                <w:lang w:val="en-US"/>
              </w:rPr>
            </w:pPr>
          </w:p>
        </w:tc>
        <w:tc>
          <w:tcPr>
            <w:tcW w:w="0" w:type="auto"/>
            <w:tcBorders>
              <w:bottom w:val="nil"/>
            </w:tcBorders>
          </w:tcPr>
          <w:p w:rsidR="00BB3147" w:rsidRPr="003928D3" w:rsidRDefault="00BB3147" w:rsidP="00D45668">
            <w:pPr>
              <w:pStyle w:val="PrformatHTML"/>
              <w:spacing w:line="360" w:lineRule="auto"/>
              <w:rPr>
                <w:rFonts w:ascii="Times New Roman" w:hAnsi="Times New Roman" w:cs="Times New Roman"/>
                <w:color w:val="000000"/>
                <w:sz w:val="21"/>
                <w:szCs w:val="21"/>
                <w:lang w:val="en-US"/>
              </w:rPr>
            </w:pPr>
          </w:p>
        </w:tc>
        <w:tc>
          <w:tcPr>
            <w:tcW w:w="1031" w:type="dxa"/>
            <w:tcBorders>
              <w:bottom w:val="nil"/>
            </w:tcBorders>
          </w:tcPr>
          <w:p w:rsidR="00BB3147" w:rsidRPr="003928D3" w:rsidRDefault="00BB3147" w:rsidP="00D45668">
            <w:pPr>
              <w:pStyle w:val="PrformatHTML"/>
              <w:spacing w:line="360" w:lineRule="auto"/>
              <w:rPr>
                <w:rFonts w:ascii="Times New Roman" w:hAnsi="Times New Roman" w:cs="Times New Roman"/>
                <w:sz w:val="21"/>
                <w:szCs w:val="21"/>
                <w:lang w:val="en-US"/>
              </w:rPr>
            </w:pPr>
          </w:p>
        </w:tc>
        <w:tc>
          <w:tcPr>
            <w:tcW w:w="1137" w:type="dxa"/>
            <w:tcBorders>
              <w:bottom w:val="nil"/>
            </w:tcBorders>
          </w:tcPr>
          <w:p w:rsidR="00BB3147" w:rsidRPr="003928D3" w:rsidRDefault="00BB3147" w:rsidP="00D45668">
            <w:pPr>
              <w:spacing w:line="360" w:lineRule="auto"/>
              <w:jc w:val="center"/>
              <w:rPr>
                <w:sz w:val="21"/>
                <w:szCs w:val="21"/>
                <w:lang w:val="en-US"/>
              </w:rPr>
            </w:pPr>
          </w:p>
        </w:tc>
      </w:tr>
      <w:tr w:rsidR="00BB3147" w:rsidRPr="009B2D7E" w:rsidTr="00D45668">
        <w:tc>
          <w:tcPr>
            <w:tcW w:w="1228" w:type="dxa"/>
            <w:tcBorders>
              <w:top w:val="nil"/>
              <w:bottom w:val="nil"/>
            </w:tcBorders>
          </w:tcPr>
          <w:p w:rsidR="00BB3147" w:rsidRPr="003928D3" w:rsidRDefault="00BB3147" w:rsidP="00D45668">
            <w:pPr>
              <w:spacing w:line="360" w:lineRule="auto"/>
              <w:rPr>
                <w:sz w:val="21"/>
                <w:szCs w:val="21"/>
                <w:lang w:val="en-US"/>
              </w:rPr>
            </w:pPr>
            <w:r w:rsidRPr="003928D3">
              <w:rPr>
                <w:sz w:val="21"/>
                <w:szCs w:val="21"/>
                <w:lang w:val="en-US"/>
              </w:rPr>
              <w:t>IOS</w:t>
            </w:r>
          </w:p>
        </w:tc>
        <w:tc>
          <w:tcPr>
            <w:tcW w:w="1137" w:type="dxa"/>
            <w:tcBorders>
              <w:top w:val="nil"/>
              <w:bottom w:val="nil"/>
            </w:tcBorders>
          </w:tcPr>
          <w:p w:rsidR="00BB3147" w:rsidRPr="003928D3" w:rsidRDefault="00BB3147" w:rsidP="00D45668">
            <w:pPr>
              <w:spacing w:line="360" w:lineRule="auto"/>
              <w:jc w:val="center"/>
              <w:rPr>
                <w:sz w:val="21"/>
                <w:szCs w:val="21"/>
                <w:lang w:val="en-US"/>
              </w:rPr>
            </w:pPr>
            <w:r w:rsidRPr="003928D3">
              <w:rPr>
                <w:sz w:val="21"/>
                <w:szCs w:val="21"/>
                <w:lang w:val="en-US"/>
              </w:rPr>
              <w:t>51 (88)</w:t>
            </w:r>
          </w:p>
          <w:p w:rsidR="00BB3147" w:rsidRPr="003928D3" w:rsidRDefault="00BB3147" w:rsidP="00D45668">
            <w:pPr>
              <w:spacing w:line="360" w:lineRule="auto"/>
              <w:jc w:val="center"/>
              <w:rPr>
                <w:sz w:val="21"/>
                <w:szCs w:val="21"/>
                <w:lang w:val="en-US"/>
              </w:rPr>
            </w:pPr>
          </w:p>
        </w:tc>
        <w:tc>
          <w:tcPr>
            <w:tcW w:w="1137" w:type="dxa"/>
            <w:tcBorders>
              <w:top w:val="nil"/>
              <w:bottom w:val="nil"/>
            </w:tcBorders>
          </w:tcPr>
          <w:p w:rsidR="00BB3147" w:rsidRPr="003928D3" w:rsidRDefault="00BB3147" w:rsidP="00D45668">
            <w:pPr>
              <w:spacing w:line="360" w:lineRule="auto"/>
              <w:jc w:val="center"/>
              <w:rPr>
                <w:sz w:val="21"/>
                <w:szCs w:val="21"/>
                <w:lang w:val="en-US"/>
              </w:rPr>
            </w:pPr>
            <w:r w:rsidRPr="003928D3">
              <w:rPr>
                <w:sz w:val="21"/>
                <w:szCs w:val="21"/>
                <w:lang w:val="en-US"/>
              </w:rPr>
              <w:t>50 (77)</w:t>
            </w:r>
          </w:p>
          <w:p w:rsidR="00BB3147" w:rsidRPr="003928D3" w:rsidRDefault="00BB3147" w:rsidP="00D45668">
            <w:pPr>
              <w:spacing w:line="360" w:lineRule="auto"/>
              <w:jc w:val="center"/>
              <w:rPr>
                <w:sz w:val="21"/>
                <w:szCs w:val="21"/>
                <w:lang w:val="en-US"/>
              </w:rPr>
            </w:pPr>
          </w:p>
        </w:tc>
        <w:tc>
          <w:tcPr>
            <w:tcW w:w="1208" w:type="dxa"/>
            <w:tcBorders>
              <w:top w:val="nil"/>
              <w:bottom w:val="nil"/>
            </w:tcBorders>
          </w:tcPr>
          <w:p w:rsidR="00BB3147" w:rsidRPr="003928D3" w:rsidRDefault="00BB3147" w:rsidP="00D45668">
            <w:pPr>
              <w:spacing w:line="360" w:lineRule="auto"/>
              <w:jc w:val="center"/>
              <w:rPr>
                <w:sz w:val="21"/>
                <w:szCs w:val="21"/>
                <w:lang w:val="en-US"/>
              </w:rPr>
            </w:pPr>
            <w:r w:rsidRPr="003928D3">
              <w:rPr>
                <w:sz w:val="21"/>
                <w:szCs w:val="21"/>
                <w:lang w:val="en-US"/>
              </w:rPr>
              <w:t>74 (90)</w:t>
            </w:r>
          </w:p>
          <w:p w:rsidR="00BB3147" w:rsidRPr="003928D3" w:rsidRDefault="00BB3147" w:rsidP="00D45668">
            <w:pPr>
              <w:spacing w:line="360" w:lineRule="auto"/>
              <w:jc w:val="center"/>
              <w:rPr>
                <w:sz w:val="21"/>
                <w:szCs w:val="21"/>
                <w:lang w:val="en-US"/>
              </w:rPr>
            </w:pPr>
          </w:p>
        </w:tc>
        <w:tc>
          <w:tcPr>
            <w:tcW w:w="1320" w:type="dxa"/>
            <w:tcBorders>
              <w:top w:val="nil"/>
              <w:bottom w:val="nil"/>
            </w:tcBorders>
          </w:tcPr>
          <w:p w:rsidR="00BB3147" w:rsidRPr="003928D3" w:rsidRDefault="00BB3147" w:rsidP="00D45668">
            <w:pPr>
              <w:spacing w:line="360" w:lineRule="auto"/>
              <w:jc w:val="center"/>
              <w:rPr>
                <w:color w:val="000000"/>
                <w:sz w:val="21"/>
                <w:szCs w:val="21"/>
                <w:lang w:val="en-US"/>
              </w:rPr>
            </w:pPr>
            <w:r w:rsidRPr="003928D3">
              <w:rPr>
                <w:sz w:val="21"/>
                <w:szCs w:val="21"/>
                <w:lang w:val="en-US"/>
              </w:rPr>
              <w:t>.003</w:t>
            </w:r>
          </w:p>
        </w:tc>
        <w:tc>
          <w:tcPr>
            <w:tcW w:w="0" w:type="auto"/>
            <w:tcBorders>
              <w:top w:val="nil"/>
              <w:bottom w:val="nil"/>
            </w:tcBorders>
          </w:tcPr>
          <w:p w:rsidR="00BB3147" w:rsidRPr="008C0FFA" w:rsidRDefault="00BB3147" w:rsidP="00D45668">
            <w:pPr>
              <w:pStyle w:val="PrformatHTML"/>
              <w:shd w:val="clear" w:color="auto" w:fill="FFFFFF"/>
              <w:jc w:val="center"/>
              <w:rPr>
                <w:rFonts w:ascii="Times New Roman" w:hAnsi="Times New Roman" w:cs="Times New Roman"/>
                <w:color w:val="000000"/>
                <w:sz w:val="21"/>
                <w:szCs w:val="21"/>
                <w:lang w:val="en-US"/>
              </w:rPr>
            </w:pPr>
            <w:r w:rsidRPr="008C0FFA">
              <w:rPr>
                <w:rFonts w:ascii="Times New Roman" w:hAnsi="Times New Roman" w:cs="Times New Roman"/>
                <w:color w:val="000000"/>
                <w:sz w:val="21"/>
                <w:szCs w:val="21"/>
                <w:lang w:val="en-US"/>
              </w:rPr>
              <w:t xml:space="preserve"> 0.57</w:t>
            </w:r>
          </w:p>
          <w:p w:rsidR="00BB3147" w:rsidRPr="003928D3" w:rsidRDefault="00BB3147" w:rsidP="00D45668">
            <w:pPr>
              <w:pStyle w:val="PrformatHTML"/>
              <w:spacing w:line="360" w:lineRule="auto"/>
              <w:jc w:val="center"/>
              <w:rPr>
                <w:rFonts w:ascii="Times New Roman" w:hAnsi="Times New Roman" w:cs="Times New Roman"/>
                <w:color w:val="000000"/>
                <w:sz w:val="21"/>
                <w:szCs w:val="21"/>
                <w:lang w:val="en-US"/>
              </w:rPr>
            </w:pPr>
          </w:p>
        </w:tc>
        <w:tc>
          <w:tcPr>
            <w:tcW w:w="1031" w:type="dxa"/>
            <w:tcBorders>
              <w:top w:val="nil"/>
              <w:bottom w:val="nil"/>
            </w:tcBorders>
          </w:tcPr>
          <w:p w:rsidR="00BB3147" w:rsidRPr="008C0FFA" w:rsidRDefault="00BB3147" w:rsidP="00D45668">
            <w:pPr>
              <w:pStyle w:val="PrformatHTML"/>
              <w:shd w:val="clear" w:color="auto" w:fill="FFFFFF"/>
              <w:jc w:val="center"/>
              <w:rPr>
                <w:rFonts w:ascii="Times New Roman" w:hAnsi="Times New Roman" w:cs="Times New Roman"/>
                <w:color w:val="000000"/>
                <w:sz w:val="21"/>
                <w:szCs w:val="21"/>
                <w:lang w:val="en-US"/>
              </w:rPr>
            </w:pPr>
            <w:r w:rsidRPr="008C0FFA">
              <w:rPr>
                <w:rFonts w:ascii="Times New Roman" w:hAnsi="Times New Roman" w:cs="Times New Roman"/>
                <w:color w:val="000000"/>
                <w:sz w:val="21"/>
                <w:szCs w:val="21"/>
                <w:lang w:val="en-US"/>
              </w:rPr>
              <w:t xml:space="preserve"> .05</w:t>
            </w:r>
          </w:p>
          <w:p w:rsidR="00BB3147" w:rsidRPr="003928D3" w:rsidRDefault="00BB3147" w:rsidP="00D45668">
            <w:pPr>
              <w:pStyle w:val="PrformatHTML"/>
              <w:spacing w:line="360" w:lineRule="auto"/>
              <w:jc w:val="center"/>
              <w:rPr>
                <w:rFonts w:ascii="Times New Roman" w:hAnsi="Times New Roman" w:cs="Times New Roman"/>
                <w:color w:val="000000"/>
                <w:sz w:val="21"/>
                <w:szCs w:val="21"/>
                <w:lang w:val="en-US"/>
              </w:rPr>
            </w:pPr>
          </w:p>
        </w:tc>
        <w:tc>
          <w:tcPr>
            <w:tcW w:w="1137" w:type="dxa"/>
            <w:tcBorders>
              <w:top w:val="nil"/>
              <w:bottom w:val="nil"/>
            </w:tcBorders>
          </w:tcPr>
          <w:p w:rsidR="00BB3147" w:rsidRPr="008C0FFA" w:rsidRDefault="00BB3147" w:rsidP="00D45668">
            <w:pPr>
              <w:pStyle w:val="PrformatHTML"/>
              <w:shd w:val="clear" w:color="auto" w:fill="FFFFFF"/>
              <w:jc w:val="center"/>
              <w:rPr>
                <w:rFonts w:ascii="Times New Roman" w:hAnsi="Times New Roman" w:cs="Times New Roman"/>
                <w:b/>
                <w:color w:val="000000"/>
                <w:sz w:val="21"/>
                <w:szCs w:val="21"/>
                <w:lang w:val="en-US"/>
              </w:rPr>
            </w:pPr>
            <w:r w:rsidRPr="008C0FFA">
              <w:rPr>
                <w:rFonts w:ascii="Times New Roman" w:hAnsi="Times New Roman" w:cs="Times New Roman"/>
                <w:color w:val="000000"/>
                <w:sz w:val="21"/>
                <w:szCs w:val="21"/>
                <w:lang w:val="en-US"/>
              </w:rPr>
              <w:t xml:space="preserve"> </w:t>
            </w:r>
            <w:r w:rsidRPr="008C0FFA">
              <w:rPr>
                <w:rFonts w:ascii="Times New Roman" w:hAnsi="Times New Roman" w:cs="Times New Roman"/>
                <w:b/>
                <w:color w:val="000000"/>
                <w:sz w:val="21"/>
                <w:szCs w:val="21"/>
                <w:lang w:val="en-US"/>
              </w:rPr>
              <w:t>.003</w:t>
            </w:r>
          </w:p>
          <w:p w:rsidR="00BB3147" w:rsidRPr="008C0FFA" w:rsidRDefault="00BB3147" w:rsidP="00D45668">
            <w:pPr>
              <w:spacing w:line="360" w:lineRule="auto"/>
              <w:jc w:val="center"/>
              <w:rPr>
                <w:color w:val="000000"/>
                <w:sz w:val="21"/>
                <w:szCs w:val="21"/>
                <w:lang w:val="en-US"/>
              </w:rPr>
            </w:pPr>
          </w:p>
        </w:tc>
      </w:tr>
      <w:tr w:rsidR="00BB3147" w:rsidRPr="009B2D7E" w:rsidTr="00D45668">
        <w:tc>
          <w:tcPr>
            <w:tcW w:w="1228" w:type="dxa"/>
            <w:tcBorders>
              <w:top w:val="nil"/>
              <w:bottom w:val="single" w:sz="4" w:space="0" w:color="auto"/>
            </w:tcBorders>
          </w:tcPr>
          <w:p w:rsidR="00BB3147" w:rsidRPr="003928D3" w:rsidRDefault="00BB3147" w:rsidP="00D45668">
            <w:pPr>
              <w:spacing w:line="360" w:lineRule="auto"/>
              <w:rPr>
                <w:sz w:val="21"/>
                <w:szCs w:val="21"/>
                <w:lang w:val="en-US"/>
              </w:rPr>
            </w:pPr>
            <w:r w:rsidRPr="003928D3">
              <w:rPr>
                <w:sz w:val="21"/>
                <w:szCs w:val="21"/>
                <w:lang w:val="en-US"/>
              </w:rPr>
              <w:t>POS</w:t>
            </w:r>
          </w:p>
        </w:tc>
        <w:tc>
          <w:tcPr>
            <w:tcW w:w="1137" w:type="dxa"/>
            <w:tcBorders>
              <w:top w:val="nil"/>
              <w:bottom w:val="single" w:sz="4" w:space="0" w:color="auto"/>
            </w:tcBorders>
          </w:tcPr>
          <w:p w:rsidR="00BB3147" w:rsidRPr="003928D3" w:rsidRDefault="00BB3147" w:rsidP="00D45668">
            <w:pPr>
              <w:spacing w:line="360" w:lineRule="auto"/>
              <w:jc w:val="center"/>
              <w:rPr>
                <w:sz w:val="21"/>
                <w:szCs w:val="21"/>
                <w:lang w:val="en-US"/>
              </w:rPr>
            </w:pPr>
            <w:r w:rsidRPr="003928D3">
              <w:rPr>
                <w:sz w:val="21"/>
                <w:szCs w:val="21"/>
                <w:lang w:val="en-US"/>
              </w:rPr>
              <w:t>14 (24)</w:t>
            </w:r>
          </w:p>
        </w:tc>
        <w:tc>
          <w:tcPr>
            <w:tcW w:w="1137" w:type="dxa"/>
            <w:tcBorders>
              <w:top w:val="nil"/>
              <w:bottom w:val="single" w:sz="4" w:space="0" w:color="auto"/>
            </w:tcBorders>
          </w:tcPr>
          <w:p w:rsidR="00BB3147" w:rsidRPr="003928D3" w:rsidRDefault="00BB3147" w:rsidP="00D45668">
            <w:pPr>
              <w:spacing w:line="360" w:lineRule="auto"/>
              <w:jc w:val="center"/>
              <w:rPr>
                <w:sz w:val="21"/>
                <w:szCs w:val="21"/>
                <w:lang w:val="en-US"/>
              </w:rPr>
            </w:pPr>
            <w:r w:rsidRPr="003928D3">
              <w:rPr>
                <w:sz w:val="21"/>
                <w:szCs w:val="21"/>
                <w:lang w:val="en-US"/>
              </w:rPr>
              <w:t>13 (20)</w:t>
            </w:r>
          </w:p>
          <w:p w:rsidR="00BB3147" w:rsidRPr="003928D3" w:rsidRDefault="00BB3147" w:rsidP="00D45668">
            <w:pPr>
              <w:spacing w:line="360" w:lineRule="auto"/>
              <w:jc w:val="center"/>
              <w:rPr>
                <w:sz w:val="21"/>
                <w:szCs w:val="21"/>
                <w:lang w:val="en-US"/>
              </w:rPr>
            </w:pPr>
          </w:p>
        </w:tc>
        <w:tc>
          <w:tcPr>
            <w:tcW w:w="1208" w:type="dxa"/>
            <w:tcBorders>
              <w:top w:val="nil"/>
              <w:bottom w:val="single" w:sz="4" w:space="0" w:color="auto"/>
            </w:tcBorders>
          </w:tcPr>
          <w:p w:rsidR="00BB3147" w:rsidRPr="003928D3" w:rsidRDefault="00BB3147" w:rsidP="00D45668">
            <w:pPr>
              <w:spacing w:line="360" w:lineRule="auto"/>
              <w:jc w:val="center"/>
              <w:rPr>
                <w:sz w:val="21"/>
                <w:szCs w:val="21"/>
                <w:lang w:val="en-US"/>
              </w:rPr>
            </w:pPr>
            <w:r w:rsidRPr="003928D3">
              <w:rPr>
                <w:sz w:val="21"/>
                <w:szCs w:val="21"/>
                <w:lang w:val="en-US"/>
              </w:rPr>
              <w:t>34 (14)</w:t>
            </w:r>
          </w:p>
          <w:p w:rsidR="00BB3147" w:rsidRPr="003928D3" w:rsidRDefault="00BB3147" w:rsidP="00D45668">
            <w:pPr>
              <w:spacing w:line="360" w:lineRule="auto"/>
              <w:jc w:val="center"/>
              <w:rPr>
                <w:sz w:val="21"/>
                <w:szCs w:val="21"/>
                <w:lang w:val="en-US"/>
              </w:rPr>
            </w:pPr>
          </w:p>
        </w:tc>
        <w:tc>
          <w:tcPr>
            <w:tcW w:w="1320" w:type="dxa"/>
            <w:tcBorders>
              <w:top w:val="nil"/>
              <w:bottom w:val="single" w:sz="4" w:space="0" w:color="auto"/>
            </w:tcBorders>
          </w:tcPr>
          <w:p w:rsidR="00BB3147" w:rsidRPr="003928D3" w:rsidRDefault="00BB3147" w:rsidP="00D45668">
            <w:pPr>
              <w:spacing w:line="360" w:lineRule="auto"/>
              <w:jc w:val="center"/>
              <w:rPr>
                <w:sz w:val="21"/>
                <w:szCs w:val="21"/>
                <w:lang w:val="en-US"/>
              </w:rPr>
            </w:pPr>
            <w:r w:rsidRPr="003928D3">
              <w:rPr>
                <w:sz w:val="21"/>
                <w:szCs w:val="21"/>
                <w:lang w:val="en-US"/>
              </w:rPr>
              <w:t xml:space="preserve">.01666 </w:t>
            </w:r>
          </w:p>
        </w:tc>
        <w:tc>
          <w:tcPr>
            <w:tcW w:w="0" w:type="auto"/>
            <w:tcBorders>
              <w:top w:val="nil"/>
              <w:bottom w:val="single" w:sz="4" w:space="0" w:color="auto"/>
            </w:tcBorders>
          </w:tcPr>
          <w:p w:rsidR="00BB3147" w:rsidRPr="008C0FFA" w:rsidRDefault="00BB3147" w:rsidP="00D45668">
            <w:pPr>
              <w:pStyle w:val="PrformatHTML"/>
              <w:shd w:val="clear" w:color="auto" w:fill="FFFFFF"/>
              <w:jc w:val="center"/>
              <w:rPr>
                <w:rFonts w:ascii="Times New Roman" w:hAnsi="Times New Roman" w:cs="Times New Roman"/>
                <w:color w:val="000000"/>
                <w:sz w:val="21"/>
                <w:szCs w:val="21"/>
                <w:lang w:val="en-US"/>
              </w:rPr>
            </w:pPr>
            <w:r w:rsidRPr="008C0FFA">
              <w:rPr>
                <w:rFonts w:ascii="Times New Roman" w:hAnsi="Times New Roman" w:cs="Times New Roman"/>
                <w:color w:val="000000"/>
                <w:sz w:val="21"/>
                <w:szCs w:val="21"/>
                <w:lang w:val="en-US"/>
              </w:rPr>
              <w:t xml:space="preserve"> .07</w:t>
            </w:r>
          </w:p>
          <w:p w:rsidR="00BB3147" w:rsidRPr="003928D3" w:rsidRDefault="00BB3147" w:rsidP="00D45668">
            <w:pPr>
              <w:pStyle w:val="PrformatHTML"/>
              <w:spacing w:line="360" w:lineRule="auto"/>
              <w:jc w:val="center"/>
              <w:rPr>
                <w:rFonts w:ascii="Times New Roman" w:hAnsi="Times New Roman" w:cs="Times New Roman"/>
                <w:color w:val="000000"/>
                <w:sz w:val="21"/>
                <w:szCs w:val="21"/>
                <w:lang w:val="en-US"/>
              </w:rPr>
            </w:pPr>
          </w:p>
        </w:tc>
        <w:tc>
          <w:tcPr>
            <w:tcW w:w="1031" w:type="dxa"/>
            <w:tcBorders>
              <w:top w:val="nil"/>
              <w:bottom w:val="single" w:sz="4" w:space="0" w:color="auto"/>
            </w:tcBorders>
          </w:tcPr>
          <w:p w:rsidR="00BB3147" w:rsidRPr="008C0FFA" w:rsidRDefault="00BB3147" w:rsidP="00D45668">
            <w:pPr>
              <w:pStyle w:val="PrformatHTML"/>
              <w:shd w:val="clear" w:color="auto" w:fill="FFFFFF"/>
              <w:jc w:val="center"/>
              <w:rPr>
                <w:rFonts w:ascii="Times New Roman" w:hAnsi="Times New Roman" w:cs="Times New Roman"/>
                <w:color w:val="000000"/>
                <w:sz w:val="21"/>
                <w:szCs w:val="21"/>
                <w:lang w:val="en-US"/>
              </w:rPr>
            </w:pPr>
            <w:r w:rsidRPr="008C0FFA">
              <w:rPr>
                <w:rFonts w:ascii="Times New Roman" w:hAnsi="Times New Roman" w:cs="Times New Roman"/>
                <w:color w:val="000000"/>
                <w:sz w:val="21"/>
                <w:szCs w:val="21"/>
                <w:lang w:val="en-US"/>
              </w:rPr>
              <w:t xml:space="preserve"> 0.88</w:t>
            </w:r>
          </w:p>
          <w:p w:rsidR="00BB3147" w:rsidRPr="003928D3" w:rsidRDefault="00BB3147" w:rsidP="00D45668">
            <w:pPr>
              <w:pStyle w:val="PrformatHTML"/>
              <w:spacing w:line="360" w:lineRule="auto"/>
              <w:jc w:val="center"/>
              <w:rPr>
                <w:rFonts w:ascii="Times New Roman" w:hAnsi="Times New Roman" w:cs="Times New Roman"/>
                <w:color w:val="000000"/>
                <w:sz w:val="21"/>
                <w:szCs w:val="21"/>
                <w:lang w:val="en-US"/>
              </w:rPr>
            </w:pPr>
          </w:p>
        </w:tc>
        <w:tc>
          <w:tcPr>
            <w:tcW w:w="1137" w:type="dxa"/>
            <w:tcBorders>
              <w:top w:val="nil"/>
              <w:bottom w:val="single" w:sz="4" w:space="0" w:color="auto"/>
            </w:tcBorders>
          </w:tcPr>
          <w:p w:rsidR="00BB3147" w:rsidRPr="008C0FFA" w:rsidRDefault="00BB3147" w:rsidP="00D45668">
            <w:pPr>
              <w:pStyle w:val="PrformatHTML"/>
              <w:shd w:val="clear" w:color="auto" w:fill="FFFFFF"/>
              <w:jc w:val="center"/>
              <w:rPr>
                <w:rFonts w:ascii="Times New Roman" w:hAnsi="Times New Roman" w:cs="Times New Roman"/>
                <w:b/>
                <w:color w:val="000000"/>
                <w:sz w:val="21"/>
                <w:szCs w:val="21"/>
                <w:lang w:val="en-US"/>
              </w:rPr>
            </w:pPr>
            <w:r w:rsidRPr="008C0FFA">
              <w:rPr>
                <w:rFonts w:ascii="Times New Roman" w:hAnsi="Times New Roman" w:cs="Times New Roman"/>
                <w:color w:val="000000"/>
                <w:sz w:val="21"/>
                <w:szCs w:val="21"/>
                <w:lang w:val="en-US"/>
              </w:rPr>
              <w:t xml:space="preserve"> </w:t>
            </w:r>
            <w:r w:rsidRPr="008C0FFA">
              <w:rPr>
                <w:rFonts w:ascii="Times New Roman" w:hAnsi="Times New Roman" w:cs="Times New Roman"/>
                <w:b/>
                <w:color w:val="000000"/>
                <w:sz w:val="21"/>
                <w:szCs w:val="21"/>
                <w:lang w:val="en-US"/>
              </w:rPr>
              <w:t>.02</w:t>
            </w:r>
          </w:p>
          <w:p w:rsidR="00BB3147" w:rsidRPr="008C0FFA" w:rsidRDefault="00BB3147" w:rsidP="00D45668">
            <w:pPr>
              <w:spacing w:line="360" w:lineRule="auto"/>
              <w:jc w:val="center"/>
              <w:rPr>
                <w:color w:val="000000"/>
                <w:sz w:val="21"/>
                <w:szCs w:val="21"/>
                <w:lang w:val="en-US"/>
              </w:rPr>
            </w:pPr>
          </w:p>
        </w:tc>
      </w:tr>
    </w:tbl>
    <w:p w:rsidR="00BB3147" w:rsidRDefault="00BB3147" w:rsidP="00BB3147">
      <w:pPr>
        <w:rPr>
          <w:b/>
          <w:bCs/>
          <w:lang w:val="en-US"/>
        </w:rPr>
      </w:pPr>
    </w:p>
    <w:p w:rsidR="00B47591" w:rsidRDefault="00B47591"/>
    <w:sectPr w:rsidR="00B47591" w:rsidSect="008F09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91"/>
    <w:rsid w:val="00341530"/>
    <w:rsid w:val="004D612D"/>
    <w:rsid w:val="005416AC"/>
    <w:rsid w:val="009960F6"/>
    <w:rsid w:val="00AC33DD"/>
    <w:rsid w:val="00B10569"/>
    <w:rsid w:val="00B47591"/>
    <w:rsid w:val="00BB3147"/>
    <w:rsid w:val="00D245A6"/>
    <w:rsid w:val="00DF7A2D"/>
    <w:rsid w:val="00E56882"/>
    <w:rsid w:val="00E679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FDFB"/>
  <w15:chartTrackingRefBased/>
  <w15:docId w15:val="{BA51F0D4-0E18-E249-A8D4-C9C06560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591"/>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47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B47591"/>
    <w:rPr>
      <w:rFonts w:ascii="Consolas" w:hAnsi="Consolas" w:cs="Consolas"/>
      <w:sz w:val="20"/>
      <w:szCs w:val="20"/>
    </w:rPr>
  </w:style>
  <w:style w:type="character" w:customStyle="1" w:styleId="PrformatHTMLCar">
    <w:name w:val="Préformaté HTML Car"/>
    <w:basedOn w:val="Policepardfaut"/>
    <w:link w:val="PrformatHTML"/>
    <w:uiPriority w:val="99"/>
    <w:rsid w:val="00B47591"/>
    <w:rPr>
      <w:rFonts w:ascii="Consolas" w:eastAsia="Times New Roman" w:hAnsi="Consolas" w:cs="Consolas"/>
      <w:sz w:val="20"/>
      <w:szCs w:val="20"/>
      <w:lang w:eastAsia="fr-FR"/>
    </w:rPr>
  </w:style>
  <w:style w:type="table" w:styleId="TableauGrille1Clair">
    <w:name w:val="Grid Table 1 Light"/>
    <w:basedOn w:val="TableauNormal"/>
    <w:uiPriority w:val="46"/>
    <w:rsid w:val="00AC33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1222</Words>
  <Characters>6725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2023-01-19T11:48:00Z</dcterms:created>
  <dcterms:modified xsi:type="dcterms:W3CDTF">2023-09-21T15:36:00Z</dcterms:modified>
</cp:coreProperties>
</file>