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15F869F" w14:textId="77777777" w:rsidR="0083244E" w:rsidRDefault="00F249D9">
      <w:pPr>
        <w:spacing w:line="480" w:lineRule="auto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SUPPLEMENTARY MATERIALS</w:t>
      </w:r>
    </w:p>
    <w:p w14:paraId="215F86A0" w14:textId="77777777" w:rsidR="0083244E" w:rsidRDefault="0083244E">
      <w:pPr>
        <w:spacing w:line="480" w:lineRule="auto"/>
        <w:rPr>
          <w:rFonts w:ascii="Times New Roman" w:eastAsia="Times New Roman" w:hAnsi="Times New Roman" w:cs="Times New Roman"/>
          <w:b/>
        </w:rPr>
      </w:pPr>
    </w:p>
    <w:p w14:paraId="215F86A1" w14:textId="77777777" w:rsidR="0083244E" w:rsidRDefault="00F249D9">
      <w:pPr>
        <w:spacing w:line="480" w:lineRule="auto"/>
        <w:rPr>
          <w:rFonts w:ascii="Times New Roman" w:eastAsia="Times New Roman" w:hAnsi="Times New Roman" w:cs="Times New Roman"/>
          <w:color w:val="1F1F1F"/>
          <w:sz w:val="24"/>
          <w:szCs w:val="24"/>
        </w:rPr>
      </w:pPr>
      <w:r>
        <w:rPr>
          <w:rFonts w:ascii="Times New Roman" w:eastAsia="Times New Roman" w:hAnsi="Times New Roman" w:cs="Times New Roman"/>
          <w:b/>
        </w:rPr>
        <w:t xml:space="preserve">Table S1. </w:t>
      </w:r>
      <w:r>
        <w:rPr>
          <w:rFonts w:ascii="Times New Roman" w:eastAsia="Times New Roman" w:hAnsi="Times New Roman" w:cs="Times New Roman"/>
        </w:rPr>
        <w:t>Risk of bias/quality assessment of the included studies using the SYRCLE’s risk of bias tool for animal studies (</w:t>
      </w:r>
      <w:proofErr w:type="spellStart"/>
      <w:r>
        <w:rPr>
          <w:rFonts w:ascii="Times New Roman" w:eastAsia="Times New Roman" w:hAnsi="Times New Roman" w:cs="Times New Roman"/>
        </w:rPr>
        <w:t>Hooijmans</w:t>
      </w:r>
      <w:proofErr w:type="spellEnd"/>
      <w:r>
        <w:rPr>
          <w:rFonts w:ascii="Times New Roman" w:eastAsia="Times New Roman" w:hAnsi="Times New Roman" w:cs="Times New Roman"/>
        </w:rPr>
        <w:t xml:space="preserve"> et al., 2014).</w:t>
      </w:r>
    </w:p>
    <w:tbl>
      <w:tblPr>
        <w:tblStyle w:val="a2"/>
        <w:tblW w:w="9435" w:type="dxa"/>
        <w:tblInd w:w="-75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245"/>
        <w:gridCol w:w="690"/>
        <w:gridCol w:w="720"/>
        <w:gridCol w:w="675"/>
        <w:gridCol w:w="690"/>
        <w:gridCol w:w="720"/>
        <w:gridCol w:w="660"/>
        <w:gridCol w:w="705"/>
        <w:gridCol w:w="660"/>
        <w:gridCol w:w="705"/>
        <w:gridCol w:w="705"/>
        <w:gridCol w:w="1260"/>
      </w:tblGrid>
      <w:tr w:rsidR="0083244E" w14:paraId="215F86A5" w14:textId="77777777">
        <w:trPr>
          <w:trHeight w:val="525"/>
        </w:trPr>
        <w:tc>
          <w:tcPr>
            <w:tcW w:w="1245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A2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  <w:t>Study</w:t>
            </w:r>
          </w:p>
        </w:tc>
        <w:tc>
          <w:tcPr>
            <w:tcW w:w="6930" w:type="dxa"/>
            <w:gridSpan w:val="10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A3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  <w:t>Item</w:t>
            </w:r>
          </w:p>
        </w:tc>
        <w:tc>
          <w:tcPr>
            <w:tcW w:w="1260" w:type="dxa"/>
            <w:vMerge w:val="restart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A4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  <w:t>Quality Rating</w:t>
            </w:r>
          </w:p>
        </w:tc>
      </w:tr>
      <w:tr w:rsidR="0083244E" w14:paraId="215F86B2" w14:textId="77777777">
        <w:trPr>
          <w:trHeight w:val="440"/>
        </w:trPr>
        <w:tc>
          <w:tcPr>
            <w:tcW w:w="1245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A6" w14:textId="77777777" w:rsidR="0083244E" w:rsidRDefault="0083244E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</w:pP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A7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  <w:t>1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A8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  <w:t>2</w:t>
            </w:r>
          </w:p>
        </w:tc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A9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  <w:t>3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AA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  <w:t>4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AB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  <w:t>5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AC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  <w:t>6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AD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  <w:t>7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AE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  <w:t>8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AF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  <w:t>9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B0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  <w:t>10</w:t>
            </w:r>
          </w:p>
        </w:tc>
        <w:tc>
          <w:tcPr>
            <w:tcW w:w="1260" w:type="dxa"/>
            <w:vMerge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B1" w14:textId="77777777" w:rsidR="0083244E" w:rsidRDefault="0083244E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4"/>
                <w:szCs w:val="24"/>
              </w:rPr>
            </w:pPr>
          </w:p>
        </w:tc>
      </w:tr>
      <w:tr w:rsidR="0083244E" w14:paraId="215F86BF" w14:textId="77777777">
        <w:trPr>
          <w:trHeight w:val="613"/>
        </w:trPr>
        <w:tc>
          <w:tcPr>
            <w:tcW w:w="12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B3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Belsham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et al. (2009)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B4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B5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B6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B7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B8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B9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BA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BB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BC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BD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BE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Times New Roman" w:eastAsia="Times New Roman" w:hAnsi="Times New Roman" w:cs="Times New Roman"/>
                <w:color w:val="1F1F1F"/>
              </w:rPr>
              <w:t>Good</w:t>
            </w:r>
          </w:p>
        </w:tc>
      </w:tr>
      <w:tr w:rsidR="0083244E" w14:paraId="215F86CC" w14:textId="77777777">
        <w:trPr>
          <w:trHeight w:val="613"/>
        </w:trPr>
        <w:tc>
          <w:tcPr>
            <w:tcW w:w="12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C0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Bertilsson et al. (2008)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C1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C2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C3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C4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C5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C6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C7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C8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C9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CA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CB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Times New Roman" w:eastAsia="Times New Roman" w:hAnsi="Times New Roman" w:cs="Times New Roman"/>
                <w:color w:val="1F1F1F"/>
              </w:rPr>
              <w:t>Fair</w:t>
            </w:r>
          </w:p>
        </w:tc>
      </w:tr>
      <w:tr w:rsidR="0083244E" w14:paraId="215F86D9" w14:textId="77777777">
        <w:trPr>
          <w:trHeight w:val="613"/>
        </w:trPr>
        <w:tc>
          <w:tcPr>
            <w:tcW w:w="12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CD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Bo et al. (2021)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CE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CF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D0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D1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D2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D3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D4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D5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D6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D7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D8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Times New Roman" w:eastAsia="Times New Roman" w:hAnsi="Times New Roman" w:cs="Times New Roman"/>
                <w:color w:val="1F1F1F"/>
              </w:rPr>
              <w:t>Poor</w:t>
            </w:r>
          </w:p>
        </w:tc>
      </w:tr>
      <w:tr w:rsidR="0083244E" w14:paraId="215F86E6" w14:textId="77777777">
        <w:trPr>
          <w:trHeight w:val="681"/>
        </w:trPr>
        <w:tc>
          <w:tcPr>
            <w:tcW w:w="12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DA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Darsalia et al. (2012)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DB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DC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DD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DE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DF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E0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E1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E2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E3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E4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E5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Times New Roman" w:eastAsia="Times New Roman" w:hAnsi="Times New Roman" w:cs="Times New Roman"/>
                <w:color w:val="1F1F1F"/>
              </w:rPr>
              <w:t>Fair</w:t>
            </w:r>
          </w:p>
        </w:tc>
      </w:tr>
      <w:tr w:rsidR="0083244E" w14:paraId="215F86F5" w14:textId="77777777">
        <w:trPr>
          <w:trHeight w:val="674"/>
        </w:trPr>
        <w:tc>
          <w:tcPr>
            <w:tcW w:w="12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E7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Hamilton et al. (2011)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E8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E9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  <w:p w14:paraId="215F86EA" w14:textId="77777777" w:rsidR="0083244E" w:rsidRDefault="0083244E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</w:p>
        </w:tc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EB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EC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ED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EE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  <w:p w14:paraId="215F86EF" w14:textId="77777777" w:rsidR="0083244E" w:rsidRDefault="0083244E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F0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F1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F2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F3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F4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Times New Roman" w:eastAsia="Times New Roman" w:hAnsi="Times New Roman" w:cs="Times New Roman"/>
                <w:color w:val="1F1F1F"/>
              </w:rPr>
              <w:t>Fair</w:t>
            </w:r>
          </w:p>
        </w:tc>
      </w:tr>
      <w:tr w:rsidR="0083244E" w14:paraId="215F8704" w14:textId="77777777">
        <w:trPr>
          <w:trHeight w:val="613"/>
        </w:trPr>
        <w:tc>
          <w:tcPr>
            <w:tcW w:w="12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F6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Hunter and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Hölscher (2012)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F7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F8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  <w:p w14:paraId="215F86F9" w14:textId="77777777" w:rsidR="0083244E" w:rsidRDefault="0083244E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</w:p>
        </w:tc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FA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FB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FC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FD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  <w:p w14:paraId="215F86FE" w14:textId="77777777" w:rsidR="0083244E" w:rsidRDefault="0083244E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6FF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00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01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02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03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Times New Roman" w:eastAsia="Times New Roman" w:hAnsi="Times New Roman" w:cs="Times New Roman"/>
                <w:color w:val="1F1F1F"/>
              </w:rPr>
              <w:t>Poor</w:t>
            </w:r>
          </w:p>
        </w:tc>
      </w:tr>
      <w:tr w:rsidR="0083244E" w14:paraId="215F8712" w14:textId="77777777">
        <w:trPr>
          <w:trHeight w:val="630"/>
        </w:trPr>
        <w:tc>
          <w:tcPr>
            <w:tcW w:w="12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05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Lennox et al. (2013)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06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07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08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09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  <w:p w14:paraId="215F870A" w14:textId="77777777" w:rsidR="0083244E" w:rsidRDefault="0083244E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0B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0C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0D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0E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0F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10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11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Times New Roman" w:eastAsia="Times New Roman" w:hAnsi="Times New Roman" w:cs="Times New Roman"/>
                <w:color w:val="1F1F1F"/>
              </w:rPr>
              <w:t>Fair</w:t>
            </w:r>
          </w:p>
        </w:tc>
      </w:tr>
      <w:tr w:rsidR="0083244E" w14:paraId="215F8720" w14:textId="77777777">
        <w:trPr>
          <w:trHeight w:val="613"/>
        </w:trPr>
        <w:tc>
          <w:tcPr>
            <w:tcW w:w="124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13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McGovern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et al. (2012)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14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lastRenderedPageBreak/>
              <w:t>X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15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16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17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  <w:p w14:paraId="215F8718" w14:textId="77777777" w:rsidR="0083244E" w:rsidRDefault="0083244E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19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lastRenderedPageBreak/>
              <w:t>NR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1A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1B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1C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1D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1E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1F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Times New Roman" w:eastAsia="Times New Roman" w:hAnsi="Times New Roman" w:cs="Times New Roman"/>
                <w:color w:val="1F1F1F"/>
              </w:rPr>
              <w:t>Good</w:t>
            </w:r>
          </w:p>
        </w:tc>
      </w:tr>
      <w:tr w:rsidR="0083244E" w14:paraId="215F872D" w14:textId="77777777">
        <w:trPr>
          <w:trHeight w:val="613"/>
        </w:trPr>
        <w:tc>
          <w:tcPr>
            <w:tcW w:w="12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21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Pathak et al. (2018)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22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23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24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25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26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27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28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29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2A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2B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2C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Times New Roman" w:eastAsia="Times New Roman" w:hAnsi="Times New Roman" w:cs="Times New Roman"/>
                <w:color w:val="1F1F1F"/>
              </w:rPr>
              <w:t>Good</w:t>
            </w:r>
          </w:p>
        </w:tc>
      </w:tr>
      <w:tr w:rsidR="0083244E" w14:paraId="215F873A" w14:textId="77777777">
        <w:trPr>
          <w:trHeight w:val="613"/>
        </w:trPr>
        <w:tc>
          <w:tcPr>
            <w:tcW w:w="12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2E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Parthsarathy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and Hölscher (2013)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2F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30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31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32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33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34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35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36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37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38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39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Times New Roman" w:eastAsia="Times New Roman" w:hAnsi="Times New Roman" w:cs="Times New Roman"/>
                <w:color w:val="1F1F1F"/>
              </w:rPr>
              <w:t>Fair</w:t>
            </w:r>
          </w:p>
        </w:tc>
      </w:tr>
      <w:tr w:rsidR="0083244E" w14:paraId="215F8747" w14:textId="77777777">
        <w:trPr>
          <w:trHeight w:val="613"/>
        </w:trPr>
        <w:tc>
          <w:tcPr>
            <w:tcW w:w="12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3B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Ren et al. (2021)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3C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3D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3E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3F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40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41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42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43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44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45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46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Times New Roman" w:eastAsia="Times New Roman" w:hAnsi="Times New Roman" w:cs="Times New Roman"/>
                <w:color w:val="1F1F1F"/>
              </w:rPr>
              <w:t>Fair</w:t>
            </w:r>
          </w:p>
        </w:tc>
      </w:tr>
      <w:tr w:rsidR="0083244E" w14:paraId="215F8754" w14:textId="77777777">
        <w:trPr>
          <w:trHeight w:val="613"/>
        </w:trPr>
        <w:tc>
          <w:tcPr>
            <w:tcW w:w="12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48" w14:textId="77777777" w:rsidR="0083244E" w:rsidRPr="001D5058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color w:val="1F1F1F"/>
                <w:sz w:val="20"/>
                <w:szCs w:val="20"/>
              </w:rPr>
            </w:pPr>
            <w:r w:rsidRPr="001D5058">
              <w:rPr>
                <w:rFonts w:ascii="Times New Roman" w:eastAsia="Times New Roman" w:hAnsi="Times New Roman" w:cs="Times New Roman"/>
                <w:color w:val="1F1F1F"/>
                <w:sz w:val="20"/>
                <w:szCs w:val="20"/>
              </w:rPr>
              <w:t>Salles et al. (2018)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49" w14:textId="631355AD" w:rsidR="0083244E" w:rsidRDefault="001D5058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4A" w14:textId="36EB8174" w:rsidR="0083244E" w:rsidRDefault="001D5058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4B" w14:textId="12807174" w:rsidR="0083244E" w:rsidRDefault="001D5058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4C" w14:textId="15DD546B" w:rsidR="0083244E" w:rsidRDefault="001D5058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4D" w14:textId="77777777" w:rsidR="0083244E" w:rsidRPr="001D5058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F1F1F"/>
                <w:sz w:val="18"/>
                <w:szCs w:val="18"/>
              </w:rPr>
            </w:pPr>
            <w:r w:rsidRPr="001D5058">
              <w:rPr>
                <w:rFonts w:ascii="Times New Roman" w:eastAsia="Times New Roman" w:hAnsi="Times New Roman" w:cs="Times New Roman"/>
                <w:b/>
                <w:bCs/>
                <w:color w:val="1F1F1F"/>
                <w:sz w:val="18"/>
                <w:szCs w:val="18"/>
              </w:rPr>
              <w:t>NR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4E" w14:textId="76EF9FFC" w:rsidR="0083244E" w:rsidRPr="001D5058" w:rsidRDefault="001D5058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4F" w14:textId="77777777" w:rsidR="0083244E" w:rsidRPr="001D5058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1F1F1F"/>
                <w:sz w:val="18"/>
                <w:szCs w:val="18"/>
              </w:rPr>
            </w:pPr>
            <w:r w:rsidRPr="001D5058">
              <w:rPr>
                <w:rFonts w:ascii="Times New Roman" w:eastAsia="Times New Roman" w:hAnsi="Times New Roman" w:cs="Times New Roman"/>
                <w:b/>
                <w:bCs/>
                <w:color w:val="1F1F1F"/>
                <w:sz w:val="18"/>
                <w:szCs w:val="18"/>
              </w:rPr>
              <w:t>NR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50" w14:textId="6D3671FC" w:rsidR="0083244E" w:rsidRDefault="001D5058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51" w14:textId="331EA6C8" w:rsidR="0083244E" w:rsidRDefault="001D5058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52" w14:textId="1680EAEF" w:rsidR="0083244E" w:rsidRDefault="001D5058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53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Times New Roman" w:eastAsia="Times New Roman" w:hAnsi="Times New Roman" w:cs="Times New Roman"/>
                <w:color w:val="1F1F1F"/>
              </w:rPr>
              <w:t>Good</w:t>
            </w:r>
          </w:p>
        </w:tc>
      </w:tr>
      <w:tr w:rsidR="0083244E" w14:paraId="215F8761" w14:textId="77777777">
        <w:trPr>
          <w:trHeight w:val="613"/>
        </w:trPr>
        <w:tc>
          <w:tcPr>
            <w:tcW w:w="12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55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Sampedro et al. (2019)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56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57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58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59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5A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5B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5C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5D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5E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5F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60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Times New Roman" w:eastAsia="Times New Roman" w:hAnsi="Times New Roman" w:cs="Times New Roman"/>
                <w:color w:val="1F1F1F"/>
              </w:rPr>
              <w:t>Good</w:t>
            </w:r>
          </w:p>
        </w:tc>
      </w:tr>
      <w:tr w:rsidR="0083244E" w14:paraId="215F876E" w14:textId="77777777">
        <w:trPr>
          <w:trHeight w:val="613"/>
        </w:trPr>
        <w:tc>
          <w:tcPr>
            <w:tcW w:w="12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62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Solmaz et al. (2015)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63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64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65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66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67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68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69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6A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6B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6C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6D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Times New Roman" w:eastAsia="Times New Roman" w:hAnsi="Times New Roman" w:cs="Times New Roman"/>
                <w:color w:val="1F1F1F"/>
              </w:rPr>
              <w:t>Good</w:t>
            </w:r>
          </w:p>
        </w:tc>
      </w:tr>
      <w:tr w:rsidR="0083244E" w14:paraId="215F877B" w14:textId="77777777">
        <w:trPr>
          <w:trHeight w:val="613"/>
        </w:trPr>
        <w:tc>
          <w:tcPr>
            <w:tcW w:w="12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6F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Weina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et al. (2018)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70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71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72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73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74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75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76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77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20"/>
                <w:szCs w:val="20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78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79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7A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Times New Roman" w:eastAsia="Times New Roman" w:hAnsi="Times New Roman" w:cs="Times New Roman"/>
                <w:color w:val="1F1F1F"/>
              </w:rPr>
              <w:t>Good</w:t>
            </w:r>
          </w:p>
        </w:tc>
      </w:tr>
      <w:tr w:rsidR="0083244E" w14:paraId="215F8788" w14:textId="77777777">
        <w:trPr>
          <w:trHeight w:val="613"/>
        </w:trPr>
        <w:tc>
          <w:tcPr>
            <w:tcW w:w="12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7C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Yang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et al. (2019)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7D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7E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7F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80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81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82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NR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83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84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85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86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87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Times New Roman" w:eastAsia="Times New Roman" w:hAnsi="Times New Roman" w:cs="Times New Roman"/>
                <w:color w:val="1F1F1F"/>
              </w:rPr>
              <w:t>Good</w:t>
            </w:r>
          </w:p>
        </w:tc>
      </w:tr>
      <w:tr w:rsidR="0083244E" w14:paraId="215F8795" w14:textId="77777777">
        <w:trPr>
          <w:trHeight w:val="613"/>
        </w:trPr>
        <w:tc>
          <w:tcPr>
            <w:tcW w:w="124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89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Zhao et al. (2022)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8A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8B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7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8C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6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8D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8E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8F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90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  <w:t>X</w:t>
            </w:r>
          </w:p>
        </w:tc>
        <w:tc>
          <w:tcPr>
            <w:tcW w:w="6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91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92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70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93" w14:textId="77777777" w:rsidR="0083244E" w:rsidRDefault="00F249D9">
            <w:pPr>
              <w:spacing w:line="480" w:lineRule="auto"/>
              <w:jc w:val="center"/>
              <w:rPr>
                <w:rFonts w:ascii="Times New Roman" w:eastAsia="Times New Roman" w:hAnsi="Times New Roman" w:cs="Times New Roman"/>
                <w:b/>
                <w:color w:val="1F1F1F"/>
                <w:sz w:val="18"/>
                <w:szCs w:val="18"/>
              </w:rPr>
            </w:pPr>
            <w:r>
              <w:rPr>
                <w:rFonts w:ascii="Arial Unicode MS" w:eastAsia="Arial Unicode MS" w:hAnsi="Arial Unicode MS" w:cs="Arial Unicode MS"/>
                <w:b/>
                <w:color w:val="1F1F1F"/>
                <w:sz w:val="18"/>
                <w:szCs w:val="18"/>
              </w:rPr>
              <w:t>✓</w:t>
            </w:r>
          </w:p>
        </w:tc>
        <w:tc>
          <w:tcPr>
            <w:tcW w:w="126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94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color w:val="1F1F1F"/>
              </w:rPr>
            </w:pPr>
            <w:r>
              <w:rPr>
                <w:rFonts w:ascii="Times New Roman" w:eastAsia="Times New Roman" w:hAnsi="Times New Roman" w:cs="Times New Roman"/>
                <w:color w:val="1F1F1F"/>
              </w:rPr>
              <w:t>Fair</w:t>
            </w:r>
          </w:p>
        </w:tc>
      </w:tr>
    </w:tbl>
    <w:p w14:paraId="215F8796" w14:textId="77777777" w:rsidR="0083244E" w:rsidRPr="002C4592" w:rsidRDefault="00F249D9">
      <w:pPr>
        <w:spacing w:line="480" w:lineRule="auto"/>
        <w:rPr>
          <w:rFonts w:ascii="Times New Roman" w:eastAsia="Times New Roman" w:hAnsi="Times New Roman" w:cs="Times New Roman"/>
          <w:color w:val="1F1F1F"/>
          <w:sz w:val="20"/>
          <w:szCs w:val="20"/>
        </w:rPr>
      </w:pPr>
      <w:r w:rsidRPr="002C4592">
        <w:rPr>
          <w:rFonts w:ascii="Times New Roman" w:eastAsia="Arial Unicode MS" w:hAnsi="Times New Roman" w:cs="Times New Roman"/>
          <w:color w:val="1F1F1F"/>
          <w:sz w:val="20"/>
          <w:szCs w:val="20"/>
        </w:rPr>
        <w:t xml:space="preserve">Symbols: </w:t>
      </w:r>
      <w:r w:rsidRPr="002C4592">
        <w:rPr>
          <w:rFonts w:ascii="Segoe UI Symbol" w:eastAsia="Arial Unicode MS" w:hAnsi="Segoe UI Symbol" w:cs="Segoe UI Symbol"/>
          <w:color w:val="1F1F1F"/>
          <w:sz w:val="20"/>
          <w:szCs w:val="20"/>
        </w:rPr>
        <w:t>✓</w:t>
      </w:r>
      <w:r w:rsidRPr="002C4592">
        <w:rPr>
          <w:rFonts w:ascii="Times New Roman" w:eastAsia="Arial Unicode MS" w:hAnsi="Times New Roman" w:cs="Times New Roman"/>
          <w:color w:val="1F1F1F"/>
          <w:sz w:val="20"/>
          <w:szCs w:val="20"/>
        </w:rPr>
        <w:t xml:space="preserve"> - yes; X - no</w:t>
      </w:r>
    </w:p>
    <w:p w14:paraId="215F8797" w14:textId="77777777" w:rsidR="0083244E" w:rsidRPr="002C4592" w:rsidRDefault="00F249D9">
      <w:pPr>
        <w:widowControl w:val="0"/>
        <w:spacing w:line="480" w:lineRule="auto"/>
        <w:rPr>
          <w:rFonts w:ascii="Times New Roman" w:eastAsia="Times New Roman" w:hAnsi="Times New Roman" w:cs="Times New Roman"/>
        </w:rPr>
        <w:sectPr w:rsidR="0083244E" w:rsidRPr="002C4592">
          <w:headerReference w:type="default" r:id="rId7"/>
          <w:footerReference w:type="default" r:id="rId8"/>
          <w:pgSz w:w="12240" w:h="15840"/>
          <w:pgMar w:top="1440" w:right="1440" w:bottom="1440" w:left="1440" w:header="720" w:footer="720" w:gutter="0"/>
          <w:cols w:space="720"/>
        </w:sectPr>
      </w:pPr>
      <w:r w:rsidRPr="002C4592">
        <w:rPr>
          <w:rFonts w:ascii="Times New Roman" w:eastAsia="Times New Roman" w:hAnsi="Times New Roman" w:cs="Times New Roman"/>
          <w:color w:val="1F1F1F"/>
          <w:sz w:val="20"/>
          <w:szCs w:val="20"/>
        </w:rPr>
        <w:t>Abbreviations: NR = not reported; NA = not applicable</w:t>
      </w:r>
    </w:p>
    <w:p w14:paraId="215F8798" w14:textId="71699DD7" w:rsidR="0083244E" w:rsidRDefault="00F249D9">
      <w:pPr>
        <w:spacing w:line="480" w:lineRule="auto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</w:rPr>
        <w:lastRenderedPageBreak/>
        <w:t xml:space="preserve">Table S2. </w:t>
      </w:r>
      <w:r>
        <w:rPr>
          <w:rFonts w:ascii="Times New Roman" w:eastAsia="Times New Roman" w:hAnsi="Times New Roman" w:cs="Times New Roman"/>
        </w:rPr>
        <w:t>Studies excluded from data extraction.</w:t>
      </w:r>
    </w:p>
    <w:tbl>
      <w:tblPr>
        <w:tblStyle w:val="a3"/>
        <w:tblW w:w="13215" w:type="dxa"/>
        <w:tblInd w:w="-2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890"/>
        <w:gridCol w:w="4575"/>
        <w:gridCol w:w="6750"/>
      </w:tblGrid>
      <w:tr w:rsidR="0083244E" w14:paraId="215F879C" w14:textId="77777777">
        <w:tc>
          <w:tcPr>
            <w:tcW w:w="189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99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Author(s)</w:t>
            </w:r>
          </w:p>
        </w:tc>
        <w:tc>
          <w:tcPr>
            <w:tcW w:w="4575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9A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Study DOI</w:t>
            </w:r>
          </w:p>
        </w:tc>
        <w:tc>
          <w:tcPr>
            <w:tcW w:w="6750" w:type="dxa"/>
            <w:shd w:val="clear" w:color="auto" w:fill="D9D9D9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9B" w14:textId="77777777" w:rsidR="0083244E" w:rsidRDefault="00F249D9">
            <w:pPr>
              <w:widowControl w:val="0"/>
              <w:spacing w:line="48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Reason of Exclusion</w:t>
            </w:r>
          </w:p>
        </w:tc>
      </w:tr>
      <w:tr w:rsidR="0083244E" w14:paraId="215F879E" w14:textId="77777777">
        <w:trPr>
          <w:trHeight w:val="400"/>
        </w:trPr>
        <w:tc>
          <w:tcPr>
            <w:tcW w:w="13215" w:type="dxa"/>
            <w:gridSpan w:val="3"/>
            <w:shd w:val="clear" w:color="auto" w:fill="EFEFE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9D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Excluded</w:t>
            </w:r>
          </w:p>
        </w:tc>
      </w:tr>
      <w:tr w:rsidR="0083244E" w14:paraId="215F87A3" w14:textId="77777777">
        <w:trPr>
          <w:trHeight w:val="400"/>
        </w:trPr>
        <w:tc>
          <w:tcPr>
            <w:tcW w:w="18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9F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Abdelkawy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et al. (2024)</w:t>
            </w:r>
          </w:p>
        </w:tc>
        <w:tc>
          <w:tcPr>
            <w:tcW w:w="4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A0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https://dx.doi.org/10.1016/j.ejphar.2024.176525 </w:t>
            </w:r>
          </w:p>
        </w:tc>
        <w:tc>
          <w:tcPr>
            <w:tcW w:w="67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A1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Wrong outcomes.</w:t>
            </w:r>
          </w:p>
          <w:p w14:paraId="215F87A2" w14:textId="77777777" w:rsidR="0083244E" w:rsidRDefault="00F249D9">
            <w:pPr>
              <w:widowControl w:val="0"/>
              <w:numPr>
                <w:ilvl w:val="0"/>
                <w:numId w:val="17"/>
              </w:numPr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 specific neuronal marker was used. Rather, molecular indicators of factors that may be implicated in neurogenesis were used.</w:t>
            </w:r>
          </w:p>
        </w:tc>
      </w:tr>
      <w:tr w:rsidR="0083244E" w14:paraId="215F87A8" w14:textId="77777777">
        <w:trPr>
          <w:trHeight w:val="400"/>
        </w:trPr>
        <w:tc>
          <w:tcPr>
            <w:tcW w:w="18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A4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Augestead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et al. (2022)</w:t>
            </w:r>
          </w:p>
        </w:tc>
        <w:tc>
          <w:tcPr>
            <w:tcW w:w="4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A5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https://dx.doi.org/10.1111/bph.15524</w:t>
            </w:r>
          </w:p>
        </w:tc>
        <w:tc>
          <w:tcPr>
            <w:tcW w:w="67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A6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Wrong outcomes.</w:t>
            </w:r>
          </w:p>
          <w:p w14:paraId="215F87A7" w14:textId="77777777" w:rsidR="0083244E" w:rsidRDefault="00F249D9">
            <w:pPr>
              <w:widowControl w:val="0"/>
              <w:numPr>
                <w:ilvl w:val="0"/>
                <w:numId w:val="12"/>
              </w:numPr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No specific examination of GLP-1 RAs on neurogenesis.</w:t>
            </w:r>
          </w:p>
        </w:tc>
      </w:tr>
      <w:tr w:rsidR="0083244E" w14:paraId="215F87AD" w14:textId="77777777">
        <w:trPr>
          <w:trHeight w:val="400"/>
        </w:trPr>
        <w:tc>
          <w:tcPr>
            <w:tcW w:w="189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A9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Aviles-Olmos et al. (2012)</w:t>
            </w:r>
          </w:p>
        </w:tc>
        <w:tc>
          <w:tcPr>
            <w:tcW w:w="457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AA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https://doi.org/10.1002/mds.25051</w:t>
            </w:r>
          </w:p>
        </w:tc>
        <w:tc>
          <w:tcPr>
            <w:tcW w:w="675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AB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Wrong study design.</w:t>
            </w:r>
          </w:p>
          <w:p w14:paraId="215F87AC" w14:textId="77777777" w:rsidR="0083244E" w:rsidRDefault="00F249D9">
            <w:pPr>
              <w:widowControl w:val="0"/>
              <w:numPr>
                <w:ilvl w:val="0"/>
                <w:numId w:val="11"/>
              </w:numPr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The article is a poster presentation.</w:t>
            </w:r>
          </w:p>
        </w:tc>
      </w:tr>
      <w:tr w:rsidR="0083244E" w14:paraId="215F87B2" w14:textId="77777777">
        <w:trPr>
          <w:trHeight w:val="400"/>
        </w:trPr>
        <w:tc>
          <w:tcPr>
            <w:tcW w:w="189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AE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Coplan et al. (2014)</w:t>
            </w:r>
          </w:p>
        </w:tc>
        <w:tc>
          <w:tcPr>
            <w:tcW w:w="457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AF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https://doi.org/10.1155/2014/917981</w:t>
            </w:r>
          </w:p>
        </w:tc>
        <w:tc>
          <w:tcPr>
            <w:tcW w:w="675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B0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Wrong comparator.</w:t>
            </w:r>
          </w:p>
          <w:p w14:paraId="215F87B1" w14:textId="77777777" w:rsidR="0083244E" w:rsidRDefault="00F249D9">
            <w:pPr>
              <w:widowControl w:val="0"/>
              <w:numPr>
                <w:ilvl w:val="0"/>
                <w:numId w:val="8"/>
              </w:numPr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The study does not capture the association of GLP-1 administration on neurogenesis.</w:t>
            </w:r>
          </w:p>
        </w:tc>
      </w:tr>
      <w:tr w:rsidR="0083244E" w14:paraId="215F87B7" w14:textId="77777777">
        <w:trPr>
          <w:trHeight w:val="400"/>
        </w:trPr>
        <w:tc>
          <w:tcPr>
            <w:tcW w:w="189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B3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Diz-Chaves et al. (2022)</w:t>
            </w:r>
          </w:p>
        </w:tc>
        <w:tc>
          <w:tcPr>
            <w:tcW w:w="457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B4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https://dx.doi.org/10.1016/bs.vh.2021.12.005</w:t>
            </w:r>
          </w:p>
        </w:tc>
        <w:tc>
          <w:tcPr>
            <w:tcW w:w="675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B5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Wrong study design.</w:t>
            </w:r>
          </w:p>
          <w:p w14:paraId="215F87B6" w14:textId="77777777" w:rsidR="0083244E" w:rsidRDefault="00F249D9">
            <w:pPr>
              <w:widowControl w:val="0"/>
              <w:numPr>
                <w:ilvl w:val="0"/>
                <w:numId w:val="18"/>
              </w:numPr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The article is a book chapter that uses secondary results.</w:t>
            </w:r>
          </w:p>
        </w:tc>
      </w:tr>
      <w:tr w:rsidR="0083244E" w14:paraId="215F87BC" w14:textId="77777777">
        <w:trPr>
          <w:trHeight w:val="400"/>
        </w:trPr>
        <w:tc>
          <w:tcPr>
            <w:tcW w:w="189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B8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Harkavyi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et al.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(2008)</w:t>
            </w:r>
          </w:p>
        </w:tc>
        <w:tc>
          <w:tcPr>
            <w:tcW w:w="457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B9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https://doi.org/10.1186/1742-2094-5-19</w:t>
            </w:r>
          </w:p>
        </w:tc>
        <w:tc>
          <w:tcPr>
            <w:tcW w:w="675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BA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Wrong outcomes.</w:t>
            </w:r>
          </w:p>
          <w:p w14:paraId="215F87BB" w14:textId="77777777" w:rsidR="0083244E" w:rsidRDefault="00F249D9">
            <w:pPr>
              <w:widowControl w:val="0"/>
              <w:numPr>
                <w:ilvl w:val="0"/>
                <w:numId w:val="4"/>
              </w:numPr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The article examines changes in neurotransmitter levels rather than examining changes in cell population, hence out of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the scope of this study.</w:t>
            </w:r>
          </w:p>
        </w:tc>
      </w:tr>
      <w:tr w:rsidR="0083244E" w14:paraId="215F87C1" w14:textId="77777777">
        <w:trPr>
          <w:trHeight w:val="400"/>
        </w:trPr>
        <w:tc>
          <w:tcPr>
            <w:tcW w:w="189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BD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Harkavyi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et al. (2013)</w:t>
            </w:r>
          </w:p>
        </w:tc>
        <w:tc>
          <w:tcPr>
            <w:tcW w:w="457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BE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https://doi.org/10.1155/2013/407152</w:t>
            </w:r>
          </w:p>
        </w:tc>
        <w:tc>
          <w:tcPr>
            <w:tcW w:w="675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BF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Wrong outcomes.</w:t>
            </w:r>
          </w:p>
          <w:p w14:paraId="215F87C0" w14:textId="77777777" w:rsidR="0083244E" w:rsidRDefault="00F249D9">
            <w:pPr>
              <w:widowControl w:val="0"/>
              <w:numPr>
                <w:ilvl w:val="0"/>
                <w:numId w:val="16"/>
              </w:numPr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Outcomes did not examine changes in comparison to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a baseline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. </w:t>
            </w:r>
          </w:p>
        </w:tc>
      </w:tr>
      <w:tr w:rsidR="0083244E" w14:paraId="215F87C6" w14:textId="77777777">
        <w:trPr>
          <w:trHeight w:val="400"/>
        </w:trPr>
        <w:tc>
          <w:tcPr>
            <w:tcW w:w="189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C2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Imrich et al. (2020)</w:t>
            </w:r>
          </w:p>
        </w:tc>
        <w:tc>
          <w:tcPr>
            <w:tcW w:w="457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C3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https://dx.doi.org/10.1007/s13311-020-00896-5</w:t>
            </w:r>
          </w:p>
        </w:tc>
        <w:tc>
          <w:tcPr>
            <w:tcW w:w="675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C4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Wrong study design.</w:t>
            </w:r>
          </w:p>
          <w:p w14:paraId="215F87C5" w14:textId="77777777" w:rsidR="0083244E" w:rsidRDefault="00F249D9">
            <w:pPr>
              <w:widowControl w:val="0"/>
              <w:numPr>
                <w:ilvl w:val="0"/>
                <w:numId w:val="2"/>
              </w:numPr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The study is an abstract.</w:t>
            </w:r>
          </w:p>
        </w:tc>
      </w:tr>
      <w:tr w:rsidR="0083244E" w14:paraId="215F87CB" w14:textId="77777777">
        <w:trPr>
          <w:trHeight w:val="400"/>
        </w:trPr>
        <w:tc>
          <w:tcPr>
            <w:tcW w:w="189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C7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Li et al. (2016)</w:t>
            </w:r>
          </w:p>
        </w:tc>
        <w:tc>
          <w:tcPr>
            <w:tcW w:w="457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C8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https://dx.doi.org/10.4103/1673-5374.177742</w:t>
            </w:r>
          </w:p>
        </w:tc>
        <w:tc>
          <w:tcPr>
            <w:tcW w:w="675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C9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Wrong outcomes.</w:t>
            </w:r>
          </w:p>
          <w:p w14:paraId="215F87CA" w14:textId="77777777" w:rsidR="0083244E" w:rsidRDefault="00F249D9">
            <w:pPr>
              <w:widowControl w:val="0"/>
              <w:numPr>
                <w:ilvl w:val="0"/>
                <w:numId w:val="3"/>
              </w:numPr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The study does not have information regarding the association between GLP-1 and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neurogenesis.</w:t>
            </w:r>
          </w:p>
        </w:tc>
      </w:tr>
      <w:tr w:rsidR="0083244E" w14:paraId="215F87D0" w14:textId="77777777">
        <w:trPr>
          <w:trHeight w:val="400"/>
        </w:trPr>
        <w:tc>
          <w:tcPr>
            <w:tcW w:w="189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CC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Mansouri et al. (2014)</w:t>
            </w:r>
          </w:p>
        </w:tc>
        <w:tc>
          <w:tcPr>
            <w:tcW w:w="457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CD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https://dx.doi.org/10.4172/2155-6156.1000409</w:t>
            </w:r>
          </w:p>
        </w:tc>
        <w:tc>
          <w:tcPr>
            <w:tcW w:w="675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CE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Wrong outcomes.</w:t>
            </w:r>
          </w:p>
          <w:p w14:paraId="215F87CF" w14:textId="77777777" w:rsidR="0083244E" w:rsidRDefault="00F249D9">
            <w:pPr>
              <w:widowControl w:val="0"/>
              <w:numPr>
                <w:ilvl w:val="0"/>
                <w:numId w:val="1"/>
              </w:numPr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The study examines the neuroprotective effects of GLP-1, but not the association between GLP-1 and neurogenesis.</w:t>
            </w:r>
          </w:p>
        </w:tc>
      </w:tr>
      <w:tr w:rsidR="0083244E" w14:paraId="215F87D5" w14:textId="77777777">
        <w:trPr>
          <w:trHeight w:val="400"/>
        </w:trPr>
        <w:tc>
          <w:tcPr>
            <w:tcW w:w="189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D1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Porter et al. (2013)</w:t>
            </w:r>
          </w:p>
        </w:tc>
        <w:tc>
          <w:tcPr>
            <w:tcW w:w="457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D2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https://dx.doi.org/10.1038/ijo.2012.91</w:t>
            </w:r>
          </w:p>
        </w:tc>
        <w:tc>
          <w:tcPr>
            <w:tcW w:w="675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D3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Wrong outcomes.</w:t>
            </w:r>
          </w:p>
          <w:p w14:paraId="215F87D4" w14:textId="77777777" w:rsidR="0083244E" w:rsidRDefault="00F249D9">
            <w:pPr>
              <w:widowControl w:val="0"/>
              <w:numPr>
                <w:ilvl w:val="0"/>
                <w:numId w:val="9"/>
              </w:numPr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The study does not examine the role of GLP-1 on neurogenesis.</w:t>
            </w:r>
          </w:p>
        </w:tc>
      </w:tr>
      <w:tr w:rsidR="0083244E" w14:paraId="215F87DB" w14:textId="77777777">
        <w:trPr>
          <w:trHeight w:val="400"/>
        </w:trPr>
        <w:tc>
          <w:tcPr>
            <w:tcW w:w="189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D6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Tai et al. (2018)</w:t>
            </w:r>
          </w:p>
        </w:tc>
        <w:tc>
          <w:tcPr>
            <w:tcW w:w="457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D7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https://dx.doi.org/10.1016/j.brainres.2017.10.012</w:t>
            </w:r>
          </w:p>
        </w:tc>
        <w:tc>
          <w:tcPr>
            <w:tcW w:w="675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D8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Wrong intervention.</w:t>
            </w:r>
          </w:p>
          <w:p w14:paraId="215F87D9" w14:textId="77777777" w:rsidR="0083244E" w:rsidRDefault="00F249D9">
            <w:pPr>
              <w:widowControl w:val="0"/>
              <w:numPr>
                <w:ilvl w:val="0"/>
                <w:numId w:val="10"/>
              </w:numPr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The study uses a triple receptor agonist, acting on various other receptors which may introduce confounds to the study.</w:t>
            </w:r>
          </w:p>
          <w:p w14:paraId="215F87DA" w14:textId="77777777" w:rsidR="0083244E" w:rsidRDefault="00F249D9">
            <w:pPr>
              <w:widowControl w:val="0"/>
              <w:numPr>
                <w:ilvl w:val="0"/>
                <w:numId w:val="10"/>
              </w:numPr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The treatment used is also outside the scope of the study.</w:t>
            </w:r>
          </w:p>
        </w:tc>
      </w:tr>
      <w:tr w:rsidR="0083244E" w14:paraId="215F87E0" w14:textId="77777777">
        <w:trPr>
          <w:trHeight w:val="400"/>
        </w:trPr>
        <w:tc>
          <w:tcPr>
            <w:tcW w:w="189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DC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Velmurugan et al. (2012)</w:t>
            </w:r>
          </w:p>
        </w:tc>
        <w:tc>
          <w:tcPr>
            <w:tcW w:w="4575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DD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https://dx.doi.org/10.1111/jnc.12036</w:t>
            </w:r>
          </w:p>
        </w:tc>
        <w:tc>
          <w:tcPr>
            <w:tcW w:w="6750" w:type="dxa"/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15F87DE" w14:textId="77777777" w:rsidR="0083244E" w:rsidRDefault="00F249D9">
            <w:pPr>
              <w:widowControl w:val="0"/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Wrong outcomes.</w:t>
            </w:r>
          </w:p>
          <w:p w14:paraId="215F87DF" w14:textId="77777777" w:rsidR="0083244E" w:rsidRDefault="00F249D9">
            <w:pPr>
              <w:widowControl w:val="0"/>
              <w:numPr>
                <w:ilvl w:val="0"/>
                <w:numId w:val="14"/>
              </w:numPr>
              <w:spacing w:line="48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The study does not examine the role of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GLP-1 on neurogenesis.</w:t>
            </w:r>
          </w:p>
        </w:tc>
      </w:tr>
    </w:tbl>
    <w:p w14:paraId="215F87E1" w14:textId="77777777" w:rsidR="0083244E" w:rsidRDefault="0083244E">
      <w:pPr>
        <w:spacing w:line="480" w:lineRule="auto"/>
        <w:rPr>
          <w:rFonts w:ascii="Times New Roman" w:eastAsia="Times New Roman" w:hAnsi="Times New Roman" w:cs="Times New Roman"/>
          <w:b/>
        </w:rPr>
      </w:pPr>
    </w:p>
    <w:sectPr w:rsidR="0083244E">
      <w:pgSz w:w="15840" w:h="12240" w:orient="landscape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C6B7C1" w14:textId="77777777" w:rsidR="00F031AF" w:rsidRDefault="00F031AF">
      <w:pPr>
        <w:spacing w:line="240" w:lineRule="auto"/>
      </w:pPr>
      <w:r>
        <w:separator/>
      </w:r>
    </w:p>
  </w:endnote>
  <w:endnote w:type="continuationSeparator" w:id="0">
    <w:p w14:paraId="2106B0EA" w14:textId="77777777" w:rsidR="00F031AF" w:rsidRDefault="00F031A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auto"/>
    <w:pitch w:val="default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5F87E5" w14:textId="77777777" w:rsidR="0083244E" w:rsidRDefault="0083244E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ECB617" w14:textId="77777777" w:rsidR="00F031AF" w:rsidRDefault="00F031AF">
      <w:pPr>
        <w:spacing w:line="240" w:lineRule="auto"/>
      </w:pPr>
      <w:r>
        <w:separator/>
      </w:r>
    </w:p>
  </w:footnote>
  <w:footnote w:type="continuationSeparator" w:id="0">
    <w:p w14:paraId="2CAB6D5E" w14:textId="77777777" w:rsidR="00F031AF" w:rsidRDefault="00F031A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5F87E4" w14:textId="77777777" w:rsidR="0083244E" w:rsidRDefault="0083244E">
    <w:pPr>
      <w:rPr>
        <w:rFonts w:ascii="Times New Roman" w:eastAsia="Times New Roman" w:hAnsi="Times New Roman" w:cs="Times New Roman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417570"/>
    <w:multiLevelType w:val="multilevel"/>
    <w:tmpl w:val="5152292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84321E3"/>
    <w:multiLevelType w:val="multilevel"/>
    <w:tmpl w:val="669AB17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0BB148DC"/>
    <w:multiLevelType w:val="multilevel"/>
    <w:tmpl w:val="DABE693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0E994313"/>
    <w:multiLevelType w:val="multilevel"/>
    <w:tmpl w:val="0292096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14407DA0"/>
    <w:multiLevelType w:val="multilevel"/>
    <w:tmpl w:val="4B64CEE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1A057502"/>
    <w:multiLevelType w:val="multilevel"/>
    <w:tmpl w:val="20DAAA2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1C290F8B"/>
    <w:multiLevelType w:val="multilevel"/>
    <w:tmpl w:val="DDDE3B7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43B96045"/>
    <w:multiLevelType w:val="multilevel"/>
    <w:tmpl w:val="1D6400DA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4A28162C"/>
    <w:multiLevelType w:val="multilevel"/>
    <w:tmpl w:val="A660583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 w15:restartNumberingAfterBreak="0">
    <w:nsid w:val="4C2B49E1"/>
    <w:multiLevelType w:val="multilevel"/>
    <w:tmpl w:val="175A280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0" w15:restartNumberingAfterBreak="0">
    <w:nsid w:val="57EC32C3"/>
    <w:multiLevelType w:val="multilevel"/>
    <w:tmpl w:val="1D36176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5CC23597"/>
    <w:multiLevelType w:val="multilevel"/>
    <w:tmpl w:val="427E629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2" w15:restartNumberingAfterBreak="0">
    <w:nsid w:val="5DE27A57"/>
    <w:multiLevelType w:val="multilevel"/>
    <w:tmpl w:val="3CF85A8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3" w15:restartNumberingAfterBreak="0">
    <w:nsid w:val="633E7EDD"/>
    <w:multiLevelType w:val="multilevel"/>
    <w:tmpl w:val="7C727D9C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65302F85"/>
    <w:multiLevelType w:val="multilevel"/>
    <w:tmpl w:val="9B7A347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5" w15:restartNumberingAfterBreak="0">
    <w:nsid w:val="686C40BA"/>
    <w:multiLevelType w:val="multilevel"/>
    <w:tmpl w:val="D9FAEA8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6" w15:restartNumberingAfterBreak="0">
    <w:nsid w:val="6A505D8A"/>
    <w:multiLevelType w:val="multilevel"/>
    <w:tmpl w:val="8B6AF89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7" w15:restartNumberingAfterBreak="0">
    <w:nsid w:val="72F15014"/>
    <w:multiLevelType w:val="multilevel"/>
    <w:tmpl w:val="92BA7A1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26952198">
    <w:abstractNumId w:val="15"/>
  </w:num>
  <w:num w:numId="2" w16cid:durableId="1100370701">
    <w:abstractNumId w:val="0"/>
  </w:num>
  <w:num w:numId="3" w16cid:durableId="106394566">
    <w:abstractNumId w:val="2"/>
  </w:num>
  <w:num w:numId="4" w16cid:durableId="1726567047">
    <w:abstractNumId w:val="4"/>
  </w:num>
  <w:num w:numId="5" w16cid:durableId="705721683">
    <w:abstractNumId w:val="13"/>
  </w:num>
  <w:num w:numId="6" w16cid:durableId="1605729184">
    <w:abstractNumId w:val="6"/>
  </w:num>
  <w:num w:numId="7" w16cid:durableId="572352265">
    <w:abstractNumId w:val="17"/>
  </w:num>
  <w:num w:numId="8" w16cid:durableId="59985693">
    <w:abstractNumId w:val="12"/>
  </w:num>
  <w:num w:numId="9" w16cid:durableId="1552309265">
    <w:abstractNumId w:val="14"/>
  </w:num>
  <w:num w:numId="10" w16cid:durableId="1130974496">
    <w:abstractNumId w:val="9"/>
  </w:num>
  <w:num w:numId="11" w16cid:durableId="515733025">
    <w:abstractNumId w:val="3"/>
  </w:num>
  <w:num w:numId="12" w16cid:durableId="332295801">
    <w:abstractNumId w:val="5"/>
  </w:num>
  <w:num w:numId="13" w16cid:durableId="1698577517">
    <w:abstractNumId w:val="8"/>
  </w:num>
  <w:num w:numId="14" w16cid:durableId="251859257">
    <w:abstractNumId w:val="7"/>
  </w:num>
  <w:num w:numId="15" w16cid:durableId="1446073980">
    <w:abstractNumId w:val="11"/>
  </w:num>
  <w:num w:numId="16" w16cid:durableId="294407742">
    <w:abstractNumId w:val="1"/>
  </w:num>
  <w:num w:numId="17" w16cid:durableId="580220083">
    <w:abstractNumId w:val="10"/>
  </w:num>
  <w:num w:numId="18" w16cid:durableId="61533589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244E"/>
    <w:rsid w:val="001D5058"/>
    <w:rsid w:val="002C4592"/>
    <w:rsid w:val="00547C4B"/>
    <w:rsid w:val="0083244E"/>
    <w:rsid w:val="00A5601D"/>
    <w:rsid w:val="00DE0350"/>
    <w:rsid w:val="00F031AF"/>
    <w:rsid w:val="00F24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5F848F"/>
  <w15:docId w15:val="{3DE30F92-B2D3-4869-B03D-74E064F8C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en" w:eastAsia="zh-TW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511</Words>
  <Characters>2918</Characters>
  <Application>Microsoft Office Word</Application>
  <DocSecurity>0</DocSecurity>
  <Lines>24</Lines>
  <Paragraphs>6</Paragraphs>
  <ScaleCrop>false</ScaleCrop>
  <Company/>
  <LinksUpToDate>false</LinksUpToDate>
  <CharactersWithSpaces>3423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Hezekiah Au</cp:lastModifiedBy>
  <cp:revision>5</cp:revision>
  <dcterms:created xsi:type="dcterms:W3CDTF">2025-02-07T22:09:00Z</dcterms:created>
  <dcterms:modified xsi:type="dcterms:W3CDTF">2025-02-07T22:35:00Z</dcterms:modified>
</cp:coreProperties>
</file>